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0BB8D" w14:textId="3D2025C8" w:rsidR="00D73848" w:rsidRPr="00D72397" w:rsidRDefault="00D73848" w:rsidP="00D72397">
      <w:pPr>
        <w:pStyle w:val="Heading1"/>
        <w:spacing w:line="249" w:lineRule="auto"/>
        <w:ind w:left="0"/>
        <w:rPr>
          <w:noProof/>
        </w:rPr>
      </w:pPr>
      <w:r>
        <w:rPr>
          <w:noProof/>
        </w:rPr>
        <mc:AlternateContent>
          <mc:Choice Requires="wps">
            <w:drawing>
              <wp:anchor distT="0" distB="0" distL="114300" distR="114300" simplePos="0" relativeHeight="487450112" behindDoc="1" locked="0" layoutInCell="1" allowOverlap="1" wp14:anchorId="4EDC7FAF" wp14:editId="37079B90">
                <wp:simplePos x="0" y="0"/>
                <wp:positionH relativeFrom="column">
                  <wp:posOffset>-601345</wp:posOffset>
                </wp:positionH>
                <wp:positionV relativeFrom="paragraph">
                  <wp:posOffset>-1165225</wp:posOffset>
                </wp:positionV>
                <wp:extent cx="7740015" cy="10620375"/>
                <wp:effectExtent l="0" t="0" r="0" b="9525"/>
                <wp:wrapNone/>
                <wp:docPr id="163939788" name="Graphic 5"/>
                <wp:cNvGraphicFramePr/>
                <a:graphic xmlns:a="http://schemas.openxmlformats.org/drawingml/2006/main">
                  <a:graphicData uri="http://schemas.microsoft.com/office/word/2010/wordprocessingShape">
                    <wps:wsp>
                      <wps:cNvSpPr/>
                      <wps:spPr>
                        <a:xfrm>
                          <a:off x="0" y="0"/>
                          <a:ext cx="7740015" cy="10620375"/>
                        </a:xfrm>
                        <a:custGeom>
                          <a:avLst/>
                          <a:gdLst/>
                          <a:ahLst/>
                          <a:cxnLst/>
                          <a:rect l="l" t="t" r="r" b="b"/>
                          <a:pathLst>
                            <a:path w="7740015" h="10620375">
                              <a:moveTo>
                                <a:pt x="7739989" y="0"/>
                              </a:moveTo>
                              <a:lnTo>
                                <a:pt x="7736814" y="0"/>
                              </a:lnTo>
                              <a:lnTo>
                                <a:pt x="7736814" y="896823"/>
                              </a:lnTo>
                              <a:lnTo>
                                <a:pt x="0" y="896823"/>
                              </a:lnTo>
                              <a:lnTo>
                                <a:pt x="0" y="903173"/>
                              </a:lnTo>
                              <a:lnTo>
                                <a:pt x="7736814" y="903173"/>
                              </a:lnTo>
                              <a:lnTo>
                                <a:pt x="7736814" y="10619994"/>
                              </a:lnTo>
                              <a:lnTo>
                                <a:pt x="7739989" y="10619994"/>
                              </a:lnTo>
                              <a:lnTo>
                                <a:pt x="7739989" y="903173"/>
                              </a:lnTo>
                              <a:lnTo>
                                <a:pt x="7739989" y="896823"/>
                              </a:lnTo>
                              <a:lnTo>
                                <a:pt x="77399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50F96D8" id="Graphic 5" o:spid="_x0000_s1026" style="position:absolute;margin-left:-47.35pt;margin-top:-91.75pt;width:609.45pt;height:836.25pt;z-index:-15866368;visibility:visible;mso-wrap-style:square;mso-wrap-distance-left:9pt;mso-wrap-distance-top:0;mso-wrap-distance-right:9pt;mso-wrap-distance-bottom:0;mso-position-horizontal:absolute;mso-position-horizontal-relative:text;mso-position-vertical:absolute;mso-position-vertical-relative:text;v-text-anchor:top" coordsize="7740015,1062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" path="m7739989,r-3175,l7736814,896823,,896823r,6350l7736814,903173r,9716821l7739989,10619994r,-9716821l7739989,896823,7739989,xe" fillcolor="black" stroked="f">
                <v:path arrowok="t"/>
              </v:shape>
            </w:pict>
          </mc:Fallback>
        </mc:AlternateContent>
      </w:r>
      <w:r w:rsidR="008741BB" w:rsidRPr="008741BB">
        <w:rPr>
          <w:noProof/>
        </w:rPr>
        <w:t xml:space="preserve">Hiện trạng phát thải khí nhà kính của ngành bia </w:t>
      </w:r>
      <w:r w:rsidR="00D6629B" w:rsidRPr="008741BB">
        <w:rPr>
          <w:noProof/>
        </w:rPr>
        <w:t>Việt Nam</w:t>
      </w:r>
      <w:r w:rsidR="008741BB" w:rsidRPr="008741BB">
        <w:rPr>
          <w:noProof/>
        </w:rPr>
        <w:t xml:space="preserve"> và tiềm năng giảm phát thải</w:t>
      </w:r>
    </w:p>
    <w:p w14:paraId="2A9834FF" w14:textId="63E26103" w:rsidR="00E70B6C" w:rsidRDefault="00E70B6C" w:rsidP="00BE47E4">
      <w:pPr>
        <w:pStyle w:val="Heading3"/>
        <w:spacing w:before="1"/>
        <w:ind w:left="0" w:right="253"/>
        <w:jc w:val="center"/>
      </w:pPr>
      <w:r w:rsidRPr="00E70B6C">
        <w:t>Vũ Hải Dương</w:t>
      </w:r>
      <w:r w:rsidRPr="00E70B6C">
        <w:rPr>
          <w:vertAlign w:val="superscript"/>
        </w:rPr>
        <w:t>1,3</w:t>
      </w:r>
      <w:r>
        <w:rPr>
          <w:vertAlign w:val="superscript"/>
        </w:rPr>
        <w:t xml:space="preserve"> </w:t>
      </w:r>
      <w:r>
        <w:t>-</w:t>
      </w:r>
      <w:r w:rsidRPr="00E70B6C">
        <w:t xml:space="preserve"> Nguyễn Thị Lê Liên</w:t>
      </w:r>
      <w:r w:rsidRPr="00E70B6C">
        <w:rPr>
          <w:vertAlign w:val="superscript"/>
        </w:rPr>
        <w:t>2,3</w:t>
      </w:r>
      <w:r w:rsidRPr="00901983">
        <w:rPr>
          <w:vertAlign w:val="superscript"/>
        </w:rPr>
        <w:t>*</w:t>
      </w:r>
    </w:p>
    <w:p w14:paraId="5DADC5D7" w14:textId="4A9FE686" w:rsidR="00901983" w:rsidRDefault="00901983" w:rsidP="00BE47E4">
      <w:pPr>
        <w:pStyle w:val="BodyText"/>
        <w:spacing w:before="26"/>
        <w:ind w:right="107"/>
        <w:jc w:val="center"/>
      </w:pPr>
      <w:r w:rsidRPr="00812137">
        <w:rPr>
          <w:vertAlign w:val="superscript"/>
        </w:rPr>
        <w:t>1</w:t>
      </w:r>
      <w:r>
        <w:t xml:space="preserve">Khoa Môi Trường và Tài Nguyên, Trường Đại học Bách </w:t>
      </w:r>
      <w:r w:rsidR="00D72397">
        <w:t>k</w:t>
      </w:r>
      <w:r>
        <w:t>hoa</w:t>
      </w:r>
    </w:p>
    <w:p w14:paraId="6E8BB706" w14:textId="1AD588AF" w:rsidR="00901983" w:rsidRDefault="00901983" w:rsidP="00BE47E4">
      <w:pPr>
        <w:pStyle w:val="BodyText"/>
        <w:spacing w:before="26"/>
        <w:ind w:right="107"/>
        <w:jc w:val="center"/>
      </w:pPr>
      <w:r w:rsidRPr="00812137">
        <w:rPr>
          <w:vertAlign w:val="superscript"/>
        </w:rPr>
        <w:t>2</w:t>
      </w:r>
      <w:r>
        <w:t xml:space="preserve">Khoa Kỹ </w:t>
      </w:r>
      <w:r w:rsidR="00D72397">
        <w:t>t</w:t>
      </w:r>
      <w:r>
        <w:t xml:space="preserve">huật Hóa </w:t>
      </w:r>
      <w:r w:rsidR="00D72397">
        <w:t>h</w:t>
      </w:r>
      <w:r>
        <w:t xml:space="preserve">ọc, Trường Đại học Bách </w:t>
      </w:r>
      <w:r w:rsidR="00D72397">
        <w:t>k</w:t>
      </w:r>
      <w:r>
        <w:t>hoa</w:t>
      </w:r>
    </w:p>
    <w:p w14:paraId="00F94CEE" w14:textId="6B1A52A4" w:rsidR="00901983" w:rsidRDefault="00901983" w:rsidP="00BE47E4">
      <w:pPr>
        <w:pStyle w:val="BodyText"/>
        <w:spacing w:before="26"/>
        <w:ind w:right="107"/>
        <w:jc w:val="center"/>
      </w:pPr>
      <w:r w:rsidRPr="00812137">
        <w:rPr>
          <w:vertAlign w:val="superscript"/>
        </w:rPr>
        <w:t>3</w:t>
      </w:r>
      <w:r>
        <w:t xml:space="preserve">Đại </w:t>
      </w:r>
      <w:r w:rsidR="00D72397">
        <w:t>h</w:t>
      </w:r>
      <w:r>
        <w:t xml:space="preserve">ọc Quốc </w:t>
      </w:r>
      <w:r w:rsidR="00D72397">
        <w:t>g</w:t>
      </w:r>
      <w:r>
        <w:t>ia Thành phố Hồ Chí Minh</w:t>
      </w:r>
    </w:p>
    <w:p w14:paraId="63120A7A" w14:textId="7241F96C" w:rsidR="00901983" w:rsidRDefault="00901983" w:rsidP="00BE47E4">
      <w:pPr>
        <w:pStyle w:val="BodyText"/>
        <w:spacing w:before="26"/>
        <w:ind w:right="107"/>
        <w:jc w:val="center"/>
      </w:pPr>
      <w:r w:rsidRPr="00901983">
        <w:rPr>
          <w:vertAlign w:val="superscript"/>
        </w:rPr>
        <w:t>*</w:t>
      </w:r>
      <w:r>
        <w:t xml:space="preserve">Email: </w:t>
      </w:r>
      <w:hyperlink r:id="rId9" w:history="1">
        <w:r w:rsidRPr="002828EA">
          <w:rPr>
            <w:rStyle w:val="Hyperlink"/>
          </w:rPr>
          <w:t>ntllien@hcmut.edu.vn</w:t>
        </w:r>
      </w:hyperlink>
    </w:p>
    <w:p w14:paraId="0BDCC0DC" w14:textId="77777777" w:rsidR="003D2823" w:rsidRDefault="003D2823" w:rsidP="00BE47E4">
      <w:pPr>
        <w:pStyle w:val="BodyText"/>
      </w:pPr>
    </w:p>
    <w:p w14:paraId="2EDF7716" w14:textId="77777777" w:rsidR="003D2823" w:rsidRDefault="003D2823" w:rsidP="00BE47E4">
      <w:pPr>
        <w:pStyle w:val="BodyText"/>
      </w:pPr>
    </w:p>
    <w:tbl>
      <w:tblPr>
        <w:tblStyle w:val="TableGrid"/>
        <w:tblW w:w="9498" w:type="dxa"/>
        <w:tblInd w:w="562" w:type="dxa"/>
        <w:tblLook w:val="04A0" w:firstRow="1" w:lastRow="0" w:firstColumn="1" w:lastColumn="0" w:noHBand="0" w:noVBand="1"/>
      </w:tblPr>
      <w:tblGrid>
        <w:gridCol w:w="9498"/>
      </w:tblGrid>
      <w:tr w:rsidR="00740BC3" w14:paraId="4491F2B6" w14:textId="77777777" w:rsidTr="00740BC3">
        <w:tc>
          <w:tcPr>
            <w:tcW w:w="9498" w:type="dxa"/>
            <w:tcBorders>
              <w:top w:val="single" w:sz="4" w:space="0" w:color="auto"/>
              <w:left w:val="nil"/>
              <w:bottom w:val="single" w:sz="4" w:space="0" w:color="auto"/>
              <w:right w:val="nil"/>
            </w:tcBorders>
          </w:tcPr>
          <w:p w14:paraId="004FB17F" w14:textId="77777777" w:rsidR="00740BC3" w:rsidRDefault="00740BC3" w:rsidP="00BE47E4">
            <w:pPr>
              <w:pStyle w:val="Heading3"/>
              <w:spacing w:before="120" w:after="120"/>
              <w:ind w:left="0"/>
              <w:jc w:val="both"/>
              <w:rPr>
                <w:i/>
              </w:rPr>
            </w:pPr>
            <w:r>
              <w:t>Tóm</w:t>
            </w:r>
            <w:r>
              <w:rPr>
                <w:spacing w:val="-3"/>
              </w:rPr>
              <w:t xml:space="preserve"> </w:t>
            </w:r>
            <w:r>
              <w:t>tắt</w:t>
            </w:r>
            <w:r>
              <w:rPr>
                <w:i/>
                <w:spacing w:val="-2"/>
              </w:rPr>
              <w:t>:</w:t>
            </w:r>
          </w:p>
          <w:p w14:paraId="6F413844" w14:textId="3A03670D" w:rsidR="005C5976" w:rsidRDefault="00740BC3" w:rsidP="00BE47E4">
            <w:pPr>
              <w:spacing w:before="120" w:after="120" w:line="249" w:lineRule="auto"/>
              <w:jc w:val="both"/>
              <w:rPr>
                <w:i/>
              </w:rPr>
            </w:pPr>
            <w:r w:rsidRPr="00822F48">
              <w:rPr>
                <w:i/>
              </w:rPr>
              <w:t>Nghiên cứu đánh giá cơ cấu và tiềm năng giảm phát thải KNK của 29 nhà máy bia Việt Nam theo hướng dẫn của IPCC, GHG Protocol và quy định trong nước. Cường độ phát thải trung bình đạt 67</w:t>
            </w:r>
            <w:r w:rsidR="00673B4A">
              <w:rPr>
                <w:i/>
              </w:rPr>
              <w:t>,</w:t>
            </w:r>
            <w:r w:rsidRPr="00822F48">
              <w:rPr>
                <w:i/>
              </w:rPr>
              <w:t xml:space="preserve">3 gCO₂tđ/l, gần mức trung bình toàn cầu. </w:t>
            </w:r>
            <w:r w:rsidR="005C5976" w:rsidRPr="005C5976">
              <w:rPr>
                <w:i/>
              </w:rPr>
              <w:t xml:space="preserve">Tại các nhà máy dùng nhiên liệu sinh khối, điện lưới là nguồn phát thải chính (93%), trong khi hơi mua chiếm 3%. </w:t>
            </w:r>
            <w:r w:rsidR="005554E8" w:rsidRPr="005554E8">
              <w:rPr>
                <w:i/>
              </w:rPr>
              <w:t>Cường độ phát thải nhìn chung thấp hơn ở các nhà máy có quy mô trên 100 triệu lít/năm, mặc dù mối quan hệ giữa quy mô và cường độ phát thải không hoàn toàn tuyến tính. Theo phân tích tứ phân vị, cường độ phát thải trung bình của các nhóm rất tốt, tốt, trung bình và kém lần lượt là 39,0; 59,3; 73,3 và 94,5 gCO₂tđ/L.</w:t>
            </w:r>
            <w:r w:rsidR="005C5976" w:rsidRPr="005C5976">
              <w:rPr>
                <w:i/>
              </w:rPr>
              <w:t xml:space="preserve">. Theo phân tích </w:t>
            </w:r>
            <w:r w:rsidR="005554E8">
              <w:rPr>
                <w:i/>
              </w:rPr>
              <w:t>tứ</w:t>
            </w:r>
            <w:r w:rsidR="005C5976" w:rsidRPr="005C5976">
              <w:rPr>
                <w:i/>
              </w:rPr>
              <w:t xml:space="preserve"> phân vị, cường độ phát thải nhóm tốt, trung bình và kém lần lượt là 59,3; 73,3 và 94,5 </w:t>
            </w:r>
            <w:r w:rsidR="00247287">
              <w:rPr>
                <w:i/>
              </w:rPr>
              <w:t>gCO₂tđ/l</w:t>
            </w:r>
            <w:r w:rsidR="005C5976" w:rsidRPr="005C5976">
              <w:rPr>
                <w:i/>
              </w:rPr>
              <w:t>. Nhóm kém và trung bình có tiềm năng giảm phát thải tương ứng 22,4% và 19,1% k</w:t>
            </w:r>
            <w:bookmarkStart w:id="0" w:name="_GoBack"/>
            <w:bookmarkEnd w:id="0"/>
            <w:r w:rsidR="005C5976" w:rsidRPr="005C5976">
              <w:rPr>
                <w:i/>
              </w:rPr>
              <w:t>hi tiệm cận mức thực hành tốt hơn. Kết hợp tối ưu hóa năng lượng và điện mặt trời mái nhà giúp giảm tối đa 27,1% phát thải</w:t>
            </w:r>
            <w:r w:rsidR="009911C7">
              <w:rPr>
                <w:i/>
              </w:rPr>
              <w:t xml:space="preserve"> tại 5 nhà máy khảo sát</w:t>
            </w:r>
            <w:r w:rsidR="005C5976" w:rsidRPr="005C5976">
              <w:rPr>
                <w:i/>
              </w:rPr>
              <w:t>. Kết quả cung cấp cơ sở để doanh nghiệp xây dựng lộ trình giảm phát thải phù hợp.</w:t>
            </w:r>
          </w:p>
          <w:p w14:paraId="7FBB03E9" w14:textId="678EB79F" w:rsidR="00740BC3" w:rsidRPr="00D72397" w:rsidRDefault="00740BC3" w:rsidP="00D72397">
            <w:pPr>
              <w:spacing w:before="120" w:after="120" w:line="249" w:lineRule="auto"/>
              <w:jc w:val="both"/>
              <w:rPr>
                <w:b/>
                <w:i/>
                <w:sz w:val="28"/>
              </w:rPr>
            </w:pPr>
            <w:r w:rsidRPr="00D72397">
              <w:rPr>
                <w:b/>
                <w:i/>
              </w:rPr>
              <w:t>Từ</w:t>
            </w:r>
            <w:r w:rsidRPr="00D72397">
              <w:rPr>
                <w:b/>
                <w:i/>
                <w:spacing w:val="-2"/>
              </w:rPr>
              <w:t xml:space="preserve"> </w:t>
            </w:r>
            <w:r w:rsidR="00D72397" w:rsidRPr="00D72397">
              <w:rPr>
                <w:b/>
                <w:i/>
              </w:rPr>
              <w:t>khóa</w:t>
            </w:r>
            <w:r w:rsidRPr="00D72397">
              <w:rPr>
                <w:b/>
                <w:i/>
              </w:rPr>
              <w:t xml:space="preserve">: </w:t>
            </w:r>
            <w:r w:rsidR="00D72397" w:rsidRPr="00D72397">
              <w:rPr>
                <w:b/>
                <w:i/>
                <w:spacing w:val="-1"/>
              </w:rPr>
              <w:t>n</w:t>
            </w:r>
            <w:r w:rsidRPr="00D72397">
              <w:rPr>
                <w:b/>
                <w:i/>
                <w:spacing w:val="-1"/>
              </w:rPr>
              <w:t>gành bia</w:t>
            </w:r>
            <w:r w:rsidR="00D72397" w:rsidRPr="00D72397">
              <w:rPr>
                <w:b/>
                <w:i/>
                <w:spacing w:val="-1"/>
              </w:rPr>
              <w:t>,</w:t>
            </w:r>
            <w:r w:rsidRPr="00D72397">
              <w:rPr>
                <w:b/>
                <w:i/>
                <w:spacing w:val="-1"/>
              </w:rPr>
              <w:t xml:space="preserve"> </w:t>
            </w:r>
            <w:r w:rsidR="00D72397" w:rsidRPr="00D72397">
              <w:rPr>
                <w:b/>
                <w:i/>
                <w:spacing w:val="-1"/>
              </w:rPr>
              <w:t xml:space="preserve">khí nhà kính, cường độ phát thải, giảm phát thải </w:t>
            </w:r>
            <w:r w:rsidR="00D72397" w:rsidRPr="00D72397">
              <w:rPr>
                <w:b/>
                <w:i/>
                <w:spacing w:val="-1"/>
              </w:rPr>
              <w:t>khí nhà kính</w:t>
            </w:r>
            <w:r w:rsidR="00D72397" w:rsidRPr="00D72397">
              <w:rPr>
                <w:b/>
                <w:i/>
                <w:spacing w:val="-1"/>
              </w:rPr>
              <w:t>.</w:t>
            </w:r>
          </w:p>
        </w:tc>
      </w:tr>
    </w:tbl>
    <w:p w14:paraId="5B8A7D4E" w14:textId="77777777" w:rsidR="003D2823" w:rsidRDefault="003D2823" w:rsidP="00BE47E4">
      <w:pPr>
        <w:pStyle w:val="BodyText"/>
        <w:rPr>
          <w:i/>
          <w:sz w:val="28"/>
        </w:rPr>
      </w:pPr>
    </w:p>
    <w:p w14:paraId="2F9C54B3" w14:textId="34CAC5D4" w:rsidR="003D2823" w:rsidRDefault="00D6629B" w:rsidP="00BE47E4">
      <w:pPr>
        <w:pStyle w:val="Heading1"/>
        <w:spacing w:line="249" w:lineRule="auto"/>
        <w:ind w:left="0"/>
        <w:rPr>
          <w:b w:val="0"/>
        </w:rPr>
      </w:pPr>
      <w:r w:rsidRPr="00D6629B">
        <w:rPr>
          <w:sz w:val="28"/>
          <w:szCs w:val="28"/>
        </w:rPr>
        <w:t>Current Status of Greenhouse Gas Emissions in Vietnam’s Beer Industry and Emission Reduction Potential</w:t>
      </w:r>
    </w:p>
    <w:p w14:paraId="1B6A1286" w14:textId="77777777" w:rsidR="003D2823" w:rsidRDefault="003D2823" w:rsidP="00BE47E4">
      <w:pPr>
        <w:pStyle w:val="BodyText"/>
        <w:rPr>
          <w:b/>
        </w:rPr>
      </w:pPr>
    </w:p>
    <w:p w14:paraId="4F555AB2" w14:textId="77777777" w:rsidR="003D2823" w:rsidRDefault="003D2823" w:rsidP="00BE47E4">
      <w:pPr>
        <w:pStyle w:val="BodyText"/>
        <w:rPr>
          <w:b/>
        </w:rPr>
      </w:pPr>
    </w:p>
    <w:p w14:paraId="4CACBDD1" w14:textId="599D25DE" w:rsidR="003D2823" w:rsidRDefault="001A6645" w:rsidP="00BE47E4">
      <w:pPr>
        <w:pStyle w:val="Heading3"/>
        <w:ind w:left="0"/>
      </w:pPr>
      <w:r>
        <w:t>Abstract</w:t>
      </w:r>
      <w:r>
        <w:rPr>
          <w:spacing w:val="13"/>
        </w:rPr>
        <w:t xml:space="preserve"> </w:t>
      </w:r>
      <w:r>
        <w:rPr>
          <w:spacing w:val="-2"/>
        </w:rPr>
        <w:t>:</w:t>
      </w:r>
    </w:p>
    <w:p w14:paraId="58F67B91" w14:textId="7981DFE8" w:rsidR="00814C1D" w:rsidRDefault="00D6629B" w:rsidP="00BE47E4">
      <w:pPr>
        <w:spacing w:before="64"/>
        <w:jc w:val="both"/>
        <w:rPr>
          <w:i/>
        </w:rPr>
      </w:pPr>
      <w:r w:rsidRPr="00D6629B">
        <w:rPr>
          <w:i/>
        </w:rPr>
        <w:t>The study assesses the emission profile and greenhouse gas (GHG) reduction potential of 29 breweries in Vietnam, following IPCC guidelines, the GHG Protocol, and relevant national regulations. The average emission intensity was 67</w:t>
      </w:r>
      <w:r w:rsidR="005554E8">
        <w:rPr>
          <w:i/>
        </w:rPr>
        <w:t>.</w:t>
      </w:r>
      <w:r w:rsidRPr="00D6629B">
        <w:rPr>
          <w:i/>
        </w:rPr>
        <w:t xml:space="preserve">3 gCO₂e/l, close to </w:t>
      </w:r>
      <w:r w:rsidR="005554E8" w:rsidRPr="005554E8">
        <w:rPr>
          <w:i/>
        </w:rPr>
        <w:t>close to the BIER benchmarking reference value</w:t>
      </w:r>
      <w:r w:rsidRPr="00D6629B">
        <w:rPr>
          <w:i/>
        </w:rPr>
        <w:t xml:space="preserve">. </w:t>
      </w:r>
      <w:r w:rsidR="00814C1D" w:rsidRPr="00814C1D">
        <w:rPr>
          <w:i/>
        </w:rPr>
        <w:t>For biomass-fueled breweries, grid electricity was the primary emission source (93%), while purchased steam contributed 3%. Emission intensity decreased with scale, from 64.2 gCO₂e/l (20–50 million l/year) to 46.1 gCO₂e/l (&gt;200 million l/year). Based on tertile analysis, emission intensities for good, average, and poor performers were 59.3, 73.3, and 94.5 gCO₂e/l, respectively. Poor and average performers possess a reduction potential of 22.4% and 19.1% upon advancing to higher performance benchmarks. Combining energy efficiency with rooftop solar yields a cumulative reduction of up to 27.1%</w:t>
      </w:r>
      <w:r w:rsidR="009911C7">
        <w:rPr>
          <w:i/>
        </w:rPr>
        <w:t xml:space="preserve"> for 5 site visited factories</w:t>
      </w:r>
      <w:r w:rsidR="00814C1D" w:rsidRPr="00814C1D">
        <w:rPr>
          <w:i/>
        </w:rPr>
        <w:t>. These findings serve as a technical baseline for breweries to define targeted mitigation strategies</w:t>
      </w:r>
    </w:p>
    <w:p w14:paraId="45AA616B" w14:textId="2B5E3A7C" w:rsidR="003D2823" w:rsidRDefault="001A6645" w:rsidP="00BE47E4">
      <w:pPr>
        <w:spacing w:before="64"/>
        <w:jc w:val="both"/>
        <w:rPr>
          <w:b/>
          <w:i/>
        </w:rPr>
      </w:pPr>
      <w:r>
        <w:rPr>
          <w:b/>
        </w:rPr>
        <w:t>Keywords:</w:t>
      </w:r>
      <w:r>
        <w:rPr>
          <w:b/>
          <w:spacing w:val="10"/>
        </w:rPr>
        <w:t xml:space="preserve"> </w:t>
      </w:r>
      <w:r w:rsidR="00D6629B" w:rsidRPr="00D6629B">
        <w:rPr>
          <w:b/>
          <w:i/>
        </w:rPr>
        <w:t>Beer industry; Greenhouse gases; Emission intensity; GHG emission reduction</w:t>
      </w:r>
    </w:p>
    <w:p w14:paraId="34682F5F" w14:textId="77777777" w:rsidR="003D2823" w:rsidRDefault="003D2823" w:rsidP="00BE47E4">
      <w:pPr>
        <w:rPr>
          <w:b/>
          <w:i/>
        </w:rPr>
        <w:sectPr w:rsidR="003D2823">
          <w:headerReference w:type="even" r:id="rId10"/>
          <w:headerReference w:type="default" r:id="rId11"/>
          <w:footerReference w:type="even" r:id="rId12"/>
          <w:type w:val="continuous"/>
          <w:pgSz w:w="12190" w:h="16730"/>
          <w:pgMar w:top="1820" w:right="992" w:bottom="1340" w:left="992" w:header="1027" w:footer="1144" w:gutter="0"/>
          <w:pgNumType w:start="2"/>
          <w:cols w:space="720"/>
        </w:sectPr>
      </w:pPr>
    </w:p>
    <w:p w14:paraId="1BEE1FC3" w14:textId="04EE2C0E" w:rsidR="003D2823" w:rsidRDefault="001A6645" w:rsidP="00BE47E4">
      <w:pPr>
        <w:pStyle w:val="Heading3"/>
        <w:numPr>
          <w:ilvl w:val="0"/>
          <w:numId w:val="4"/>
        </w:numPr>
        <w:tabs>
          <w:tab w:val="left" w:pos="626"/>
        </w:tabs>
        <w:spacing w:line="360" w:lineRule="auto"/>
        <w:ind w:left="0" w:firstLine="0"/>
        <w:jc w:val="both"/>
      </w:pPr>
      <w:r>
        <w:rPr>
          <w:noProof/>
        </w:rPr>
        <w:lastRenderedPageBreak/>
        <mc:AlternateContent>
          <mc:Choice Requires="wpg">
            <w:drawing>
              <wp:anchor distT="0" distB="0" distL="0" distR="0" simplePos="0" relativeHeight="487450624" behindDoc="1" locked="0" layoutInCell="1" allowOverlap="1" wp14:anchorId="42294930" wp14:editId="44E99C0A">
                <wp:simplePos x="0" y="0"/>
                <wp:positionH relativeFrom="page">
                  <wp:posOffset>0</wp:posOffset>
                </wp:positionH>
                <wp:positionV relativeFrom="page">
                  <wp:posOffset>-3</wp:posOffset>
                </wp:positionV>
                <wp:extent cx="7740015" cy="106203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0015" cy="10620375"/>
                          <a:chOff x="0" y="0"/>
                          <a:chExt cx="7740015" cy="10620375"/>
                        </a:xfrm>
                      </wpg:grpSpPr>
                      <wps:wsp>
                        <wps:cNvPr id="9" name="Graphic 9"/>
                        <wps:cNvSpPr/>
                        <wps:spPr>
                          <a:xfrm>
                            <a:off x="0" y="2"/>
                            <a:ext cx="7740015" cy="10620375"/>
                          </a:xfrm>
                          <a:custGeom>
                            <a:avLst/>
                            <a:gdLst/>
                            <a:ahLst/>
                            <a:cxnLst/>
                            <a:rect l="l" t="t" r="r" b="b"/>
                            <a:pathLst>
                              <a:path w="7740015" h="10620375">
                                <a:moveTo>
                                  <a:pt x="7739989" y="896823"/>
                                </a:moveTo>
                                <a:lnTo>
                                  <a:pt x="3175" y="896823"/>
                                </a:lnTo>
                                <a:lnTo>
                                  <a:pt x="3175" y="12"/>
                                </a:lnTo>
                                <a:lnTo>
                                  <a:pt x="0" y="0"/>
                                </a:lnTo>
                                <a:lnTo>
                                  <a:pt x="0" y="896823"/>
                                </a:lnTo>
                                <a:lnTo>
                                  <a:pt x="0" y="903173"/>
                                </a:lnTo>
                                <a:lnTo>
                                  <a:pt x="0" y="10619994"/>
                                </a:lnTo>
                                <a:lnTo>
                                  <a:pt x="3175" y="10619994"/>
                                </a:lnTo>
                                <a:lnTo>
                                  <a:pt x="3175" y="903173"/>
                                </a:lnTo>
                                <a:lnTo>
                                  <a:pt x="7739989" y="903173"/>
                                </a:lnTo>
                                <a:lnTo>
                                  <a:pt x="7739989" y="89682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3" cstate="print"/>
                          <a:stretch>
                            <a:fillRect/>
                          </a:stretch>
                        </pic:blipFill>
                        <pic:spPr>
                          <a:xfrm>
                            <a:off x="4110787" y="9836279"/>
                            <a:ext cx="606653" cy="15259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277A479" id="Group 8" o:spid="_x0000_s1026" style="position:absolute;margin-left:0;margin-top:0;width:609.45pt;height:836.25pt;z-index:-15865856;mso-wrap-distance-left:0;mso-wrap-distance-right:0;mso-position-horizontal-relative:page;mso-position-vertical-relative:page" coordsize="77400,106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">
                <v:shape id="Graphic 9" o:spid="_x0000_s1027" style="position:absolute;width:77400;height:106203;visibility:visible;mso-wrap-style:square;v-text-anchor:top" coordsize="7740015,1062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" path="m7739989,896823r-7736814,l3175,12,,,,896823r,6350l,10619994r3175,l3175,903173r7736814,l7739989,89682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41107;top:98362;width:6067;height: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">
                  <v:imagedata r:id="rId14" o:title=""/>
                </v:shape>
                <w10:wrap anchorx="page" anchory="page"/>
              </v:group>
            </w:pict>
          </mc:Fallback>
        </mc:AlternateContent>
      </w:r>
      <w:r>
        <w:t>Đặt</w:t>
      </w:r>
      <w:r>
        <w:rPr>
          <w:spacing w:val="-3"/>
        </w:rPr>
        <w:t xml:space="preserve"> </w:t>
      </w:r>
      <w:r>
        <w:t>vấn</w:t>
      </w:r>
      <w:r>
        <w:rPr>
          <w:spacing w:val="-2"/>
        </w:rPr>
        <w:t xml:space="preserve"> </w:t>
      </w:r>
      <w:r>
        <w:t>đề</w:t>
      </w:r>
      <w:r>
        <w:rPr>
          <w:spacing w:val="-1"/>
        </w:rPr>
        <w:t xml:space="preserve"> </w:t>
      </w:r>
    </w:p>
    <w:p w14:paraId="4CAEF1E0" w14:textId="5F2FAD77" w:rsidR="00903BA3" w:rsidRDefault="00903BA3" w:rsidP="00BE47E4">
      <w:pPr>
        <w:pStyle w:val="BodyText"/>
        <w:spacing w:line="360" w:lineRule="auto"/>
        <w:jc w:val="both"/>
      </w:pPr>
      <w:r>
        <w:t>Trong cơ cấu công nghiệp tiêu dùng Việt Nam, ngành sản xuất bia giữ vị trí quan trọng với quy mô thị trường đạt 7,89 tỷ USD vào năm 2024 và dự kiến đạt 14,85 tỷ USD vào năm 2033 với tốc độ tăng trưởng kép CAGR đạt 7,27%. Với sản lượng đạt 4</w:t>
      </w:r>
      <w:r w:rsidR="00596E63">
        <w:t>.</w:t>
      </w:r>
      <w:r>
        <w:t>35</w:t>
      </w:r>
      <w:r w:rsidR="00596E63">
        <w:t>0</w:t>
      </w:r>
      <w:r>
        <w:t xml:space="preserve"> triệu l</w:t>
      </w:r>
      <w:r w:rsidR="00596E63">
        <w:t>it</w:t>
      </w:r>
      <w:r>
        <w:t xml:space="preserve"> năm 2024 (Cục Thống Kê, 2026), Việt Nam hiện dẫn đầu khu vực </w:t>
      </w:r>
      <w:r w:rsidR="00CE1BE3">
        <w:t>Asean</w:t>
      </w:r>
      <w:r>
        <w:t xml:space="preserve"> và xếp thứ 3 châu Á về sản lượng đồ uống có cồn (Astute Analytica, 2025). Sự tăng trưởng này cũng làm gia tăng áp lực về năng lượng và môi trường, do các công đoạn nấu, lên men, làm lạnh, đóng gói và chiết rót trong sản xuất bia có nhu cầu tiêu thụ điện và nhiệt tương đối lớn.</w:t>
      </w:r>
    </w:p>
    <w:p w14:paraId="45FE65C5" w14:textId="713226EC" w:rsidR="0095702F" w:rsidRPr="0095702F" w:rsidRDefault="0095702F" w:rsidP="00BE47E4">
      <w:pPr>
        <w:pStyle w:val="BodyText"/>
        <w:spacing w:line="360" w:lineRule="auto"/>
        <w:jc w:val="both"/>
      </w:pPr>
      <w:r w:rsidRPr="0095702F">
        <w:t>Trong lộ trình thực hiện cam kết phát thải ròng bằng “0” vào năm 2050</w:t>
      </w:r>
      <w:r w:rsidR="00C63E9D">
        <w:t xml:space="preserve"> của Việt Nam</w:t>
      </w:r>
      <w:r w:rsidRPr="0095702F">
        <w:t>, khung pháp lý về kiểm kê và giảm nhẹ phát thải khí nhà kính</w:t>
      </w:r>
      <w:r w:rsidR="00C63E9D">
        <w:t xml:space="preserve"> </w:t>
      </w:r>
      <w:r w:rsidR="00C63E9D" w:rsidRPr="00C63E9D">
        <w:t>đã từng bước hoàn thiện</w:t>
      </w:r>
      <w:r w:rsidRPr="0095702F">
        <w:t>. Nghị định 06/2022/NĐ-CP đặt nền tảng quản lý, còn Quyết định 13/2024/QĐ-TTg xác định danh mục các cơ sở phải thực hiện kiểm kê. Qua đó, chuyển đổi xanh ngày càng trở thành yêu cầu tuân thủ gắn với năng lực cạnh tranh và phát triển bền vững của doanh nghiệp.</w:t>
      </w:r>
      <w:r w:rsidR="00416569">
        <w:t xml:space="preserve"> </w:t>
      </w:r>
      <w:r w:rsidRPr="0095702F">
        <w:t>Đối với ngành bia, 56 cơ sở thuộc danh mục kiểm kê, làm gia tăng yêu cầu về tính đầy đủ, nhất quán và minh bạch của dữ liệu phát thải. Nghiên cứu này đánh giá hiện trạng, cường độ và cơ cấu nguồn phát thải, đồng thời phân tích tiềm năng giảm phát thải tại cấp nhà máy. Kết quả cung cấp cơ sở để nhận diện nguồn phát thải chính, xác định dư địa cải thiện và ưu tiên các giải pháp phù hợp.</w:t>
      </w:r>
    </w:p>
    <w:p w14:paraId="114B8489" w14:textId="6288311E" w:rsidR="003D2823" w:rsidRDefault="001A6645" w:rsidP="00BE47E4">
      <w:pPr>
        <w:pStyle w:val="Heading3"/>
        <w:numPr>
          <w:ilvl w:val="0"/>
          <w:numId w:val="4"/>
        </w:numPr>
        <w:tabs>
          <w:tab w:val="left" w:pos="626"/>
        </w:tabs>
        <w:spacing w:line="360" w:lineRule="auto"/>
        <w:ind w:left="0" w:firstLine="0"/>
        <w:jc w:val="both"/>
      </w:pPr>
      <w:r>
        <w:t>Cơ</w:t>
      </w:r>
      <w:r>
        <w:rPr>
          <w:spacing w:val="-4"/>
        </w:rPr>
        <w:t xml:space="preserve"> </w:t>
      </w:r>
      <w:r>
        <w:t>sở</w:t>
      </w:r>
      <w:r>
        <w:rPr>
          <w:spacing w:val="-1"/>
        </w:rPr>
        <w:t xml:space="preserve"> </w:t>
      </w:r>
      <w:r>
        <w:t>lý</w:t>
      </w:r>
      <w:r>
        <w:rPr>
          <w:spacing w:val="-1"/>
        </w:rPr>
        <w:t xml:space="preserve"> </w:t>
      </w:r>
      <w:r>
        <w:t>thuyết</w:t>
      </w:r>
      <w:r>
        <w:rPr>
          <w:spacing w:val="-2"/>
        </w:rPr>
        <w:t xml:space="preserve"> </w:t>
      </w:r>
      <w:r>
        <w:t>và</w:t>
      </w:r>
      <w:r>
        <w:rPr>
          <w:spacing w:val="-1"/>
        </w:rPr>
        <w:t xml:space="preserve"> </w:t>
      </w:r>
      <w:r>
        <w:t>phương</w:t>
      </w:r>
      <w:r>
        <w:rPr>
          <w:spacing w:val="-2"/>
        </w:rPr>
        <w:t xml:space="preserve"> </w:t>
      </w:r>
      <w:r>
        <w:t>pháp</w:t>
      </w:r>
      <w:r>
        <w:rPr>
          <w:spacing w:val="-2"/>
        </w:rPr>
        <w:t xml:space="preserve"> </w:t>
      </w:r>
      <w:r>
        <w:t>nghiên</w:t>
      </w:r>
      <w:r>
        <w:rPr>
          <w:spacing w:val="-2"/>
        </w:rPr>
        <w:t xml:space="preserve"> </w:t>
      </w:r>
      <w:r>
        <w:t>cứu</w:t>
      </w:r>
      <w:r>
        <w:rPr>
          <w:spacing w:val="-2"/>
        </w:rPr>
        <w:t xml:space="preserve"> </w:t>
      </w:r>
    </w:p>
    <w:p w14:paraId="19284068" w14:textId="0A19FAAE" w:rsidR="003D2823" w:rsidRDefault="001A6645" w:rsidP="00BE47E4">
      <w:pPr>
        <w:pStyle w:val="ListParagraph"/>
        <w:numPr>
          <w:ilvl w:val="1"/>
          <w:numId w:val="4"/>
        </w:numPr>
        <w:tabs>
          <w:tab w:val="left" w:pos="791"/>
        </w:tabs>
        <w:spacing w:line="360" w:lineRule="auto"/>
        <w:ind w:left="0" w:firstLine="0"/>
        <w:rPr>
          <w:b/>
          <w:i/>
        </w:rPr>
      </w:pPr>
      <w:r>
        <w:rPr>
          <w:b/>
          <w:i/>
        </w:rPr>
        <w:t>Cơ</w:t>
      </w:r>
      <w:r>
        <w:rPr>
          <w:b/>
          <w:i/>
          <w:spacing w:val="-1"/>
        </w:rPr>
        <w:t xml:space="preserve"> </w:t>
      </w:r>
      <w:r>
        <w:rPr>
          <w:b/>
          <w:i/>
        </w:rPr>
        <w:t>sở</w:t>
      </w:r>
      <w:r>
        <w:rPr>
          <w:b/>
          <w:i/>
          <w:spacing w:val="-1"/>
        </w:rPr>
        <w:t xml:space="preserve"> </w:t>
      </w:r>
      <w:r>
        <w:rPr>
          <w:b/>
          <w:i/>
        </w:rPr>
        <w:t>lý thuyết</w:t>
      </w:r>
      <w:r>
        <w:rPr>
          <w:b/>
          <w:i/>
          <w:spacing w:val="-1"/>
        </w:rPr>
        <w:t xml:space="preserve"> </w:t>
      </w:r>
    </w:p>
    <w:p w14:paraId="186CB87E" w14:textId="5D2F3EC1" w:rsidR="000161EA" w:rsidRDefault="000161EA" w:rsidP="00BE47E4">
      <w:pPr>
        <w:pStyle w:val="BodyText"/>
        <w:spacing w:line="360" w:lineRule="auto"/>
        <w:jc w:val="both"/>
      </w:pPr>
      <w:r w:rsidRPr="000161EA">
        <w:t xml:space="preserve">Phát thải khí nhà kính trong sản xuất bia có quan hệ trực tiếp với nhu cầu năng lượng của dây chuyền công nghệ và các hệ thống phụ trợ. Nhiệt năng chủ yếu được sử dụng cho nấu, gia nhiệt, vệ sinh và thanh trùng, trong khi điện năng phục vụ làm lạnh, khí nén, bơm, đóng </w:t>
      </w:r>
      <w:r>
        <w:t xml:space="preserve">chai </w:t>
      </w:r>
      <w:r w:rsidRPr="000161EA">
        <w:t>và xử lý nước thải. Vì vậy, cơ cấu nguồn năng lượng, hiệu suất thiết bị và chế độ vận hành là những yếu tố quyết định tổng lượng phát thải của nhà máy.</w:t>
      </w:r>
    </w:p>
    <w:p w14:paraId="399AEFE2" w14:textId="5DC2841E" w:rsidR="002C4183" w:rsidRPr="000161EA" w:rsidRDefault="002C4183" w:rsidP="00BE47E4">
      <w:pPr>
        <w:pStyle w:val="BodyText"/>
        <w:spacing w:line="360" w:lineRule="auto"/>
        <w:jc w:val="both"/>
      </w:pPr>
      <w:r w:rsidRPr="002C4183">
        <w:t xml:space="preserve">Kiểm kê khí nhà kính tại cấp cơ sở là quá trình xác định, định lượng và tổng hợp lượng khí nhà kính phát sinh từ các hoạt động thuộc ranh giới của doanh nghiệp. Theo GHG Protocol, phát thải được phân thành </w:t>
      </w:r>
      <w:r w:rsidR="00D72397">
        <w:t>3</w:t>
      </w:r>
      <w:r w:rsidRPr="002C4183">
        <w:t xml:space="preserve"> phạm vi: phát thải trực tiếp từ các nguồn do doanh nghiệp sở hữu hoặc kiểm soát (Phạm vi 1); phát thải gián tiếp từ điện, hơi và nhiệt mua ngoài (Phạm vi 2); và các phát thải gián tiếp khác trong chuỗi giá trị (Phạm vi 3).</w:t>
      </w:r>
      <w:r w:rsidR="00EC5D65">
        <w:t xml:space="preserve"> </w:t>
      </w:r>
      <w:r w:rsidR="00EC5D65" w:rsidRPr="00EC5D65">
        <w:t>Trong khuôn khổ kiểm kê bắt buộc hiện hành đối với các cơ sở thuộc danh mục tại Quyết định 13/2024/QĐ-TTg, việc kiểm kê tập trung vào các nguồn phát thải trực tiếp và phát thải gián tiếp từ năng lượng mua ngoài; Phạm vi 3 hiện chưa thuộc nội dung bắt buộc và có thể được doanh nghiệp xem xét bổ sung trên cơ sở tự nguyện.</w:t>
      </w:r>
    </w:p>
    <w:p w14:paraId="2528510A" w14:textId="4440420F" w:rsidR="000161EA" w:rsidRDefault="000161EA" w:rsidP="00BE47E4">
      <w:pPr>
        <w:pStyle w:val="BodyText"/>
        <w:spacing w:line="360" w:lineRule="auto"/>
        <w:jc w:val="both"/>
      </w:pPr>
      <w:r w:rsidRPr="000161EA">
        <w:t>Cường độ phát thải trên một đơn vị sản phẩm phản ánh mối quan hệ giữa phát thải và hiệu quả sản xuất, cho phép so sánh các nhà máy có quy mô khác nhau. Phân tích phân bố cường độ phát thải giữa các nhà máy cho phép xác định mức thực hành tốt và khoảng cách hiệu quả của từng cơ sở. Khoảng cách giữa cường độ phát thải hiện tại và mức tham chiếu được xem là cơ sở để ước tính dư địa giảm phát thải của ngành.</w:t>
      </w:r>
    </w:p>
    <w:p w14:paraId="645DB74E" w14:textId="0142CA33" w:rsidR="003D2823" w:rsidRDefault="001A6645" w:rsidP="00BE47E4">
      <w:pPr>
        <w:pStyle w:val="Heading4"/>
        <w:numPr>
          <w:ilvl w:val="1"/>
          <w:numId w:val="4"/>
        </w:numPr>
        <w:tabs>
          <w:tab w:val="left" w:pos="791"/>
        </w:tabs>
        <w:spacing w:before="0" w:line="360" w:lineRule="auto"/>
        <w:ind w:left="0" w:firstLine="0"/>
      </w:pPr>
      <w:r>
        <w:t>Phương</w:t>
      </w:r>
      <w:r>
        <w:rPr>
          <w:spacing w:val="-2"/>
        </w:rPr>
        <w:t xml:space="preserve"> </w:t>
      </w:r>
      <w:r>
        <w:t>pháp</w:t>
      </w:r>
      <w:r>
        <w:rPr>
          <w:spacing w:val="-2"/>
        </w:rPr>
        <w:t xml:space="preserve"> </w:t>
      </w:r>
      <w:r>
        <w:t>nghiên</w:t>
      </w:r>
      <w:r>
        <w:rPr>
          <w:spacing w:val="-2"/>
        </w:rPr>
        <w:t xml:space="preserve"> </w:t>
      </w:r>
      <w:r>
        <w:t>cứu</w:t>
      </w:r>
      <w:r>
        <w:rPr>
          <w:spacing w:val="-2"/>
        </w:rPr>
        <w:t xml:space="preserve"> </w:t>
      </w:r>
    </w:p>
    <w:p w14:paraId="1EEC5004" w14:textId="4F804330" w:rsidR="00440CE0" w:rsidRDefault="00440CE0" w:rsidP="00BE47E4">
      <w:pPr>
        <w:pStyle w:val="BodyText"/>
        <w:spacing w:line="360" w:lineRule="auto"/>
        <w:ind w:right="-73"/>
        <w:jc w:val="both"/>
      </w:pPr>
      <w:r w:rsidRPr="00440CE0">
        <w:t xml:space="preserve">Dữ liệu được tổng hợp từ báo cáo kiểm toán năng lượng, báo cáo thường niên, báo cáo phát triển bền vững và </w:t>
      </w:r>
      <w:r w:rsidR="00300012">
        <w:t>phỏng vấn, khảo sát</w:t>
      </w:r>
      <w:r w:rsidRPr="00440CE0">
        <w:t xml:space="preserve"> 29 nhà máy bia trên toàn quốc. Các thông tin chính gồm sản lượng bia, công suất thiết kế, lượng điện và hơi mua ngoài, mức tiêu thụ nhiên liệu, môi chất lạnh, hoạt động xử lý nước thải và các chỉ tiêu vận hành liên quan. Dữ liệu chi tiết tại 5 nhà máy có quy mô từ 1,8 đến 5,7 triệu hl/năm được thu thập thông qua khảo sát tại chỗ. Dữ liệu sau thu thập được chuẩn hóa về cùng đơn vị và kiểm tra tính đầy đủ, nhất quán trước khi tính toán.</w:t>
      </w:r>
    </w:p>
    <w:p w14:paraId="42AA1A9A" w14:textId="77777777" w:rsidR="009455E9" w:rsidRPr="006F7874" w:rsidRDefault="009455E9" w:rsidP="00BE47E4">
      <w:pPr>
        <w:pStyle w:val="Heading4"/>
        <w:numPr>
          <w:ilvl w:val="1"/>
          <w:numId w:val="4"/>
        </w:numPr>
        <w:tabs>
          <w:tab w:val="left" w:pos="791"/>
        </w:tabs>
        <w:spacing w:before="0" w:line="360" w:lineRule="auto"/>
        <w:ind w:left="0" w:firstLine="0"/>
      </w:pPr>
      <w:r w:rsidRPr="000A35A8">
        <w:lastRenderedPageBreak/>
        <w:t xml:space="preserve">Phương pháp tính toán phát thải </w:t>
      </w:r>
    </w:p>
    <w:p w14:paraId="41642886" w14:textId="77777777" w:rsidR="00080E67" w:rsidRDefault="00080E67" w:rsidP="00BE47E4">
      <w:pPr>
        <w:pStyle w:val="BodyText"/>
        <w:spacing w:line="360" w:lineRule="auto"/>
        <w:jc w:val="both"/>
      </w:pPr>
      <w:r>
        <w:t>Lượng phát thải của từng nguồn được xác định trên cơ sở số liệu hoạt động và hệ số phát thải tương ứng:</w:t>
      </w:r>
    </w:p>
    <w:p w14:paraId="3A73867B" w14:textId="77777777" w:rsidR="00080E67" w:rsidRPr="00884498" w:rsidRDefault="00080E67" w:rsidP="00BE47E4">
      <w:pPr>
        <w:pStyle w:val="BodyText"/>
        <w:spacing w:line="360" w:lineRule="auto"/>
        <w:jc w:val="center"/>
        <w:rPr>
          <w:i/>
          <w:iCs/>
        </w:rPr>
      </w:pPr>
      <w:r w:rsidRPr="00884498">
        <w:rPr>
          <w:i/>
          <w:iCs/>
        </w:rPr>
        <w:t>Phát thải KNK = Số liệu hoạt động × Hệ số phát thải × Hệ số làm nóng lên toàn cầu</w:t>
      </w:r>
    </w:p>
    <w:p w14:paraId="411F4406" w14:textId="77777777" w:rsidR="001B3E3E" w:rsidRDefault="002C4183" w:rsidP="00BE47E4">
      <w:pPr>
        <w:pStyle w:val="BodyText"/>
        <w:spacing w:line="360" w:lineRule="auto"/>
        <w:jc w:val="both"/>
      </w:pPr>
      <w:r>
        <w:t xml:space="preserve">Trong đó, </w:t>
      </w:r>
      <w:r w:rsidRPr="002C4183">
        <w:t>Hệ số phát thải được lựa chọn theo hệ số do cơ quan quản lý Việt Nam công bố, hệ số phát thải lưới điện của năm báo cáo và hệ số mặc định của IPCC.</w:t>
      </w:r>
      <w:r w:rsidR="00095AD3">
        <w:t xml:space="preserve"> </w:t>
      </w:r>
      <w:r w:rsidR="001B3E3E" w:rsidRPr="001B3E3E">
        <w:t>Hệ số GWP không được nhân thêm khi tính phát thải từ điện lưới</w:t>
      </w:r>
    </w:p>
    <w:p w14:paraId="3A0E90AC" w14:textId="06F8A377" w:rsidR="00A16804" w:rsidRDefault="00080E67" w:rsidP="00BE47E4">
      <w:pPr>
        <w:pStyle w:val="BodyText"/>
        <w:spacing w:line="360" w:lineRule="auto"/>
        <w:jc w:val="both"/>
      </w:pPr>
      <w:r>
        <w:t xml:space="preserve">Phát thải của CO₂, CH₄, N₂O và các khí nhà kính khác được quy đổi về CO₂ tương đương để tổng hợp và so sánh. Đối với sản xuất bia, các nguồn phát thải chính tại nhà máy gồm sử dụng điện, đốt nhiên liệu tạo hơi, rò rỉ môi chất lạnh, xử lý nước thải và hoạt động vận chuyển nội bộ. </w:t>
      </w:r>
      <w:r w:rsidR="00644B34">
        <w:t xml:space="preserve">Khí </w:t>
      </w:r>
      <w:r>
        <w:t xml:space="preserve">CO₂ </w:t>
      </w:r>
      <w:r w:rsidR="00A16804" w:rsidRPr="00A16804">
        <w:t>sinh học phát sinh từ quá trình lên men được báo cáo riêng và không cộng vào tổng phát thải của cơ sở theo hướng dẫn của BIER</w:t>
      </w:r>
      <w:r w:rsidR="00A16804">
        <w:t xml:space="preserve"> (2022).</w:t>
      </w:r>
    </w:p>
    <w:p w14:paraId="7CFAE270" w14:textId="37DD262E" w:rsidR="00080E67" w:rsidRDefault="00080E67" w:rsidP="00BE47E4">
      <w:pPr>
        <w:pStyle w:val="BodyText"/>
        <w:spacing w:line="360" w:lineRule="auto"/>
        <w:jc w:val="both"/>
      </w:pPr>
      <w:r w:rsidRPr="005F5F85">
        <w:t>Cường độ phát thải được xác định bằng tổng phát thải chia cho sản lượng bia, tính theo gCO₂tđ/l, nhằm so sánh giữa các nhà máy và đánh giá dư địa giảm phát thải.</w:t>
      </w:r>
    </w:p>
    <w:p w14:paraId="669CEA38" w14:textId="5EA5C505" w:rsidR="00825B8D" w:rsidRPr="00825B8D" w:rsidRDefault="00825B8D" w:rsidP="00BE47E4">
      <w:pPr>
        <w:spacing w:line="360" w:lineRule="auto"/>
      </w:pPr>
      <w:r w:rsidRPr="00825B8D">
        <w:t xml:space="preserve">Một số doanh nghiệp mua chứng chỉ I-REC để ghi nhận phần điện tiêu thụ tương ứng có nguồn gốc tái tạo, qua đó giảm phát thải Phạm vi 2 khi công bố trên thị trường. </w:t>
      </w:r>
      <w:r w:rsidR="00465767" w:rsidRPr="00465767">
        <w:t>Nghiên cứu áp dụng phương pháp dựa trên vị trí địa lý cho Phạm vi 2, do đó chưa xem xét tác động của I-REC theo phương pháp dựa trên thị trường</w:t>
      </w:r>
      <w:r w:rsidRPr="00825B8D">
        <w:t>.</w:t>
      </w:r>
    </w:p>
    <w:p w14:paraId="48C629FB" w14:textId="5CB1B4DD" w:rsidR="003D2823" w:rsidRDefault="001A6645" w:rsidP="00BE47E4">
      <w:pPr>
        <w:pStyle w:val="Heading3"/>
        <w:numPr>
          <w:ilvl w:val="0"/>
          <w:numId w:val="4"/>
        </w:numPr>
        <w:tabs>
          <w:tab w:val="left" w:pos="626"/>
        </w:tabs>
        <w:spacing w:line="360" w:lineRule="auto"/>
        <w:ind w:left="0" w:firstLine="0"/>
        <w:jc w:val="both"/>
      </w:pPr>
      <w:r>
        <w:t>Kết</w:t>
      </w:r>
      <w:r>
        <w:rPr>
          <w:spacing w:val="-4"/>
        </w:rPr>
        <w:t xml:space="preserve"> </w:t>
      </w:r>
      <w:r>
        <w:t>quả</w:t>
      </w:r>
      <w:r>
        <w:rPr>
          <w:spacing w:val="-1"/>
        </w:rPr>
        <w:t xml:space="preserve"> </w:t>
      </w:r>
      <w:r>
        <w:t>và</w:t>
      </w:r>
      <w:r>
        <w:rPr>
          <w:spacing w:val="-1"/>
        </w:rPr>
        <w:t xml:space="preserve"> </w:t>
      </w:r>
      <w:r>
        <w:t>thảo</w:t>
      </w:r>
      <w:r>
        <w:rPr>
          <w:spacing w:val="-1"/>
        </w:rPr>
        <w:t xml:space="preserve"> </w:t>
      </w:r>
      <w:r>
        <w:t>luận</w:t>
      </w:r>
      <w:r>
        <w:rPr>
          <w:spacing w:val="-3"/>
        </w:rPr>
        <w:t xml:space="preserve"> </w:t>
      </w:r>
      <w:r>
        <w:t>kết</w:t>
      </w:r>
      <w:r>
        <w:rPr>
          <w:spacing w:val="-1"/>
        </w:rPr>
        <w:t xml:space="preserve"> </w:t>
      </w:r>
      <w:r>
        <w:t>quả</w:t>
      </w:r>
      <w:r>
        <w:rPr>
          <w:spacing w:val="-1"/>
        </w:rPr>
        <w:t xml:space="preserve"> </w:t>
      </w:r>
      <w:r>
        <w:t>nghiên</w:t>
      </w:r>
      <w:r>
        <w:rPr>
          <w:spacing w:val="-2"/>
        </w:rPr>
        <w:t xml:space="preserve"> </w:t>
      </w:r>
      <w:r>
        <w:t>cứu</w:t>
      </w:r>
      <w:r>
        <w:rPr>
          <w:spacing w:val="-2"/>
        </w:rPr>
        <w:t xml:space="preserve"> </w:t>
      </w:r>
    </w:p>
    <w:p w14:paraId="10B30215" w14:textId="379AA490" w:rsidR="0069190D" w:rsidRPr="0069190D" w:rsidRDefault="0069190D" w:rsidP="00BE47E4">
      <w:pPr>
        <w:pStyle w:val="ListParagraph"/>
        <w:numPr>
          <w:ilvl w:val="1"/>
          <w:numId w:val="4"/>
        </w:numPr>
        <w:tabs>
          <w:tab w:val="left" w:pos="791"/>
        </w:tabs>
        <w:spacing w:line="360" w:lineRule="auto"/>
        <w:ind w:left="0" w:firstLine="0"/>
        <w:rPr>
          <w:b/>
          <w:i/>
        </w:rPr>
      </w:pPr>
      <w:r>
        <w:rPr>
          <w:b/>
          <w:i/>
        </w:rPr>
        <w:t>Tổng quan quy mô</w:t>
      </w:r>
      <w:r w:rsidR="000B68CD">
        <w:rPr>
          <w:b/>
          <w:i/>
        </w:rPr>
        <w:t xml:space="preserve"> sản xuất ngành bia Việt Nam</w:t>
      </w:r>
    </w:p>
    <w:p w14:paraId="292A4988" w14:textId="02CCB091" w:rsidR="003B6682" w:rsidRDefault="00C05D87" w:rsidP="00BE47E4">
      <w:pPr>
        <w:spacing w:line="360" w:lineRule="auto"/>
        <w:jc w:val="both"/>
      </w:pPr>
      <w:r>
        <w:t>N</w:t>
      </w:r>
      <w:r w:rsidR="00351B2F" w:rsidRPr="00351B2F">
        <w:t>gành sản xuất bia tại Việt Nam có khoảng 1</w:t>
      </w:r>
      <w:r w:rsidR="00DB5DEF">
        <w:t>6</w:t>
      </w:r>
      <w:r w:rsidR="00482B3E">
        <w:t>6</w:t>
      </w:r>
      <w:r w:rsidR="00351B2F" w:rsidRPr="00351B2F">
        <w:t xml:space="preserve"> </w:t>
      </w:r>
      <w:r w:rsidR="00DB5DEF">
        <w:t>doanh nghiệp</w:t>
      </w:r>
      <w:r w:rsidR="00351B2F" w:rsidRPr="00351B2F">
        <w:t xml:space="preserve"> đang hoạt động, với cấu trúc thị trường phân hóa rõ rệt từ quy mô công nghiệp lớn đến các xưởng bia thủ công</w:t>
      </w:r>
      <w:r w:rsidR="00F042CD">
        <w:t xml:space="preserve"> (Bộ Công Thương, 2016)</w:t>
      </w:r>
      <w:r w:rsidR="00351B2F" w:rsidRPr="00351B2F">
        <w:t xml:space="preserve">. </w:t>
      </w:r>
      <w:r w:rsidR="000D27F1" w:rsidRPr="000D27F1">
        <w:t xml:space="preserve">Thị trường bị chi phối bởi </w:t>
      </w:r>
      <w:r w:rsidR="00487154">
        <w:t>các</w:t>
      </w:r>
      <w:r w:rsidR="000D27F1" w:rsidRPr="000D27F1">
        <w:t xml:space="preserve"> tập đoàn hàng đầu (S</w:t>
      </w:r>
      <w:r w:rsidR="004D6D58" w:rsidRPr="000D27F1">
        <w:t xml:space="preserve">abeco, Habeco, Heineken </w:t>
      </w:r>
      <w:r w:rsidR="000D27F1" w:rsidRPr="000D27F1">
        <w:t>và Carlsberg</w:t>
      </w:r>
      <w:r w:rsidR="004D6D58">
        <w:t>)</w:t>
      </w:r>
      <w:r w:rsidR="000D27F1" w:rsidRPr="000D27F1">
        <w:t>, bên cạnh khoảng 20–30 nhà máy địa phương quy mô vừa và 30–40 cơ sở bia thủ công. Về cơ cấu công suất, nhóm quy mô nhỏ (dưới 20 triệu lít/năm) chiếm 64,5%, nhóm trung bình (20–100 triệu lít/năm) chiếm 28,9%, và nhóm quy mô lớn (trên 100 triệu lít/năm) chỉ chiếm 6,6%</w:t>
      </w:r>
      <w:r w:rsidR="00355E3A">
        <w:t xml:space="preserve"> (Bộ Công Thương, 2024)</w:t>
      </w:r>
      <w:r w:rsidR="00351B2F" w:rsidRPr="00351B2F">
        <w:t>. Phân bố các nhà máy bia theo quy mô sản xuất được thể hiện chi tiết tạ</w:t>
      </w:r>
      <w:r w:rsidR="00351B2F">
        <w:t>i</w:t>
      </w:r>
      <w:r w:rsidR="003B6682">
        <w:t xml:space="preserve"> </w:t>
      </w:r>
      <w:r w:rsidR="00B44E7D">
        <w:fldChar w:fldCharType="begin"/>
      </w:r>
      <w:r w:rsidR="00B44E7D">
        <w:instrText xml:space="preserve"> REF _Ref235614997 \h </w:instrText>
      </w:r>
      <w:r w:rsidR="00B44E7D">
        <w:fldChar w:fldCharType="separate"/>
      </w:r>
      <w:r w:rsidR="00B44E7D" w:rsidRPr="00637514">
        <w:t>Hình 1</w:t>
      </w:r>
      <w:r w:rsidR="00B44E7D">
        <w:fldChar w:fldCharType="end"/>
      </w:r>
      <w:r w:rsidR="00B44E7D">
        <w:t>.</w:t>
      </w:r>
      <w:r w:rsidR="00BF542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66"/>
      </w:tblGrid>
      <w:tr w:rsidR="001B3EEC" w14:paraId="3450ECD0" w14:textId="77777777" w:rsidTr="007868F2">
        <w:tc>
          <w:tcPr>
            <w:tcW w:w="4962" w:type="dxa"/>
          </w:tcPr>
          <w:p w14:paraId="2B0CA706" w14:textId="75756CB7" w:rsidR="001B3EEC" w:rsidRDefault="001B3EEC" w:rsidP="00BE47E4">
            <w:pPr>
              <w:spacing w:line="360" w:lineRule="auto"/>
              <w:jc w:val="both"/>
            </w:pPr>
            <w:r>
              <w:rPr>
                <w:noProof/>
              </w:rPr>
              <w:drawing>
                <wp:inline distT="0" distB="0" distL="0" distR="0" wp14:anchorId="34D89AE6" wp14:editId="0FA66257">
                  <wp:extent cx="2965622" cy="1572895"/>
                  <wp:effectExtent l="0" t="0" r="6350" b="8255"/>
                  <wp:docPr id="210395493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42E80C90-9468-A515-AEE5-1226B5FF1B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166" w:type="dxa"/>
          </w:tcPr>
          <w:p w14:paraId="1F705A9D" w14:textId="49E1E336" w:rsidR="001B3EEC" w:rsidRDefault="001B3EEC" w:rsidP="007868F2">
            <w:pPr>
              <w:spacing w:line="360" w:lineRule="auto"/>
              <w:jc w:val="right"/>
            </w:pPr>
            <w:r>
              <w:rPr>
                <w:noProof/>
              </w:rPr>
              <w:drawing>
                <wp:inline distT="0" distB="0" distL="0" distR="0" wp14:anchorId="79D67617" wp14:editId="37AB0A69">
                  <wp:extent cx="3138617" cy="1604645"/>
                  <wp:effectExtent l="0" t="0" r="5080" b="0"/>
                  <wp:docPr id="78934072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AC9A1425-D46F-FDA4-3477-42157B295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1B3EEC" w14:paraId="1D0BF6ED" w14:textId="77777777" w:rsidTr="007868F2">
        <w:tc>
          <w:tcPr>
            <w:tcW w:w="4962" w:type="dxa"/>
          </w:tcPr>
          <w:p w14:paraId="627A3157" w14:textId="77777777" w:rsidR="001B3EEC" w:rsidRDefault="001B3EEC" w:rsidP="00BE47E4">
            <w:pPr>
              <w:pStyle w:val="Caption"/>
              <w:spacing w:after="0" w:line="360" w:lineRule="auto"/>
            </w:pPr>
            <w:bookmarkStart w:id="1" w:name="_Ref235614997"/>
            <w:r w:rsidRPr="00637514">
              <w:t xml:space="preserve">Hình </w:t>
            </w:r>
            <w:fldSimple w:instr=" SEQ Hình \* ARABIC ">
              <w:r>
                <w:rPr>
                  <w:noProof/>
                </w:rPr>
                <w:t>1</w:t>
              </w:r>
            </w:fldSimple>
            <w:bookmarkEnd w:id="1"/>
            <w:r w:rsidRPr="00637514">
              <w:t>. Phân bố quy mô sản xuất các nhà máy bia Việt Nam</w:t>
            </w:r>
            <w:r w:rsidR="00D35E29">
              <w:t xml:space="preserve"> </w:t>
            </w:r>
          </w:p>
          <w:p w14:paraId="2EF2C1BB" w14:textId="73C3D533" w:rsidR="00D35E29" w:rsidRPr="00D35E29" w:rsidRDefault="00D35E29" w:rsidP="00BE47E4"/>
        </w:tc>
        <w:tc>
          <w:tcPr>
            <w:tcW w:w="5166" w:type="dxa"/>
          </w:tcPr>
          <w:p w14:paraId="31FEF50E" w14:textId="64331C1F" w:rsidR="001B3EEC" w:rsidRPr="00082E7C" w:rsidRDefault="00082E7C" w:rsidP="00BE47E4">
            <w:pPr>
              <w:pStyle w:val="Caption"/>
              <w:spacing w:after="0" w:line="360" w:lineRule="auto"/>
              <w:rPr>
                <w:b w:val="0"/>
                <w:i w:val="0"/>
              </w:rPr>
            </w:pPr>
            <w:r>
              <w:t xml:space="preserve">Hình </w:t>
            </w:r>
            <w:fldSimple w:instr=" SEQ Hình \* ARABIC ">
              <w:r>
                <w:rPr>
                  <w:noProof/>
                </w:rPr>
                <w:t>2</w:t>
              </w:r>
            </w:fldSimple>
            <w:r>
              <w:t>. Phân bố quy mô nhà máy khảo sát</w:t>
            </w:r>
            <w:r w:rsidR="001D6C49">
              <w:t xml:space="preserve"> </w:t>
            </w:r>
          </w:p>
        </w:tc>
      </w:tr>
    </w:tbl>
    <w:p w14:paraId="5DECC0D4" w14:textId="1967B42B" w:rsidR="00BF5428" w:rsidRPr="00482B3E" w:rsidRDefault="00BF5428" w:rsidP="00BE47E4">
      <w:pPr>
        <w:pStyle w:val="ListParagraph"/>
        <w:numPr>
          <w:ilvl w:val="1"/>
          <w:numId w:val="4"/>
        </w:numPr>
        <w:spacing w:line="360" w:lineRule="auto"/>
        <w:ind w:left="0" w:firstLine="0"/>
        <w:rPr>
          <w:b/>
          <w:i/>
        </w:rPr>
      </w:pPr>
      <w:r w:rsidRPr="0032249F">
        <w:rPr>
          <w:b/>
          <w:i/>
        </w:rPr>
        <w:t xml:space="preserve">Quy mô các nhà máy bia </w:t>
      </w:r>
      <w:r w:rsidR="00047809">
        <w:rPr>
          <w:b/>
          <w:i/>
        </w:rPr>
        <w:t xml:space="preserve">được </w:t>
      </w:r>
      <w:r w:rsidRPr="0032249F">
        <w:rPr>
          <w:b/>
          <w:i/>
        </w:rPr>
        <w:t>khảo sát</w:t>
      </w:r>
    </w:p>
    <w:p w14:paraId="1F7D5D12" w14:textId="77777777" w:rsidR="00FB485B" w:rsidRDefault="006828CE" w:rsidP="00BE47E4">
      <w:pPr>
        <w:spacing w:line="360" w:lineRule="auto"/>
        <w:jc w:val="both"/>
      </w:pPr>
      <w:r>
        <w:t xml:space="preserve"> </w:t>
      </w:r>
      <w:r w:rsidR="00FB485B" w:rsidRPr="00FB485B">
        <w:t xml:space="preserve">Nghiên cứu tiến hành khảo sát 29 nhà máy bia với phân bố công suất được thể hiện tại </w:t>
      </w:r>
      <w:fldSimple w:instr=" REF _Ref235617756 ">
        <w:r w:rsidR="00FB485B">
          <w:t xml:space="preserve">Hình </w:t>
        </w:r>
        <w:r w:rsidR="00FB485B">
          <w:rPr>
            <w:noProof/>
          </w:rPr>
          <w:t>2</w:t>
        </w:r>
      </w:fldSimple>
      <w:r w:rsidR="00FB485B" w:rsidRPr="00FB485B">
        <w:t xml:space="preserve">. Cơ cấu mẫu khảo sát tập trung chủ yếu ở phân khúc trung bình và lớn (chiếm 79,3%), bao gồm: 50–100 triệu lít/năm (41,4%; 12 nhà máy), trên 200 triệu lít/năm (24,1%; 07 nhà máy), 20–50 triệu lít/năm (20,7%; 06 nhà máy) và 100–200 triệu lít/năm (13,8%; 04 nhà máy). Dung lượng mẫu này đảm bảo tính đại diện để phân tích mức độ phát thải theo quy mô. Trong đó, nghiên cứu tập trung chuyên sâu vào nhóm quy mô trung bình và lớn do đóng góp tỷ trọng phát thải chủ yếu, đồng thời loại trừ nhóm quy mô dưới 20 triệu lít/năm do tổng sản lượng và tác động môi trường không </w:t>
      </w:r>
      <w:r w:rsidR="00FB485B" w:rsidRPr="00FB485B">
        <w:lastRenderedPageBreak/>
        <w:t>đáng kể</w:t>
      </w:r>
      <w:r w:rsidR="00FB485B">
        <w:t>.</w:t>
      </w:r>
    </w:p>
    <w:p w14:paraId="0D9B3D7A" w14:textId="77777777" w:rsidR="0043742E" w:rsidRPr="0043742E" w:rsidRDefault="0017205F" w:rsidP="00BE47E4">
      <w:pPr>
        <w:pStyle w:val="ListParagraph"/>
        <w:numPr>
          <w:ilvl w:val="1"/>
          <w:numId w:val="4"/>
        </w:numPr>
        <w:tabs>
          <w:tab w:val="left" w:pos="791"/>
        </w:tabs>
        <w:spacing w:line="360" w:lineRule="auto"/>
        <w:ind w:left="0" w:firstLine="0"/>
        <w:rPr>
          <w:b/>
          <w:i/>
        </w:rPr>
      </w:pPr>
      <w:r w:rsidRPr="00BF5428">
        <w:rPr>
          <w:b/>
          <w:i/>
        </w:rPr>
        <w:t>Cơ cấu phát thải KNK ngành bia</w:t>
      </w:r>
    </w:p>
    <w:p w14:paraId="61709F71" w14:textId="2D622C64" w:rsidR="0043742E" w:rsidRDefault="0043742E" w:rsidP="00BE47E4">
      <w:pPr>
        <w:spacing w:line="360" w:lineRule="auto"/>
      </w:pPr>
      <w:r w:rsidRPr="005F2CF6">
        <w:t>Sản xuất bia tiêu thụ lượng lớn điện năng và nhiệt năng, phát thải khí nhà kính (KNK) đáng kể ở cả Phạm vi 1 và Phạm vi 2 (GHG Protocol, 2004). Tại các nhà máy bia truyền thống sử dụng nhiên liệu hóa thạch, nhiệt năng từ lò hơi chiếm 30–50% tổng phát thải KNK (Kubule et al., 2016; UNIDO, 2017). Điện năng phục vụ làm lạnh, nén khí và đóng gói chiếm 45–60% (</w:t>
      </w:r>
      <w:r w:rsidR="00C42FA6" w:rsidRPr="00C42FA6">
        <w:t>Worrell et al.</w:t>
      </w:r>
      <w:r w:rsidR="00C42FA6">
        <w:t>,</w:t>
      </w:r>
      <w:r w:rsidR="001022F8">
        <w:t xml:space="preserve"> </w:t>
      </w:r>
      <w:r w:rsidR="00C42FA6" w:rsidRPr="00C42FA6">
        <w:t>2002</w:t>
      </w:r>
      <w:r w:rsidRPr="005F2CF6">
        <w:t>; Kubule et al., 2016), trong khi các nguồn phụ (rò rỉ môi chất lạnh, xử lý nước thải) chiếm 2–8% (Olajire, 2020).</w:t>
      </w:r>
    </w:p>
    <w:p w14:paraId="38A18FB6" w14:textId="06EC8550" w:rsidR="0043742E" w:rsidRDefault="0043742E" w:rsidP="00BE47E4">
      <w:pPr>
        <w:spacing w:line="360" w:lineRule="auto"/>
      </w:pPr>
      <w:r w:rsidRPr="0073179A">
        <w:t xml:space="preserve">Trái ngược với bức tranh chung, kết quả khảo sát 05 nhà máy bia trong nghiên cứu này ghi nhận điện lưới chiếm tới 93% tổng phát thải KNK. Phát thải từ hơi mua chỉ chiếm khoảng 3%, do các nhà máy đã chuyển sang sử dụng nhiên liệu sinh khối. </w:t>
      </w:r>
      <w:r w:rsidRPr="007C272E">
        <w:t>Cường độ phát thải của 5 nhà máy dao động khoảng 43–57 gCO₂tđ/L</w:t>
      </w:r>
      <w:r>
        <w:t xml:space="preserve">. </w:t>
      </w:r>
      <w:r w:rsidRPr="0073179A">
        <w:t xml:space="preserve">Theo hướng dẫn kiểm kê KNK, phát thải </w:t>
      </w:r>
      <m:oMath>
        <m:sSub>
          <m:sSubPr>
            <m:ctrlPr>
              <w:rPr>
                <w:rFonts w:ascii="Cambria Math" w:hAnsi="Cambria Math"/>
              </w:rPr>
            </m:ctrlPr>
          </m:sSubPr>
          <m:e>
            <m:r>
              <m:rPr>
                <m:nor/>
              </m:rPr>
              <m:t>CO</m:t>
            </m:r>
          </m:e>
          <m:sub>
            <m:r>
              <w:rPr>
                <w:rFonts w:ascii="Cambria Math" w:hAnsi="Cambria Math"/>
              </w:rPr>
              <m:t>2</m:t>
            </m:r>
          </m:sub>
        </m:sSub>
      </m:oMath>
      <w:r w:rsidRPr="0073179A">
        <w:t xml:space="preserve"> sinh học từ </w:t>
      </w:r>
      <w:r w:rsidR="005B50D0">
        <w:t>sinh khối</w:t>
      </w:r>
      <w:r w:rsidRPr="0073179A">
        <w:t xml:space="preserve"> được loại trừ khỏi tổng phát thải cố định của cơ sở, chỉ tính lượng nhỏ </w:t>
      </w:r>
      <m:oMath>
        <m:sSub>
          <m:sSubPr>
            <m:ctrlPr>
              <w:rPr>
                <w:rFonts w:ascii="Cambria Math" w:hAnsi="Cambria Math"/>
              </w:rPr>
            </m:ctrlPr>
          </m:sSubPr>
          <m:e>
            <m:r>
              <m:rPr>
                <m:nor/>
              </m:rPr>
              <m:t>CH</m:t>
            </m:r>
          </m:e>
          <m:sub>
            <m:r>
              <w:rPr>
                <w:rFonts w:ascii="Cambria Math" w:hAnsi="Cambria Math"/>
              </w:rPr>
              <m:t>4</m:t>
            </m:r>
          </m:sub>
        </m:sSub>
      </m:oMath>
      <w:r w:rsidRPr="0073179A">
        <w:t xml:space="preserve"> và </w:t>
      </w:r>
      <m:oMath>
        <m:sSub>
          <m:sSubPr>
            <m:ctrlPr>
              <w:rPr>
                <w:rFonts w:ascii="Cambria Math" w:hAnsi="Cambria Math"/>
              </w:rPr>
            </m:ctrlPr>
          </m:sSubPr>
          <m:e>
            <m:r>
              <m:rPr>
                <m:nor/>
              </m:rPr>
              <m:t>N</m:t>
            </m:r>
          </m:e>
          <m:sub>
            <m:r>
              <w:rPr>
                <w:rFonts w:ascii="Cambria Math" w:hAnsi="Cambria Math"/>
              </w:rPr>
              <m:t>2</m:t>
            </m:r>
          </m:sub>
        </m:sSub>
        <m:r>
          <m:rPr>
            <m:nor/>
          </m:rPr>
          <m:t>O</m:t>
        </m:r>
      </m:oMath>
      <w:r w:rsidRPr="0073179A">
        <w:t xml:space="preserve"> (IPCC, 2006; WRI/WBCSD, 2011). Các nguồn còn lại gồm đốt nhiên liệu tại chỗ (1,1%), rò rỉ môi chất lạnh (0,4%) và xử lý nước thải (1,5%) chiếm tỷ trọng không đáng kể</w:t>
      </w:r>
      <w:r>
        <w:t xml:space="preserve"> (</w:t>
      </w:r>
      <w:fldSimple w:instr=" REF _Ref235616041 ">
        <w:r w:rsidRPr="0032249F">
          <w:rPr>
            <w:b/>
          </w:rPr>
          <w:t xml:space="preserve">Hình </w:t>
        </w:r>
        <w:r>
          <w:rPr>
            <w:noProof/>
          </w:rPr>
          <w:t>3</w:t>
        </w:r>
      </w:fldSimple>
      <w:r>
        <w:t>)</w:t>
      </w:r>
      <w:r w:rsidRPr="0073179A">
        <w:t>.</w:t>
      </w:r>
      <w:r>
        <w:t xml:space="preserve"> </w:t>
      </w:r>
      <w:r w:rsidRPr="0073179A">
        <w:t xml:space="preserve">Sự so sánh này khẳng định </w:t>
      </w:r>
      <w:r w:rsidR="00733825">
        <w:t>v</w:t>
      </w:r>
      <w:r w:rsidR="00733825" w:rsidRPr="00733825">
        <w:t>iệc sử dụng sinh khối giúp giảm đáng kể phát thải CO₂ hóa thạch liên quan đến nhu cầu nhiệt trong phạm vi kiểm kê của nghiên cứu</w:t>
      </w:r>
      <w:r w:rsidRPr="0073179A">
        <w:t>. Nhờ đó, bài toán giảm phát thải hướng tới trung hòa carbon của ngành bia tập trung chủ yếu vào việc tối ưu hóa hiệu suất sử dụng điện và xanh hóa nguồn điện tiêu thụ.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5106"/>
      </w:tblGrid>
      <w:tr w:rsidR="0043742E" w14:paraId="4BBF1165" w14:textId="77777777" w:rsidTr="00B14316">
        <w:tc>
          <w:tcPr>
            <w:tcW w:w="4663" w:type="dxa"/>
          </w:tcPr>
          <w:p w14:paraId="291314E8" w14:textId="77777777" w:rsidR="0043742E" w:rsidRDefault="0043742E" w:rsidP="00BE47E4">
            <w:pPr>
              <w:spacing w:line="360" w:lineRule="auto"/>
            </w:pPr>
            <w:r>
              <w:rPr>
                <w:noProof/>
              </w:rPr>
              <w:drawing>
                <wp:inline distT="0" distB="0" distL="0" distR="0" wp14:anchorId="437E560F" wp14:editId="60B85065">
                  <wp:extent cx="2949146" cy="2067697"/>
                  <wp:effectExtent l="0" t="0" r="3810" b="8890"/>
                  <wp:docPr id="69982125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5649263-D575-1D72-50B7-EB0E3D5EB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893" w:type="dxa"/>
          </w:tcPr>
          <w:p w14:paraId="5C15CF50" w14:textId="77777777" w:rsidR="0043742E" w:rsidRDefault="0043742E" w:rsidP="00BE47E4">
            <w:pPr>
              <w:spacing w:line="360" w:lineRule="auto"/>
            </w:pPr>
            <w:r>
              <w:rPr>
                <w:noProof/>
              </w:rPr>
              <w:drawing>
                <wp:inline distT="0" distB="0" distL="0" distR="0" wp14:anchorId="19F10F75" wp14:editId="4FEAAA09">
                  <wp:extent cx="3105150" cy="2108886"/>
                  <wp:effectExtent l="0" t="0" r="0" b="5715"/>
                  <wp:docPr id="89301498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68580C2-B732-99C3-9A69-49E353376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43742E" w14:paraId="57D93976" w14:textId="77777777" w:rsidTr="00B14316">
        <w:tc>
          <w:tcPr>
            <w:tcW w:w="4663" w:type="dxa"/>
          </w:tcPr>
          <w:p w14:paraId="7C0B27A7" w14:textId="3EC712FF" w:rsidR="0043742E" w:rsidRPr="00D35E29" w:rsidRDefault="0043742E" w:rsidP="00BE47E4">
            <w:pPr>
              <w:pStyle w:val="Caption"/>
              <w:spacing w:after="0" w:line="360" w:lineRule="auto"/>
              <w:jc w:val="left"/>
              <w:rPr>
                <w:noProof/>
              </w:rPr>
            </w:pPr>
            <w:r>
              <w:t xml:space="preserve">Hình </w:t>
            </w:r>
            <w:fldSimple w:instr=" SEQ Hình \* ARABIC ">
              <w:r>
                <w:rPr>
                  <w:noProof/>
                </w:rPr>
                <w:t>3</w:t>
              </w:r>
            </w:fldSimple>
            <w:r>
              <w:t xml:space="preserve">. </w:t>
            </w:r>
            <w:r w:rsidRPr="003C45BF">
              <w:rPr>
                <w:noProof/>
              </w:rPr>
              <w:t xml:space="preserve">Tỷ trọng các nguồn phát thải </w:t>
            </w:r>
            <w:r>
              <w:rPr>
                <w:noProof/>
              </w:rPr>
              <w:t xml:space="preserve">KNK </w:t>
            </w:r>
            <w:r w:rsidRPr="003C45BF">
              <w:rPr>
                <w:noProof/>
              </w:rPr>
              <w:t>trong các nhà máy bia sử dụng nhiên liệu sinh khối tại Việt Nam</w:t>
            </w:r>
            <w:r w:rsidR="00D35E29">
              <w:rPr>
                <w:noProof/>
              </w:rPr>
              <w:t xml:space="preserve"> </w:t>
            </w:r>
          </w:p>
        </w:tc>
        <w:tc>
          <w:tcPr>
            <w:tcW w:w="4893" w:type="dxa"/>
          </w:tcPr>
          <w:p w14:paraId="52FD3B4F" w14:textId="32925EA5" w:rsidR="0043742E" w:rsidRPr="003C45BF" w:rsidRDefault="0043742E" w:rsidP="00BE47E4">
            <w:pPr>
              <w:pStyle w:val="Caption"/>
              <w:spacing w:after="0" w:line="360" w:lineRule="auto"/>
            </w:pPr>
            <w:r w:rsidRPr="003C45BF">
              <w:rPr>
                <w:noProof/>
              </w:rPr>
              <w:t xml:space="preserve"> </w:t>
            </w:r>
            <w:r>
              <w:t xml:space="preserve">Hình </w:t>
            </w:r>
            <w:fldSimple w:instr=" SEQ Hình \* ARABIC ">
              <w:r>
                <w:rPr>
                  <w:noProof/>
                </w:rPr>
                <w:t>4</w:t>
              </w:r>
            </w:fldSimple>
            <w:r>
              <w:t xml:space="preserve">. </w:t>
            </w:r>
            <w:r>
              <w:rPr>
                <w:noProof/>
              </w:rPr>
              <w:t>Cường độ phát thải KNK của 5 nhà máy khảo s</w:t>
            </w:r>
            <w:r w:rsidR="004B68D8">
              <w:rPr>
                <w:noProof/>
              </w:rPr>
              <w:t>á</w:t>
            </w:r>
            <w:r>
              <w:rPr>
                <w:noProof/>
              </w:rPr>
              <w:t>t</w:t>
            </w:r>
          </w:p>
        </w:tc>
      </w:tr>
    </w:tbl>
    <w:p w14:paraId="6E698E5F" w14:textId="77777777" w:rsidR="0043742E" w:rsidRPr="0043742E" w:rsidRDefault="0043742E" w:rsidP="00BE47E4">
      <w:pPr>
        <w:spacing w:line="360" w:lineRule="auto"/>
      </w:pPr>
    </w:p>
    <w:p w14:paraId="7E6160F2" w14:textId="4ADB255E" w:rsidR="003D2823" w:rsidRPr="009B3FFE" w:rsidRDefault="0017205F" w:rsidP="00BE47E4">
      <w:pPr>
        <w:pStyle w:val="ListParagraph"/>
        <w:numPr>
          <w:ilvl w:val="1"/>
          <w:numId w:val="4"/>
        </w:numPr>
        <w:tabs>
          <w:tab w:val="left" w:pos="791"/>
        </w:tabs>
        <w:spacing w:line="360" w:lineRule="auto"/>
        <w:ind w:left="0" w:firstLine="0"/>
        <w:rPr>
          <w:b/>
          <w:i/>
        </w:rPr>
      </w:pPr>
      <w:r w:rsidRPr="00BF5428">
        <w:rPr>
          <w:b/>
          <w:i/>
        </w:rPr>
        <w:t xml:space="preserve"> </w:t>
      </w:r>
      <w:r w:rsidR="0043742E" w:rsidRPr="0043742E">
        <w:rPr>
          <w:b/>
          <w:i/>
        </w:rPr>
        <w:t>Cường độ phát thải KNK của các nhà máy bia Việt Nam</w:t>
      </w:r>
    </w:p>
    <w:p w14:paraId="3DEEB81F" w14:textId="5118720B" w:rsidR="009B3FFE" w:rsidRPr="008674D8" w:rsidRDefault="009B3FFE" w:rsidP="00BE47E4">
      <w:pPr>
        <w:spacing w:line="360" w:lineRule="auto"/>
        <w:rPr>
          <w:rFonts w:eastAsia="Aptos"/>
          <w:kern w:val="2"/>
          <w:sz w:val="24"/>
          <w:szCs w:val="24"/>
          <w14:ligatures w14:val="standardContextual"/>
        </w:rPr>
      </w:pPr>
      <w:r w:rsidRPr="008674D8">
        <w:rPr>
          <w:rFonts w:eastAsia="Aptos"/>
          <w:kern w:val="2"/>
          <w:sz w:val="24"/>
          <w:szCs w:val="24"/>
          <w14:ligatures w14:val="standardContextual"/>
        </w:rPr>
        <w:t>Cường độ phát thải trung bình của 29 nhà máy bia được khảo sát sơ bộ tại Việt Nam đạt 67</w:t>
      </w:r>
      <w:r>
        <w:rPr>
          <w:rFonts w:eastAsia="Aptos"/>
          <w:kern w:val="2"/>
          <w:sz w:val="24"/>
          <w:szCs w:val="24"/>
          <w14:ligatures w14:val="standardContextual"/>
        </w:rPr>
        <w:t>,</w:t>
      </w:r>
      <w:r w:rsidRPr="008674D8">
        <w:rPr>
          <w:rFonts w:eastAsia="Aptos"/>
          <w:kern w:val="2"/>
          <w:sz w:val="24"/>
          <w:szCs w:val="24"/>
          <w14:ligatures w14:val="standardContextual"/>
        </w:rPr>
        <w:t>3</w:t>
      </w:r>
      <w:r>
        <w:rPr>
          <w:rFonts w:eastAsia="Aptos"/>
          <w:kern w:val="2"/>
          <w:sz w:val="24"/>
          <w:szCs w:val="24"/>
          <w14:ligatures w14:val="standardContextual"/>
        </w:rPr>
        <w:t xml:space="preserve"> </w:t>
      </w:r>
      <w:r w:rsidRPr="008674D8">
        <w:rPr>
          <w:rFonts w:eastAsia="Aptos"/>
          <w:kern w:val="2"/>
          <w:sz w:val="24"/>
          <w:szCs w:val="24"/>
          <w14:ligatures w14:val="standardContextual"/>
        </w:rPr>
        <w:t xml:space="preserve">gCO₂tđ/l, gần tương đương với mức </w:t>
      </w:r>
      <w:r w:rsidR="0097572B" w:rsidRPr="0097572B">
        <w:rPr>
          <w:rFonts w:eastAsia="Aptos"/>
          <w:kern w:val="2"/>
          <w:sz w:val="24"/>
          <w:szCs w:val="24"/>
          <w14:ligatures w14:val="standardContextual"/>
        </w:rPr>
        <w:t>mức tham chiếu của mẫu benchmarking BIER</w:t>
      </w:r>
      <w:r w:rsidRPr="008674D8">
        <w:rPr>
          <w:rFonts w:eastAsia="Aptos"/>
          <w:kern w:val="2"/>
          <w:sz w:val="24"/>
          <w:szCs w:val="24"/>
          <w14:ligatures w14:val="standardContextual"/>
        </w:rPr>
        <w:t xml:space="preserve"> năm 202</w:t>
      </w:r>
      <w:r w:rsidR="0097572B">
        <w:rPr>
          <w:rFonts w:eastAsia="Aptos"/>
          <w:kern w:val="2"/>
          <w:sz w:val="24"/>
          <w:szCs w:val="24"/>
          <w14:ligatures w14:val="standardContextual"/>
        </w:rPr>
        <w:t>3</w:t>
      </w:r>
      <w:r w:rsidRPr="008674D8">
        <w:rPr>
          <w:rFonts w:eastAsia="Aptos"/>
          <w:kern w:val="2"/>
          <w:sz w:val="24"/>
          <w:szCs w:val="24"/>
          <w14:ligatures w14:val="standardContextual"/>
        </w:rPr>
        <w:t xml:space="preserve"> là 67</w:t>
      </w:r>
      <w:r>
        <w:rPr>
          <w:rFonts w:eastAsia="Aptos"/>
          <w:kern w:val="2"/>
          <w:sz w:val="24"/>
          <w:szCs w:val="24"/>
          <w14:ligatures w14:val="standardContextual"/>
        </w:rPr>
        <w:t>,</w:t>
      </w:r>
      <w:r w:rsidRPr="008674D8">
        <w:rPr>
          <w:rFonts w:eastAsia="Aptos"/>
          <w:kern w:val="2"/>
          <w:sz w:val="24"/>
          <w:szCs w:val="24"/>
          <w14:ligatures w14:val="standardContextual"/>
        </w:rPr>
        <w:t>8 gCO₂tđ/l (Bier, 202</w:t>
      </w:r>
      <w:r w:rsidR="0097572B">
        <w:rPr>
          <w:rFonts w:eastAsia="Aptos"/>
          <w:kern w:val="2"/>
          <w:sz w:val="24"/>
          <w:szCs w:val="24"/>
          <w14:ligatures w14:val="standardContextual"/>
        </w:rPr>
        <w:t>4</w:t>
      </w:r>
      <w:r w:rsidRPr="008674D8">
        <w:rPr>
          <w:rFonts w:eastAsia="Aptos"/>
          <w:kern w:val="2"/>
          <w:sz w:val="24"/>
          <w:szCs w:val="24"/>
          <w14:ligatures w14:val="standardContextual"/>
        </w:rPr>
        <w:t>). Kết quả này phù hợp với đặc điểm của ngành bia Việt Nam, nơi có sự tham gia và đầu tư đáng kể của các tập đoàn bia quốc tế, cùng các doanh nghiệp sản xuất quy mô lớn</w:t>
      </w:r>
      <w:r>
        <w:rPr>
          <w:rFonts w:eastAsia="Aptos"/>
          <w:kern w:val="2"/>
          <w:sz w:val="24"/>
          <w:szCs w:val="24"/>
          <w14:ligatures w14:val="standardContextual"/>
        </w:rPr>
        <w:t xml:space="preserve">. </w:t>
      </w:r>
      <w:r w:rsidRPr="008674D8">
        <w:rPr>
          <w:rFonts w:eastAsia="Aptos"/>
          <w:kern w:val="2"/>
          <w:sz w:val="24"/>
          <w:szCs w:val="24"/>
          <w14:ligatures w14:val="standardContextual"/>
        </w:rPr>
        <w:t>Các nhà máy thuộc nhóm này nhìn chung được đầu tư công nghệ tương đối hiện đại, có mức độ tự động hóa và hiệu suất vận hành khá tốt. Đồng thời, tại nhiều nhà máy khảo sát, nhu cầu nhiệt được đáp ứng bằng hơi tự sản xuất từ sinh khối hoặc hơi mua ngoài có nguồn gốc sinh khối, qua đó góp phần hạn chế phát thải từ việc sử dụng nhiên liệu hóa thạch.</w:t>
      </w:r>
    </w:p>
    <w:p w14:paraId="73F615B7" w14:textId="4C408D80" w:rsidR="006E759E" w:rsidRDefault="006E759E" w:rsidP="00BE47E4">
      <w:pPr>
        <w:widowControl/>
        <w:autoSpaceDE/>
        <w:autoSpaceDN/>
        <w:spacing w:line="360" w:lineRule="auto"/>
        <w:jc w:val="both"/>
        <w:rPr>
          <w:rFonts w:eastAsia="Aptos"/>
          <w:kern w:val="2"/>
          <w:sz w:val="24"/>
          <w:szCs w:val="24"/>
          <w14:ligatures w14:val="standardContextual"/>
        </w:rPr>
      </w:pPr>
      <w:r w:rsidRPr="006E759E">
        <w:rPr>
          <w:rFonts w:eastAsia="Aptos"/>
          <w:kern w:val="2"/>
          <w:sz w:val="24"/>
          <w:szCs w:val="24"/>
          <w14:ligatures w14:val="standardContextual"/>
        </w:rPr>
        <w:lastRenderedPageBreak/>
        <w:t xml:space="preserve">Kết quả cho thấy cường độ phát thải có xu hướng giảm khi quy mô sản xuất tăng, nhưng mối quan hệ không hoàn toàn tuyến tính. Nhóm 20–50 triệu lít/năm có cường độ trung bình 64,2 gCO₂tđ/L, tăng lên 82,6 gCO₂tđ/L ở nhóm 50–100 triệu lít/năm, sau đó giảm còn 56,8 và 46,1 gCO₂tđ/L tương ứng với nhóm 100–200 và trên 200 triệu lít/năm. </w:t>
      </w:r>
      <w:r w:rsidR="006F641F">
        <w:rPr>
          <w:rFonts w:eastAsia="Aptos"/>
          <w:kern w:val="2"/>
          <w:sz w:val="24"/>
          <w:szCs w:val="24"/>
          <w14:ligatures w14:val="standardContextual"/>
        </w:rPr>
        <w:t>M</w:t>
      </w:r>
      <w:r w:rsidR="006F641F" w:rsidRPr="006F641F">
        <w:rPr>
          <w:rFonts w:eastAsia="Aptos"/>
          <w:kern w:val="2"/>
          <w:sz w:val="24"/>
          <w:szCs w:val="24"/>
          <w14:ligatures w14:val="standardContextual"/>
        </w:rPr>
        <w:t>ức phát thải thấp ở một số nhà máy nhỏ nhiều khả năng phản ánh sự kết hợp giữa quy trình ít phức tạp, phạm vi công đoạn hạn chế, cơ cấu sản phẩm đơn giản và điều kiện vận hành thuận lợi</w:t>
      </w:r>
      <w:r w:rsidR="006F641F">
        <w:rPr>
          <w:rFonts w:eastAsia="Aptos"/>
          <w:kern w:val="2"/>
          <w:sz w:val="24"/>
          <w:szCs w:val="24"/>
          <w14:ligatures w14:val="standardContextual"/>
        </w:rPr>
        <w:t xml:space="preserve"> hơn</w:t>
      </w:r>
      <w:r w:rsidR="006F641F" w:rsidRPr="006F641F">
        <w:rPr>
          <w:rFonts w:eastAsia="Aptos"/>
          <w:kern w:val="2"/>
          <w:sz w:val="24"/>
          <w:szCs w:val="24"/>
          <w14:ligatures w14:val="standardContextual"/>
        </w:rPr>
        <w:t>.</w:t>
      </w:r>
      <w:r w:rsidR="006F641F">
        <w:rPr>
          <w:rFonts w:eastAsia="Aptos"/>
          <w:kern w:val="2"/>
          <w:sz w:val="24"/>
          <w:szCs w:val="24"/>
          <w14:ligatures w14:val="standardContextual"/>
        </w:rPr>
        <w:t xml:space="preserve"> </w:t>
      </w:r>
      <w:r w:rsidR="00146E7B" w:rsidRPr="00146E7B">
        <w:rPr>
          <w:rFonts w:eastAsia="Aptos"/>
          <w:kern w:val="2"/>
          <w:sz w:val="24"/>
          <w:szCs w:val="24"/>
          <w14:ligatures w14:val="standardContextual"/>
        </w:rPr>
        <w:t xml:space="preserve">Nhóm 50–100 triệu lít/năm có cường độ phát thải cao </w:t>
      </w:r>
      <w:r w:rsidR="00146E7B">
        <w:rPr>
          <w:rFonts w:eastAsia="Aptos"/>
          <w:kern w:val="2"/>
          <w:sz w:val="24"/>
          <w:szCs w:val="24"/>
          <w14:ligatures w14:val="standardContextual"/>
        </w:rPr>
        <w:t>nhất</w:t>
      </w:r>
      <w:r w:rsidR="00146E7B" w:rsidRPr="00146E7B">
        <w:rPr>
          <w:rFonts w:eastAsia="Aptos"/>
          <w:kern w:val="2"/>
          <w:sz w:val="24"/>
          <w:szCs w:val="24"/>
          <w14:ligatures w14:val="standardContextual"/>
        </w:rPr>
        <w:t>, trong khi các điểm dữ liệu ở nhóm quy mô nhỏ cũng phân tán khá rộng.</w:t>
      </w:r>
      <w:r w:rsidR="00146E7B">
        <w:rPr>
          <w:rFonts w:eastAsia="Aptos"/>
          <w:kern w:val="2"/>
          <w:sz w:val="24"/>
          <w:szCs w:val="24"/>
          <w14:ligatures w14:val="standardContextual"/>
        </w:rPr>
        <w:t xml:space="preserve"> </w:t>
      </w:r>
      <w:r w:rsidRPr="006E759E">
        <w:rPr>
          <w:rFonts w:eastAsia="Aptos"/>
          <w:kern w:val="2"/>
          <w:sz w:val="24"/>
          <w:szCs w:val="24"/>
          <w14:ligatures w14:val="standardContextual"/>
        </w:rPr>
        <w:t>Như vậy, các nhà máy quy mô trên 100 triệu lít/năm nhìn chung có hiệu quả giảm phát thải tốt hơn</w:t>
      </w:r>
      <w:r w:rsidR="00146E7B">
        <w:rPr>
          <w:rFonts w:eastAsia="Aptos"/>
          <w:kern w:val="2"/>
          <w:sz w:val="24"/>
          <w:szCs w:val="24"/>
          <w14:ligatures w14:val="standardContextual"/>
        </w:rPr>
        <w:t>.</w:t>
      </w:r>
      <w:r w:rsidRPr="006E759E">
        <w:rPr>
          <w:rFonts w:eastAsia="Aptos"/>
          <w:kern w:val="2"/>
          <w:sz w:val="24"/>
          <w:szCs w:val="24"/>
          <w14:ligatures w14:val="standardContextual"/>
        </w:rPr>
        <w:t xml:space="preserve"> </w:t>
      </w:r>
      <w:r w:rsidR="00146E7B" w:rsidRPr="00146E7B">
        <w:rPr>
          <w:rFonts w:eastAsia="Aptos"/>
          <w:kern w:val="2"/>
          <w:sz w:val="24"/>
          <w:szCs w:val="24"/>
          <w14:ligatures w14:val="standardContextual"/>
        </w:rPr>
        <w:t>Xu hướng này có thể được giải thích bởi hiệu ứng quy mô: các phụ tải nền như làm lạnh, khí nén, bơm, chiếu sáng, xử lý nước thải và duy trì hệ thống phụ trợ được phân bổ trên sản lượng lớn hơn; đồng thời, các nhà máy quy mô lớn thường có mức sử dụng công suất cao hơn, thiết bị đồng bộ hơn và điều kiện thuận lợi hơn để áp dụng thu hồi nhiệt, tự động hóa và quản lý năng lượng.</w:t>
      </w:r>
    </w:p>
    <w:p w14:paraId="1B6946F4" w14:textId="77777777" w:rsidR="006E759E" w:rsidRDefault="006E759E" w:rsidP="00BE47E4">
      <w:pPr>
        <w:widowControl/>
        <w:autoSpaceDE/>
        <w:autoSpaceDN/>
        <w:spacing w:line="360" w:lineRule="auto"/>
        <w:jc w:val="both"/>
        <w:rPr>
          <w:rFonts w:eastAsia="Aptos"/>
          <w:kern w:val="2"/>
          <w:sz w:val="24"/>
          <w:szCs w:val="24"/>
          <w14:ligatures w14:val="standardContextual"/>
        </w:rPr>
      </w:pPr>
    </w:p>
    <w:tbl>
      <w:tblPr>
        <w:tblW w:w="9957" w:type="dxa"/>
        <w:tblLook w:val="04A0" w:firstRow="1" w:lastRow="0" w:firstColumn="1" w:lastColumn="0" w:noHBand="0" w:noVBand="1"/>
      </w:tblPr>
      <w:tblGrid>
        <w:gridCol w:w="791"/>
        <w:gridCol w:w="1418"/>
        <w:gridCol w:w="1619"/>
        <w:gridCol w:w="6129"/>
      </w:tblGrid>
      <w:tr w:rsidR="009B3FFE" w:rsidRPr="00EF30B4" w14:paraId="7D11B622" w14:textId="77777777" w:rsidTr="000A4CF6">
        <w:trPr>
          <w:trHeight w:val="756"/>
        </w:trPr>
        <w:tc>
          <w:tcPr>
            <w:tcW w:w="3828" w:type="dxa"/>
            <w:gridSpan w:val="3"/>
            <w:tcBorders>
              <w:bottom w:val="single" w:sz="4" w:space="0" w:color="auto"/>
            </w:tcBorders>
            <w:noWrap/>
            <w:vAlign w:val="bottom"/>
          </w:tcPr>
          <w:p w14:paraId="4E231284" w14:textId="44783B04" w:rsidR="009B3FFE" w:rsidRPr="00EB6C1F" w:rsidRDefault="009B3FFE" w:rsidP="00BE47E4">
            <w:pPr>
              <w:pStyle w:val="Caption"/>
              <w:spacing w:after="0" w:line="360" w:lineRule="auto"/>
              <w:jc w:val="left"/>
              <w:rPr>
                <w:color w:val="000000"/>
                <w:sz w:val="24"/>
                <w:szCs w:val="24"/>
              </w:rPr>
            </w:pPr>
            <w:r w:rsidRPr="008674D8">
              <w:rPr>
                <w:noProof/>
              </w:rPr>
              <w:t xml:space="preserve">Bảng </w:t>
            </w:r>
            <w:r w:rsidRPr="008674D8">
              <w:rPr>
                <w:noProof/>
              </w:rPr>
              <w:fldChar w:fldCharType="begin"/>
            </w:r>
            <w:r w:rsidRPr="008674D8">
              <w:rPr>
                <w:noProof/>
              </w:rPr>
              <w:instrText xml:space="preserve"> SEQ Bảng \* ARABIC </w:instrText>
            </w:r>
            <w:r w:rsidRPr="008674D8">
              <w:rPr>
                <w:noProof/>
              </w:rPr>
              <w:fldChar w:fldCharType="separate"/>
            </w:r>
            <w:r w:rsidRPr="008674D8">
              <w:rPr>
                <w:noProof/>
              </w:rPr>
              <w:t>1</w:t>
            </w:r>
            <w:r w:rsidRPr="008674D8">
              <w:rPr>
                <w:noProof/>
              </w:rPr>
              <w:fldChar w:fldCharType="end"/>
            </w:r>
            <w:r w:rsidRPr="008674D8">
              <w:rPr>
                <w:noProof/>
                <w:lang w:val="vi-VN"/>
              </w:rPr>
              <w:t>. Cường độ phát thải KNK trung bình của các nhóm nhà máy theo quy mô sản xuất</w:t>
            </w:r>
          </w:p>
        </w:tc>
        <w:tc>
          <w:tcPr>
            <w:tcW w:w="6129" w:type="dxa"/>
            <w:vMerge w:val="restart"/>
            <w:tcBorders>
              <w:left w:val="nil"/>
            </w:tcBorders>
          </w:tcPr>
          <w:p w14:paraId="328A41F9" w14:textId="77777777" w:rsidR="009B3FFE" w:rsidRPr="00963ED3" w:rsidRDefault="009B3FFE" w:rsidP="00BE47E4">
            <w:pPr>
              <w:pStyle w:val="Caption"/>
              <w:spacing w:after="0" w:line="360" w:lineRule="auto"/>
              <w:rPr>
                <w:i w:val="0"/>
                <w:iCs w:val="0"/>
                <w:noProof/>
                <w:szCs w:val="22"/>
              </w:rPr>
            </w:pPr>
            <w:r>
              <w:rPr>
                <w:noProof/>
              </w:rPr>
              <w:drawing>
                <wp:inline distT="0" distB="0" distL="0" distR="0" wp14:anchorId="7D3A0827" wp14:editId="3657CCCF">
                  <wp:extent cx="3636645" cy="1941816"/>
                  <wp:effectExtent l="0" t="0" r="1905" b="1905"/>
                  <wp:docPr id="160958567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F2199EA1-68CA-5929-82ED-8BC48AAAE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 xml:space="preserve">Hình </w:t>
            </w:r>
            <w:fldSimple w:instr=" SEQ Hình \* ARABIC ">
              <w:r>
                <w:rPr>
                  <w:noProof/>
                </w:rPr>
                <w:t>5</w:t>
              </w:r>
            </w:fldSimple>
            <w:r w:rsidRPr="008674D8">
              <w:rPr>
                <w:rFonts w:ascii="Arial" w:hAnsi="Arial" w:cs="Tahoma"/>
                <w:noProof/>
                <w:color w:val="0F4761"/>
                <w:sz w:val="21"/>
                <w:lang w:val="vi-VN"/>
              </w:rPr>
              <w:t>.</w:t>
            </w:r>
            <w:r w:rsidRPr="004F1FFA">
              <w:rPr>
                <w:noProof/>
                <w:szCs w:val="22"/>
                <w:lang w:val="vi-VN"/>
              </w:rPr>
              <w:t xml:space="preserve"> Cường độ phát thải KNK của các nhà máy bia Việt Na</w:t>
            </w:r>
            <w:r>
              <w:rPr>
                <w:noProof/>
                <w:szCs w:val="22"/>
              </w:rPr>
              <w:t>m</w:t>
            </w:r>
          </w:p>
        </w:tc>
      </w:tr>
      <w:tr w:rsidR="009B3FFE" w:rsidRPr="00EF30B4" w14:paraId="36A7BCFE" w14:textId="77777777" w:rsidTr="000A4CF6">
        <w:trPr>
          <w:trHeight w:val="300"/>
        </w:trPr>
        <w:tc>
          <w:tcPr>
            <w:tcW w:w="791" w:type="dxa"/>
            <w:tcBorders>
              <w:top w:val="single" w:sz="4" w:space="0" w:color="auto"/>
              <w:left w:val="single" w:sz="4" w:space="0" w:color="auto"/>
              <w:bottom w:val="single" w:sz="4" w:space="0" w:color="auto"/>
              <w:right w:val="single" w:sz="4" w:space="0" w:color="auto"/>
            </w:tcBorders>
            <w:noWrap/>
            <w:hideMark/>
          </w:tcPr>
          <w:p w14:paraId="2B853DE6" w14:textId="79AC62B8" w:rsidR="009B3FFE" w:rsidRPr="000A4CF6" w:rsidRDefault="009B3FFE" w:rsidP="000A4CF6">
            <w:pPr>
              <w:widowControl/>
              <w:autoSpaceDE/>
              <w:autoSpaceDN/>
              <w:spacing w:line="360" w:lineRule="auto"/>
              <w:jc w:val="center"/>
              <w:rPr>
                <w:b/>
                <w:bCs/>
                <w:color w:val="000000"/>
              </w:rPr>
            </w:pPr>
            <w:r w:rsidRPr="000A4CF6">
              <w:rPr>
                <w:b/>
                <w:bCs/>
                <w:color w:val="000000"/>
              </w:rPr>
              <w:t>Nhóm</w:t>
            </w:r>
          </w:p>
        </w:tc>
        <w:tc>
          <w:tcPr>
            <w:tcW w:w="1418" w:type="dxa"/>
            <w:tcBorders>
              <w:top w:val="single" w:sz="4" w:space="0" w:color="auto"/>
              <w:left w:val="single" w:sz="4" w:space="0" w:color="auto"/>
              <w:bottom w:val="single" w:sz="4" w:space="0" w:color="auto"/>
              <w:right w:val="single" w:sz="4" w:space="0" w:color="auto"/>
            </w:tcBorders>
            <w:noWrap/>
            <w:hideMark/>
          </w:tcPr>
          <w:p w14:paraId="31A46AA9" w14:textId="77777777" w:rsidR="009B3FFE" w:rsidRPr="000A4CF6" w:rsidRDefault="009B3FFE" w:rsidP="000A4CF6">
            <w:pPr>
              <w:widowControl/>
              <w:autoSpaceDE/>
              <w:autoSpaceDN/>
              <w:spacing w:line="360" w:lineRule="auto"/>
              <w:jc w:val="center"/>
              <w:rPr>
                <w:b/>
                <w:bCs/>
                <w:color w:val="000000"/>
              </w:rPr>
            </w:pPr>
            <w:r w:rsidRPr="000A4CF6">
              <w:rPr>
                <w:b/>
                <w:bCs/>
                <w:color w:val="000000"/>
              </w:rPr>
              <w:t>Sản lượng (triệu lit/năm)</w:t>
            </w:r>
          </w:p>
        </w:tc>
        <w:tc>
          <w:tcPr>
            <w:tcW w:w="1619" w:type="dxa"/>
            <w:tcBorders>
              <w:top w:val="single" w:sz="4" w:space="0" w:color="auto"/>
              <w:left w:val="single" w:sz="4" w:space="0" w:color="auto"/>
              <w:bottom w:val="single" w:sz="4" w:space="0" w:color="auto"/>
              <w:right w:val="single" w:sz="4" w:space="0" w:color="auto"/>
            </w:tcBorders>
            <w:noWrap/>
            <w:hideMark/>
          </w:tcPr>
          <w:p w14:paraId="0B9CA186" w14:textId="77777777" w:rsidR="009B3FFE" w:rsidRPr="000A4CF6" w:rsidRDefault="009B3FFE" w:rsidP="000A4CF6">
            <w:pPr>
              <w:widowControl/>
              <w:autoSpaceDE/>
              <w:autoSpaceDN/>
              <w:spacing w:line="360" w:lineRule="auto"/>
              <w:jc w:val="center"/>
              <w:rPr>
                <w:b/>
                <w:bCs/>
                <w:color w:val="000000"/>
              </w:rPr>
            </w:pPr>
            <w:r w:rsidRPr="000A4CF6">
              <w:rPr>
                <w:b/>
                <w:bCs/>
                <w:color w:val="000000"/>
              </w:rPr>
              <w:t>Cường độ phát thải (gCO2tđ/l)</w:t>
            </w:r>
          </w:p>
        </w:tc>
        <w:tc>
          <w:tcPr>
            <w:tcW w:w="6129" w:type="dxa"/>
            <w:vMerge/>
            <w:tcBorders>
              <w:left w:val="single" w:sz="4" w:space="0" w:color="auto"/>
            </w:tcBorders>
          </w:tcPr>
          <w:p w14:paraId="12ED5A23" w14:textId="77777777" w:rsidR="009B3FFE" w:rsidRPr="00EF30B4" w:rsidRDefault="009B3FFE" w:rsidP="00BE47E4">
            <w:pPr>
              <w:widowControl/>
              <w:autoSpaceDE/>
              <w:autoSpaceDN/>
              <w:spacing w:line="360" w:lineRule="auto"/>
              <w:rPr>
                <w:rFonts w:ascii="Calibri" w:hAnsi="Calibri" w:cs="Calibri"/>
                <w:color w:val="000000"/>
              </w:rPr>
            </w:pPr>
          </w:p>
        </w:tc>
      </w:tr>
      <w:tr w:rsidR="009B3FFE" w:rsidRPr="00EF30B4" w14:paraId="39A97467" w14:textId="77777777" w:rsidTr="000A4CF6">
        <w:trPr>
          <w:trHeight w:val="300"/>
        </w:trPr>
        <w:tc>
          <w:tcPr>
            <w:tcW w:w="791" w:type="dxa"/>
            <w:tcBorders>
              <w:top w:val="single" w:sz="4" w:space="0" w:color="auto"/>
              <w:left w:val="single" w:sz="4" w:space="0" w:color="auto"/>
              <w:bottom w:val="single" w:sz="4" w:space="0" w:color="auto"/>
              <w:right w:val="single" w:sz="4" w:space="0" w:color="auto"/>
            </w:tcBorders>
            <w:noWrap/>
            <w:vAlign w:val="bottom"/>
            <w:hideMark/>
          </w:tcPr>
          <w:p w14:paraId="5C0A32AA" w14:textId="77777777" w:rsidR="009B3FFE" w:rsidRPr="000A4CF6" w:rsidRDefault="009B3FFE" w:rsidP="000A4CF6">
            <w:pPr>
              <w:widowControl/>
              <w:autoSpaceDE/>
              <w:autoSpaceDN/>
              <w:spacing w:line="360" w:lineRule="auto"/>
              <w:jc w:val="center"/>
              <w:rPr>
                <w:color w:val="000000"/>
              </w:rPr>
            </w:pPr>
            <w:r w:rsidRPr="000A4CF6">
              <w:rPr>
                <w:color w:val="000000"/>
              </w:rPr>
              <w:t>1</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E468E29" w14:textId="3506FB7B" w:rsidR="009B3FFE" w:rsidRPr="000A4CF6" w:rsidRDefault="009B3FFE" w:rsidP="000A4CF6">
            <w:pPr>
              <w:widowControl/>
              <w:autoSpaceDE/>
              <w:autoSpaceDN/>
              <w:spacing w:line="360" w:lineRule="auto"/>
              <w:jc w:val="center"/>
              <w:rPr>
                <w:color w:val="000000"/>
              </w:rPr>
            </w:pPr>
            <w:r w:rsidRPr="000A4CF6">
              <w:rPr>
                <w:color w:val="000000"/>
              </w:rPr>
              <w:t>20-50</w:t>
            </w:r>
          </w:p>
        </w:tc>
        <w:tc>
          <w:tcPr>
            <w:tcW w:w="1619" w:type="dxa"/>
            <w:tcBorders>
              <w:top w:val="single" w:sz="4" w:space="0" w:color="auto"/>
              <w:left w:val="nil"/>
              <w:bottom w:val="single" w:sz="4" w:space="0" w:color="auto"/>
              <w:right w:val="single" w:sz="4" w:space="0" w:color="auto"/>
            </w:tcBorders>
            <w:noWrap/>
            <w:vAlign w:val="bottom"/>
            <w:hideMark/>
          </w:tcPr>
          <w:p w14:paraId="43C86BAC" w14:textId="77777777" w:rsidR="009B3FFE" w:rsidRPr="000A4CF6" w:rsidRDefault="009B3FFE" w:rsidP="000A4CF6">
            <w:pPr>
              <w:widowControl/>
              <w:autoSpaceDE/>
              <w:autoSpaceDN/>
              <w:spacing w:line="360" w:lineRule="auto"/>
              <w:jc w:val="center"/>
              <w:rPr>
                <w:color w:val="000000"/>
              </w:rPr>
            </w:pPr>
            <w:r w:rsidRPr="000A4CF6">
              <w:rPr>
                <w:color w:val="000000"/>
              </w:rPr>
              <w:t>64,2</w:t>
            </w:r>
          </w:p>
        </w:tc>
        <w:tc>
          <w:tcPr>
            <w:tcW w:w="6129" w:type="dxa"/>
            <w:vMerge/>
            <w:tcBorders>
              <w:left w:val="single" w:sz="4" w:space="0" w:color="auto"/>
            </w:tcBorders>
          </w:tcPr>
          <w:p w14:paraId="7AD788D6" w14:textId="77777777" w:rsidR="009B3FFE" w:rsidRPr="00EF30B4" w:rsidRDefault="009B3FFE" w:rsidP="00BE47E4">
            <w:pPr>
              <w:widowControl/>
              <w:autoSpaceDE/>
              <w:autoSpaceDN/>
              <w:spacing w:line="360" w:lineRule="auto"/>
              <w:jc w:val="right"/>
              <w:rPr>
                <w:rFonts w:ascii="Calibri" w:hAnsi="Calibri" w:cs="Calibri"/>
                <w:color w:val="000000"/>
              </w:rPr>
            </w:pPr>
          </w:p>
        </w:tc>
      </w:tr>
      <w:tr w:rsidR="009B3FFE" w:rsidRPr="00EF30B4" w14:paraId="225D1257" w14:textId="77777777" w:rsidTr="000A4CF6">
        <w:trPr>
          <w:trHeight w:val="300"/>
        </w:trPr>
        <w:tc>
          <w:tcPr>
            <w:tcW w:w="791" w:type="dxa"/>
            <w:tcBorders>
              <w:top w:val="single" w:sz="4" w:space="0" w:color="auto"/>
              <w:left w:val="single" w:sz="4" w:space="0" w:color="auto"/>
              <w:bottom w:val="single" w:sz="4" w:space="0" w:color="auto"/>
              <w:right w:val="single" w:sz="4" w:space="0" w:color="auto"/>
            </w:tcBorders>
            <w:noWrap/>
            <w:vAlign w:val="bottom"/>
            <w:hideMark/>
          </w:tcPr>
          <w:p w14:paraId="34E3543B" w14:textId="77777777" w:rsidR="009B3FFE" w:rsidRPr="000A4CF6" w:rsidRDefault="009B3FFE" w:rsidP="000A4CF6">
            <w:pPr>
              <w:widowControl/>
              <w:autoSpaceDE/>
              <w:autoSpaceDN/>
              <w:spacing w:line="360" w:lineRule="auto"/>
              <w:jc w:val="center"/>
              <w:rPr>
                <w:color w:val="000000"/>
              </w:rPr>
            </w:pPr>
            <w:r w:rsidRPr="000A4CF6">
              <w:rPr>
                <w:color w:val="000000"/>
              </w:rPr>
              <w:t>2</w:t>
            </w:r>
          </w:p>
        </w:tc>
        <w:tc>
          <w:tcPr>
            <w:tcW w:w="1418" w:type="dxa"/>
            <w:tcBorders>
              <w:top w:val="nil"/>
              <w:left w:val="single" w:sz="4" w:space="0" w:color="auto"/>
              <w:bottom w:val="single" w:sz="4" w:space="0" w:color="auto"/>
              <w:right w:val="single" w:sz="4" w:space="0" w:color="auto"/>
            </w:tcBorders>
            <w:noWrap/>
            <w:vAlign w:val="bottom"/>
            <w:hideMark/>
          </w:tcPr>
          <w:p w14:paraId="102339D9" w14:textId="77777777" w:rsidR="009B3FFE" w:rsidRPr="000A4CF6" w:rsidRDefault="009B3FFE" w:rsidP="000A4CF6">
            <w:pPr>
              <w:widowControl/>
              <w:autoSpaceDE/>
              <w:autoSpaceDN/>
              <w:spacing w:line="360" w:lineRule="auto"/>
              <w:jc w:val="center"/>
              <w:rPr>
                <w:color w:val="000000"/>
              </w:rPr>
            </w:pPr>
            <w:r w:rsidRPr="000A4CF6">
              <w:rPr>
                <w:color w:val="000000"/>
              </w:rPr>
              <w:t>50-100</w:t>
            </w:r>
          </w:p>
        </w:tc>
        <w:tc>
          <w:tcPr>
            <w:tcW w:w="1619" w:type="dxa"/>
            <w:tcBorders>
              <w:top w:val="nil"/>
              <w:left w:val="nil"/>
              <w:bottom w:val="single" w:sz="4" w:space="0" w:color="auto"/>
              <w:right w:val="single" w:sz="4" w:space="0" w:color="auto"/>
            </w:tcBorders>
            <w:noWrap/>
            <w:vAlign w:val="bottom"/>
            <w:hideMark/>
          </w:tcPr>
          <w:p w14:paraId="326EE837" w14:textId="77777777" w:rsidR="009B3FFE" w:rsidRPr="000A4CF6" w:rsidRDefault="009B3FFE" w:rsidP="000A4CF6">
            <w:pPr>
              <w:widowControl/>
              <w:autoSpaceDE/>
              <w:autoSpaceDN/>
              <w:spacing w:line="360" w:lineRule="auto"/>
              <w:jc w:val="center"/>
              <w:rPr>
                <w:color w:val="000000"/>
              </w:rPr>
            </w:pPr>
            <w:r w:rsidRPr="000A4CF6">
              <w:rPr>
                <w:color w:val="000000"/>
              </w:rPr>
              <w:t>82,6</w:t>
            </w:r>
          </w:p>
        </w:tc>
        <w:tc>
          <w:tcPr>
            <w:tcW w:w="6129" w:type="dxa"/>
            <w:vMerge/>
            <w:tcBorders>
              <w:left w:val="single" w:sz="4" w:space="0" w:color="auto"/>
            </w:tcBorders>
          </w:tcPr>
          <w:p w14:paraId="63CF4A2A" w14:textId="77777777" w:rsidR="009B3FFE" w:rsidRPr="00EF30B4" w:rsidRDefault="009B3FFE" w:rsidP="00BE47E4">
            <w:pPr>
              <w:widowControl/>
              <w:autoSpaceDE/>
              <w:autoSpaceDN/>
              <w:spacing w:line="360" w:lineRule="auto"/>
              <w:jc w:val="right"/>
              <w:rPr>
                <w:rFonts w:ascii="Calibri" w:hAnsi="Calibri" w:cs="Calibri"/>
                <w:color w:val="000000"/>
              </w:rPr>
            </w:pPr>
          </w:p>
        </w:tc>
      </w:tr>
      <w:tr w:rsidR="009B3FFE" w:rsidRPr="00EF30B4" w14:paraId="169B171E" w14:textId="77777777" w:rsidTr="000A4CF6">
        <w:trPr>
          <w:trHeight w:val="300"/>
        </w:trPr>
        <w:tc>
          <w:tcPr>
            <w:tcW w:w="791" w:type="dxa"/>
            <w:tcBorders>
              <w:top w:val="single" w:sz="4" w:space="0" w:color="auto"/>
              <w:left w:val="single" w:sz="4" w:space="0" w:color="auto"/>
              <w:bottom w:val="single" w:sz="4" w:space="0" w:color="auto"/>
              <w:right w:val="single" w:sz="4" w:space="0" w:color="auto"/>
            </w:tcBorders>
            <w:noWrap/>
            <w:vAlign w:val="bottom"/>
            <w:hideMark/>
          </w:tcPr>
          <w:p w14:paraId="6795485A" w14:textId="77777777" w:rsidR="009B3FFE" w:rsidRPr="000A4CF6" w:rsidRDefault="009B3FFE" w:rsidP="000A4CF6">
            <w:pPr>
              <w:widowControl/>
              <w:autoSpaceDE/>
              <w:autoSpaceDN/>
              <w:spacing w:line="360" w:lineRule="auto"/>
              <w:jc w:val="center"/>
              <w:rPr>
                <w:color w:val="000000"/>
              </w:rPr>
            </w:pPr>
            <w:r w:rsidRPr="000A4CF6">
              <w:rPr>
                <w:color w:val="000000"/>
              </w:rPr>
              <w:t>3</w:t>
            </w:r>
          </w:p>
        </w:tc>
        <w:tc>
          <w:tcPr>
            <w:tcW w:w="1418" w:type="dxa"/>
            <w:tcBorders>
              <w:top w:val="nil"/>
              <w:left w:val="single" w:sz="4" w:space="0" w:color="auto"/>
              <w:bottom w:val="single" w:sz="4" w:space="0" w:color="auto"/>
              <w:right w:val="single" w:sz="4" w:space="0" w:color="auto"/>
            </w:tcBorders>
            <w:noWrap/>
            <w:vAlign w:val="bottom"/>
            <w:hideMark/>
          </w:tcPr>
          <w:p w14:paraId="6505A01A" w14:textId="77777777" w:rsidR="009B3FFE" w:rsidRPr="000A4CF6" w:rsidRDefault="009B3FFE" w:rsidP="000A4CF6">
            <w:pPr>
              <w:widowControl/>
              <w:autoSpaceDE/>
              <w:autoSpaceDN/>
              <w:spacing w:line="360" w:lineRule="auto"/>
              <w:jc w:val="center"/>
              <w:rPr>
                <w:color w:val="000000"/>
              </w:rPr>
            </w:pPr>
            <w:r w:rsidRPr="000A4CF6">
              <w:rPr>
                <w:color w:val="000000"/>
              </w:rPr>
              <w:t>100-200</w:t>
            </w:r>
          </w:p>
        </w:tc>
        <w:tc>
          <w:tcPr>
            <w:tcW w:w="1619" w:type="dxa"/>
            <w:tcBorders>
              <w:top w:val="nil"/>
              <w:left w:val="nil"/>
              <w:bottom w:val="single" w:sz="4" w:space="0" w:color="auto"/>
              <w:right w:val="single" w:sz="4" w:space="0" w:color="auto"/>
            </w:tcBorders>
            <w:noWrap/>
            <w:vAlign w:val="bottom"/>
            <w:hideMark/>
          </w:tcPr>
          <w:p w14:paraId="23DBE581" w14:textId="77777777" w:rsidR="009B3FFE" w:rsidRPr="000A4CF6" w:rsidRDefault="009B3FFE" w:rsidP="000A4CF6">
            <w:pPr>
              <w:widowControl/>
              <w:autoSpaceDE/>
              <w:autoSpaceDN/>
              <w:spacing w:line="360" w:lineRule="auto"/>
              <w:jc w:val="center"/>
              <w:rPr>
                <w:color w:val="000000"/>
              </w:rPr>
            </w:pPr>
            <w:r w:rsidRPr="000A4CF6">
              <w:rPr>
                <w:color w:val="000000"/>
              </w:rPr>
              <w:t>56,8</w:t>
            </w:r>
          </w:p>
        </w:tc>
        <w:tc>
          <w:tcPr>
            <w:tcW w:w="6129" w:type="dxa"/>
            <w:vMerge/>
            <w:tcBorders>
              <w:left w:val="single" w:sz="4" w:space="0" w:color="auto"/>
            </w:tcBorders>
          </w:tcPr>
          <w:p w14:paraId="46005A75" w14:textId="77777777" w:rsidR="009B3FFE" w:rsidRPr="00EF30B4" w:rsidRDefault="009B3FFE" w:rsidP="00BE47E4">
            <w:pPr>
              <w:widowControl/>
              <w:autoSpaceDE/>
              <w:autoSpaceDN/>
              <w:spacing w:line="360" w:lineRule="auto"/>
              <w:jc w:val="right"/>
              <w:rPr>
                <w:rFonts w:ascii="Calibri" w:hAnsi="Calibri" w:cs="Calibri"/>
                <w:color w:val="000000"/>
              </w:rPr>
            </w:pPr>
          </w:p>
        </w:tc>
      </w:tr>
      <w:tr w:rsidR="009B3FFE" w:rsidRPr="00EF30B4" w14:paraId="50761603" w14:textId="77777777" w:rsidTr="000A4CF6">
        <w:trPr>
          <w:trHeight w:val="227"/>
        </w:trPr>
        <w:tc>
          <w:tcPr>
            <w:tcW w:w="791" w:type="dxa"/>
            <w:tcBorders>
              <w:top w:val="single" w:sz="4" w:space="0" w:color="auto"/>
              <w:left w:val="single" w:sz="4" w:space="0" w:color="auto"/>
              <w:bottom w:val="single" w:sz="4" w:space="0" w:color="auto"/>
              <w:right w:val="single" w:sz="4" w:space="0" w:color="auto"/>
            </w:tcBorders>
            <w:noWrap/>
            <w:vAlign w:val="bottom"/>
            <w:hideMark/>
          </w:tcPr>
          <w:p w14:paraId="56D2A0DB" w14:textId="77777777" w:rsidR="009B3FFE" w:rsidRPr="000A4CF6" w:rsidRDefault="009B3FFE" w:rsidP="000A4CF6">
            <w:pPr>
              <w:widowControl/>
              <w:autoSpaceDE/>
              <w:autoSpaceDN/>
              <w:spacing w:line="360" w:lineRule="auto"/>
              <w:jc w:val="center"/>
              <w:rPr>
                <w:color w:val="000000"/>
              </w:rPr>
            </w:pPr>
            <w:r w:rsidRPr="000A4CF6">
              <w:rPr>
                <w:color w:val="000000"/>
              </w:rPr>
              <w:t>4</w:t>
            </w:r>
          </w:p>
        </w:tc>
        <w:tc>
          <w:tcPr>
            <w:tcW w:w="1418" w:type="dxa"/>
            <w:tcBorders>
              <w:top w:val="nil"/>
              <w:left w:val="single" w:sz="4" w:space="0" w:color="auto"/>
              <w:bottom w:val="single" w:sz="4" w:space="0" w:color="auto"/>
              <w:right w:val="single" w:sz="4" w:space="0" w:color="auto"/>
            </w:tcBorders>
            <w:noWrap/>
            <w:vAlign w:val="bottom"/>
            <w:hideMark/>
          </w:tcPr>
          <w:p w14:paraId="6971CBEB" w14:textId="77777777" w:rsidR="009B3FFE" w:rsidRPr="000A4CF6" w:rsidRDefault="009B3FFE" w:rsidP="000A4CF6">
            <w:pPr>
              <w:widowControl/>
              <w:autoSpaceDE/>
              <w:autoSpaceDN/>
              <w:spacing w:line="360" w:lineRule="auto"/>
              <w:jc w:val="center"/>
              <w:rPr>
                <w:color w:val="000000"/>
              </w:rPr>
            </w:pPr>
            <w:r w:rsidRPr="000A4CF6">
              <w:rPr>
                <w:color w:val="000000"/>
              </w:rPr>
              <w:t>&gt;200</w:t>
            </w:r>
          </w:p>
        </w:tc>
        <w:tc>
          <w:tcPr>
            <w:tcW w:w="1619" w:type="dxa"/>
            <w:tcBorders>
              <w:top w:val="nil"/>
              <w:left w:val="nil"/>
              <w:bottom w:val="single" w:sz="4" w:space="0" w:color="auto"/>
              <w:right w:val="single" w:sz="4" w:space="0" w:color="auto"/>
            </w:tcBorders>
            <w:noWrap/>
            <w:vAlign w:val="bottom"/>
            <w:hideMark/>
          </w:tcPr>
          <w:p w14:paraId="4DA8F8D2" w14:textId="77777777" w:rsidR="009B3FFE" w:rsidRPr="000A4CF6" w:rsidRDefault="009B3FFE" w:rsidP="000A4CF6">
            <w:pPr>
              <w:widowControl/>
              <w:autoSpaceDE/>
              <w:autoSpaceDN/>
              <w:spacing w:line="360" w:lineRule="auto"/>
              <w:jc w:val="center"/>
              <w:rPr>
                <w:color w:val="000000"/>
              </w:rPr>
            </w:pPr>
            <w:r w:rsidRPr="000A4CF6">
              <w:rPr>
                <w:color w:val="000000"/>
              </w:rPr>
              <w:t>46,1</w:t>
            </w:r>
          </w:p>
        </w:tc>
        <w:tc>
          <w:tcPr>
            <w:tcW w:w="6129" w:type="dxa"/>
            <w:vMerge/>
            <w:tcBorders>
              <w:left w:val="single" w:sz="4" w:space="0" w:color="auto"/>
            </w:tcBorders>
          </w:tcPr>
          <w:p w14:paraId="665E7331" w14:textId="77777777" w:rsidR="009B3FFE" w:rsidRPr="00EF30B4" w:rsidRDefault="009B3FFE" w:rsidP="00BE47E4">
            <w:pPr>
              <w:widowControl/>
              <w:autoSpaceDE/>
              <w:autoSpaceDN/>
              <w:spacing w:line="360" w:lineRule="auto"/>
              <w:jc w:val="right"/>
              <w:rPr>
                <w:rFonts w:ascii="Calibri" w:hAnsi="Calibri" w:cs="Calibri"/>
                <w:color w:val="000000"/>
              </w:rPr>
            </w:pPr>
          </w:p>
        </w:tc>
      </w:tr>
      <w:tr w:rsidR="009B3FFE" w:rsidRPr="00EF30B4" w14:paraId="3EC2064A" w14:textId="77777777" w:rsidTr="000A4CF6">
        <w:trPr>
          <w:trHeight w:val="73"/>
        </w:trPr>
        <w:tc>
          <w:tcPr>
            <w:tcW w:w="3828" w:type="dxa"/>
            <w:gridSpan w:val="3"/>
            <w:noWrap/>
            <w:vAlign w:val="bottom"/>
          </w:tcPr>
          <w:p w14:paraId="5D374A8E" w14:textId="77777777" w:rsidR="009B3FFE" w:rsidRPr="00EF30B4" w:rsidRDefault="009B3FFE" w:rsidP="00BE47E4">
            <w:pPr>
              <w:widowControl/>
              <w:tabs>
                <w:tab w:val="left" w:pos="3074"/>
              </w:tabs>
              <w:autoSpaceDE/>
              <w:autoSpaceDN/>
              <w:spacing w:line="360" w:lineRule="auto"/>
              <w:jc w:val="right"/>
              <w:rPr>
                <w:rFonts w:ascii="Calibri" w:hAnsi="Calibri" w:cs="Calibri"/>
                <w:color w:val="000000"/>
              </w:rPr>
            </w:pPr>
          </w:p>
        </w:tc>
        <w:tc>
          <w:tcPr>
            <w:tcW w:w="6129" w:type="dxa"/>
            <w:vMerge/>
          </w:tcPr>
          <w:p w14:paraId="2D33FEC8" w14:textId="77777777" w:rsidR="009B3FFE" w:rsidRPr="00EF30B4" w:rsidRDefault="009B3FFE" w:rsidP="00BE47E4">
            <w:pPr>
              <w:widowControl/>
              <w:autoSpaceDE/>
              <w:autoSpaceDN/>
              <w:spacing w:line="360" w:lineRule="auto"/>
              <w:jc w:val="right"/>
              <w:rPr>
                <w:rFonts w:ascii="Calibri" w:hAnsi="Calibri" w:cs="Calibri"/>
                <w:color w:val="000000"/>
              </w:rPr>
            </w:pPr>
          </w:p>
        </w:tc>
      </w:tr>
    </w:tbl>
    <w:p w14:paraId="4A85BF1C" w14:textId="77777777" w:rsidR="009B3FFE" w:rsidRPr="009B3FFE" w:rsidRDefault="009B3FFE" w:rsidP="00BE47E4">
      <w:pPr>
        <w:pStyle w:val="ListParagraph"/>
        <w:numPr>
          <w:ilvl w:val="1"/>
          <w:numId w:val="4"/>
        </w:numPr>
        <w:spacing w:line="360" w:lineRule="auto"/>
        <w:ind w:left="0" w:firstLine="0"/>
        <w:rPr>
          <w:b/>
          <w:i/>
        </w:rPr>
      </w:pPr>
      <w:r w:rsidRPr="009B3FFE">
        <w:rPr>
          <w:b/>
          <w:i/>
        </w:rPr>
        <w:t>Tiềm năng giảm phát thải ngành bia</w:t>
      </w:r>
    </w:p>
    <w:p w14:paraId="669A0E59" w14:textId="5DF58349" w:rsidR="006E5486" w:rsidRDefault="001D06FB" w:rsidP="001D06FB">
      <w:pPr>
        <w:spacing w:line="360" w:lineRule="auto"/>
      </w:pPr>
      <w:r>
        <w:t>T</w:t>
      </w:r>
      <w:r w:rsidRPr="001D06FB">
        <w:t>iềm năng giảm phát thải được đánh giá trên cơ sở khoảng cách cường độ phát thải giữa các nhóm tứ phân vị. Kết quả cho thấy cường độ phát thải trung bình của các nhóm rất tốt, tốt, trung bình và kém lần lượt là 39,0; 59,3; 73,3 và 94,5 gCO₂tđ/L. Nếu nhóm kém cải thiện để đạt mức trung bình, cường độ phát thải có thể giảm khoảng 22,4%; nhóm trung bình có thể giảm thêm 19,1% khi đạt mức tốt; và nhóm tốt có thể giảm khoảng 34,2% nếu đạt mức của nhóm rất tốt. Các tỷ lệ này phản ánh dư địa cải thiện theo mức tham chiếu giữa các nhóm, chưa phải tiềm năng kỹ thuật tuyệt đối của từng nhà má</w:t>
      </w:r>
      <w:r>
        <w:t>y</w:t>
      </w:r>
      <w:r w:rsidR="00244074">
        <w:t>.</w:t>
      </w:r>
    </w:p>
    <w:p w14:paraId="528F383C" w14:textId="77777777" w:rsidR="00244074" w:rsidRDefault="00244074" w:rsidP="001D06FB">
      <w:pPr>
        <w:spacing w:line="360" w:lineRule="auto"/>
      </w:pPr>
    </w:p>
    <w:p w14:paraId="2BC9F490" w14:textId="77777777" w:rsidR="00244074" w:rsidRDefault="00244074" w:rsidP="001D06FB">
      <w:pPr>
        <w:spacing w:line="360" w:lineRule="auto"/>
      </w:pPr>
    </w:p>
    <w:p w14:paraId="1727B02A" w14:textId="77777777" w:rsidR="00244074" w:rsidRDefault="00244074" w:rsidP="001D06FB">
      <w:pPr>
        <w:spacing w:line="360" w:lineRule="auto"/>
      </w:pPr>
    </w:p>
    <w:p w14:paraId="10D351D4" w14:textId="77777777" w:rsidR="00244074" w:rsidRDefault="00244074" w:rsidP="001D06FB">
      <w:pPr>
        <w:spacing w:line="360" w:lineRule="auto"/>
      </w:pPr>
    </w:p>
    <w:p w14:paraId="3F6C7ACD" w14:textId="77777777" w:rsidR="00244074" w:rsidRDefault="00244074" w:rsidP="001D06FB">
      <w:pPr>
        <w:spacing w:line="360" w:lineRule="auto"/>
      </w:pPr>
    </w:p>
    <w:p w14:paraId="5C21085A" w14:textId="77777777" w:rsidR="00244074" w:rsidRDefault="00244074" w:rsidP="001D06FB">
      <w:pPr>
        <w:spacing w:line="360" w:lineRule="auto"/>
      </w:pPr>
    </w:p>
    <w:p w14:paraId="4806E79E" w14:textId="77777777" w:rsidR="001D06FB" w:rsidRPr="001D06FB" w:rsidRDefault="001D06FB" w:rsidP="00BE47E4"/>
    <w:tbl>
      <w:tblPr>
        <w:tblStyle w:val="TableGrid"/>
        <w:tblW w:w="0" w:type="auto"/>
        <w:jc w:val="center"/>
        <w:tblLayout w:type="fixed"/>
        <w:tblLook w:val="04A0" w:firstRow="1" w:lastRow="0" w:firstColumn="1" w:lastColumn="0" w:noHBand="0" w:noVBand="1"/>
      </w:tblPr>
      <w:tblGrid>
        <w:gridCol w:w="1134"/>
        <w:gridCol w:w="236"/>
        <w:gridCol w:w="473"/>
        <w:gridCol w:w="236"/>
        <w:gridCol w:w="473"/>
        <w:gridCol w:w="236"/>
        <w:gridCol w:w="761"/>
        <w:gridCol w:w="632"/>
        <w:gridCol w:w="5410"/>
      </w:tblGrid>
      <w:tr w:rsidR="007F11DD" w14:paraId="293794CF" w14:textId="77777777" w:rsidTr="009610FB">
        <w:trPr>
          <w:trHeight w:val="467"/>
          <w:jc w:val="center"/>
        </w:trPr>
        <w:tc>
          <w:tcPr>
            <w:tcW w:w="4181" w:type="dxa"/>
            <w:gridSpan w:val="8"/>
            <w:tcBorders>
              <w:top w:val="nil"/>
              <w:left w:val="nil"/>
              <w:bottom w:val="single" w:sz="4" w:space="0" w:color="auto"/>
              <w:right w:val="nil"/>
            </w:tcBorders>
          </w:tcPr>
          <w:p w14:paraId="57575273" w14:textId="06102EED" w:rsidR="007F11DD" w:rsidRPr="007A0B62" w:rsidRDefault="007F11DD" w:rsidP="00BE47E4">
            <w:pPr>
              <w:spacing w:line="360" w:lineRule="auto"/>
              <w:jc w:val="center"/>
              <w:rPr>
                <w:b/>
                <w:bCs/>
                <w:sz w:val="20"/>
                <w:szCs w:val="20"/>
              </w:rPr>
            </w:pPr>
            <w:r w:rsidRPr="007A0B62">
              <w:rPr>
                <w:b/>
                <w:bCs/>
                <w:sz w:val="20"/>
                <w:szCs w:val="20"/>
              </w:rPr>
              <w:t>Bảng 2. Cường độ phát thải KNK theo phân nhóm thực hành tốt</w:t>
            </w:r>
          </w:p>
        </w:tc>
        <w:tc>
          <w:tcPr>
            <w:tcW w:w="5410" w:type="dxa"/>
            <w:vMerge w:val="restart"/>
            <w:tcBorders>
              <w:top w:val="nil"/>
              <w:left w:val="nil"/>
              <w:bottom w:val="nil"/>
              <w:right w:val="nil"/>
            </w:tcBorders>
          </w:tcPr>
          <w:p w14:paraId="4C02F9D7" w14:textId="0E6ED791" w:rsidR="007F11DD" w:rsidRDefault="00206438" w:rsidP="00BE47E4">
            <w:pPr>
              <w:spacing w:line="360" w:lineRule="auto"/>
              <w:jc w:val="center"/>
              <w:rPr>
                <w:noProof/>
              </w:rPr>
            </w:pPr>
            <w:r>
              <w:rPr>
                <w:noProof/>
              </w:rPr>
              <w:drawing>
                <wp:inline distT="0" distB="0" distL="0" distR="0" wp14:anchorId="4D50846E" wp14:editId="0451F30E">
                  <wp:extent cx="3298190" cy="1853393"/>
                  <wp:effectExtent l="0" t="0" r="0" b="0"/>
                  <wp:docPr id="191315916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175E27F-0CA6-E78E-71F2-6559E198D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7F11DD" w14:paraId="49277511" w14:textId="76D5E1C1" w:rsidTr="009610FB">
        <w:trPr>
          <w:trHeight w:val="467"/>
          <w:jc w:val="center"/>
        </w:trPr>
        <w:tc>
          <w:tcPr>
            <w:tcW w:w="1134" w:type="dxa"/>
            <w:tcBorders>
              <w:top w:val="single" w:sz="4" w:space="0" w:color="auto"/>
              <w:bottom w:val="single" w:sz="4" w:space="0" w:color="auto"/>
            </w:tcBorders>
          </w:tcPr>
          <w:p w14:paraId="5AA20216" w14:textId="77777777" w:rsidR="007F11DD" w:rsidRPr="00DD7C81" w:rsidRDefault="007F11DD" w:rsidP="00BE47E4">
            <w:pPr>
              <w:spacing w:before="120" w:line="360" w:lineRule="auto"/>
              <w:rPr>
                <w:b/>
                <w:bCs/>
                <w:sz w:val="20"/>
                <w:szCs w:val="20"/>
              </w:rPr>
            </w:pPr>
            <w:r w:rsidRPr="00DD7C81">
              <w:rPr>
                <w:b/>
                <w:bCs/>
                <w:sz w:val="20"/>
                <w:szCs w:val="20"/>
              </w:rPr>
              <w:t>Nhóm</w:t>
            </w:r>
          </w:p>
        </w:tc>
        <w:tc>
          <w:tcPr>
            <w:tcW w:w="709" w:type="dxa"/>
            <w:gridSpan w:val="2"/>
            <w:tcBorders>
              <w:top w:val="single" w:sz="4" w:space="0" w:color="auto"/>
              <w:bottom w:val="single" w:sz="4" w:space="0" w:color="auto"/>
            </w:tcBorders>
          </w:tcPr>
          <w:p w14:paraId="1436F856" w14:textId="77022BCF" w:rsidR="007F11DD" w:rsidRPr="00DD7C81" w:rsidRDefault="007F11DD" w:rsidP="00BE47E4">
            <w:pPr>
              <w:spacing w:before="120" w:line="360" w:lineRule="auto"/>
              <w:jc w:val="center"/>
              <w:rPr>
                <w:b/>
                <w:bCs/>
                <w:sz w:val="20"/>
                <w:szCs w:val="20"/>
              </w:rPr>
            </w:pPr>
            <w:r w:rsidRPr="00DD7C81">
              <w:rPr>
                <w:b/>
                <w:bCs/>
                <w:sz w:val="20"/>
                <w:szCs w:val="20"/>
              </w:rPr>
              <w:t>Rất tốt</w:t>
            </w:r>
          </w:p>
        </w:tc>
        <w:tc>
          <w:tcPr>
            <w:tcW w:w="709" w:type="dxa"/>
            <w:gridSpan w:val="2"/>
            <w:tcBorders>
              <w:top w:val="single" w:sz="4" w:space="0" w:color="auto"/>
              <w:bottom w:val="single" w:sz="4" w:space="0" w:color="auto"/>
            </w:tcBorders>
          </w:tcPr>
          <w:p w14:paraId="1BE1B5C4" w14:textId="534B1750" w:rsidR="007F11DD" w:rsidRPr="00DD7C81" w:rsidRDefault="007F11DD" w:rsidP="00BE47E4">
            <w:pPr>
              <w:spacing w:before="120" w:line="360" w:lineRule="auto"/>
              <w:jc w:val="center"/>
              <w:rPr>
                <w:b/>
                <w:bCs/>
                <w:sz w:val="20"/>
                <w:szCs w:val="20"/>
              </w:rPr>
            </w:pPr>
            <w:r w:rsidRPr="00DD7C81">
              <w:rPr>
                <w:b/>
                <w:bCs/>
                <w:sz w:val="20"/>
                <w:szCs w:val="20"/>
              </w:rPr>
              <w:t>Tốt</w:t>
            </w:r>
          </w:p>
        </w:tc>
        <w:tc>
          <w:tcPr>
            <w:tcW w:w="997" w:type="dxa"/>
            <w:gridSpan w:val="2"/>
            <w:tcBorders>
              <w:top w:val="single" w:sz="4" w:space="0" w:color="auto"/>
              <w:bottom w:val="single" w:sz="4" w:space="0" w:color="auto"/>
            </w:tcBorders>
          </w:tcPr>
          <w:p w14:paraId="3D06CE5C" w14:textId="759EB3D3" w:rsidR="007F11DD" w:rsidRPr="00DD7C81" w:rsidRDefault="007F11DD" w:rsidP="00BE47E4">
            <w:pPr>
              <w:spacing w:before="120" w:line="360" w:lineRule="auto"/>
              <w:jc w:val="center"/>
              <w:rPr>
                <w:b/>
                <w:bCs/>
                <w:sz w:val="20"/>
                <w:szCs w:val="20"/>
              </w:rPr>
            </w:pPr>
            <w:r w:rsidRPr="00DD7C81">
              <w:rPr>
                <w:b/>
                <w:bCs/>
                <w:sz w:val="20"/>
                <w:szCs w:val="20"/>
              </w:rPr>
              <w:t>Trun</w:t>
            </w:r>
            <w:r w:rsidR="009610FB">
              <w:rPr>
                <w:b/>
                <w:bCs/>
                <w:sz w:val="20"/>
                <w:szCs w:val="20"/>
              </w:rPr>
              <w:t>g</w:t>
            </w:r>
            <w:r w:rsidRPr="00DD7C81">
              <w:rPr>
                <w:b/>
                <w:bCs/>
                <w:sz w:val="20"/>
                <w:szCs w:val="20"/>
              </w:rPr>
              <w:t xml:space="preserve"> bình</w:t>
            </w:r>
          </w:p>
        </w:tc>
        <w:tc>
          <w:tcPr>
            <w:tcW w:w="632" w:type="dxa"/>
            <w:tcBorders>
              <w:top w:val="single" w:sz="4" w:space="0" w:color="auto"/>
              <w:bottom w:val="single" w:sz="4" w:space="0" w:color="auto"/>
              <w:right w:val="single" w:sz="4" w:space="0" w:color="auto"/>
            </w:tcBorders>
          </w:tcPr>
          <w:p w14:paraId="17E7617A" w14:textId="516B7999" w:rsidR="007F11DD" w:rsidRPr="00DD7C81" w:rsidRDefault="007F11DD" w:rsidP="00BE47E4">
            <w:pPr>
              <w:spacing w:before="120" w:line="360" w:lineRule="auto"/>
              <w:jc w:val="center"/>
              <w:rPr>
                <w:b/>
                <w:bCs/>
                <w:sz w:val="20"/>
                <w:szCs w:val="20"/>
              </w:rPr>
            </w:pPr>
            <w:r w:rsidRPr="00DD7C81">
              <w:rPr>
                <w:b/>
                <w:bCs/>
                <w:sz w:val="20"/>
                <w:szCs w:val="20"/>
              </w:rPr>
              <w:t>Kém</w:t>
            </w:r>
          </w:p>
        </w:tc>
        <w:tc>
          <w:tcPr>
            <w:tcW w:w="5410" w:type="dxa"/>
            <w:vMerge/>
            <w:tcBorders>
              <w:top w:val="nil"/>
              <w:left w:val="single" w:sz="4" w:space="0" w:color="auto"/>
              <w:bottom w:val="nil"/>
              <w:right w:val="nil"/>
            </w:tcBorders>
          </w:tcPr>
          <w:p w14:paraId="06429D7B" w14:textId="57292067" w:rsidR="007F11DD" w:rsidRPr="00F13F02" w:rsidRDefault="007F11DD" w:rsidP="00BE47E4">
            <w:pPr>
              <w:spacing w:line="360" w:lineRule="auto"/>
              <w:jc w:val="center"/>
              <w:rPr>
                <w:sz w:val="20"/>
                <w:szCs w:val="20"/>
              </w:rPr>
            </w:pPr>
          </w:p>
        </w:tc>
      </w:tr>
      <w:tr w:rsidR="007F11DD" w14:paraId="2C1FC959" w14:textId="44A02E9B" w:rsidTr="009610FB">
        <w:trPr>
          <w:trHeight w:val="1508"/>
          <w:jc w:val="center"/>
        </w:trPr>
        <w:tc>
          <w:tcPr>
            <w:tcW w:w="1134" w:type="dxa"/>
            <w:tcBorders>
              <w:bottom w:val="single" w:sz="4" w:space="0" w:color="auto"/>
              <w:right w:val="single" w:sz="4" w:space="0" w:color="auto"/>
            </w:tcBorders>
          </w:tcPr>
          <w:p w14:paraId="1333C199" w14:textId="20342DBF" w:rsidR="007F11DD" w:rsidRPr="00F13F02" w:rsidRDefault="007F11DD" w:rsidP="00BE47E4">
            <w:pPr>
              <w:spacing w:before="120" w:line="360" w:lineRule="auto"/>
              <w:rPr>
                <w:sz w:val="20"/>
                <w:szCs w:val="20"/>
              </w:rPr>
            </w:pPr>
            <w:r w:rsidRPr="00F13F02">
              <w:rPr>
                <w:sz w:val="20"/>
                <w:szCs w:val="20"/>
              </w:rPr>
              <w:t>Cường độ phát thải KNK (g CO2tđ/l)</w:t>
            </w:r>
          </w:p>
        </w:tc>
        <w:tc>
          <w:tcPr>
            <w:tcW w:w="709" w:type="dxa"/>
            <w:gridSpan w:val="2"/>
            <w:tcBorders>
              <w:bottom w:val="single" w:sz="4" w:space="0" w:color="auto"/>
              <w:right w:val="single" w:sz="4" w:space="0" w:color="auto"/>
            </w:tcBorders>
          </w:tcPr>
          <w:p w14:paraId="3256A83E" w14:textId="418129F7" w:rsidR="007F11DD" w:rsidRPr="00A54041" w:rsidRDefault="007F11DD" w:rsidP="00BE47E4">
            <w:pPr>
              <w:spacing w:before="120" w:line="360" w:lineRule="auto"/>
              <w:jc w:val="center"/>
              <w:rPr>
                <w:sz w:val="20"/>
                <w:szCs w:val="20"/>
              </w:rPr>
            </w:pPr>
            <w:r>
              <w:rPr>
                <w:sz w:val="20"/>
                <w:szCs w:val="20"/>
              </w:rPr>
              <w:t>39,0</w:t>
            </w:r>
          </w:p>
        </w:tc>
        <w:tc>
          <w:tcPr>
            <w:tcW w:w="709" w:type="dxa"/>
            <w:gridSpan w:val="2"/>
            <w:tcBorders>
              <w:bottom w:val="single" w:sz="4" w:space="0" w:color="auto"/>
              <w:right w:val="single" w:sz="4" w:space="0" w:color="auto"/>
            </w:tcBorders>
          </w:tcPr>
          <w:p w14:paraId="3C1A8F3D" w14:textId="61F5EB74" w:rsidR="007F11DD" w:rsidRPr="00A54041" w:rsidRDefault="007F11DD" w:rsidP="00BE47E4">
            <w:pPr>
              <w:spacing w:before="120" w:line="360" w:lineRule="auto"/>
              <w:jc w:val="center"/>
              <w:rPr>
                <w:sz w:val="20"/>
                <w:szCs w:val="20"/>
              </w:rPr>
            </w:pPr>
            <w:r>
              <w:rPr>
                <w:sz w:val="20"/>
                <w:szCs w:val="20"/>
              </w:rPr>
              <w:t>59,3</w:t>
            </w:r>
          </w:p>
        </w:tc>
        <w:tc>
          <w:tcPr>
            <w:tcW w:w="997" w:type="dxa"/>
            <w:gridSpan w:val="2"/>
            <w:tcBorders>
              <w:bottom w:val="single" w:sz="4" w:space="0" w:color="auto"/>
              <w:right w:val="single" w:sz="4" w:space="0" w:color="auto"/>
            </w:tcBorders>
          </w:tcPr>
          <w:p w14:paraId="21369C5E" w14:textId="4719994A" w:rsidR="007F11DD" w:rsidRPr="00A54041" w:rsidRDefault="007F11DD" w:rsidP="00BE47E4">
            <w:pPr>
              <w:spacing w:before="120" w:line="360" w:lineRule="auto"/>
              <w:jc w:val="center"/>
              <w:rPr>
                <w:sz w:val="20"/>
                <w:szCs w:val="20"/>
              </w:rPr>
            </w:pPr>
            <w:r>
              <w:rPr>
                <w:sz w:val="20"/>
                <w:szCs w:val="20"/>
              </w:rPr>
              <w:t>73,3</w:t>
            </w:r>
          </w:p>
        </w:tc>
        <w:tc>
          <w:tcPr>
            <w:tcW w:w="632" w:type="dxa"/>
            <w:tcBorders>
              <w:bottom w:val="single" w:sz="4" w:space="0" w:color="auto"/>
              <w:right w:val="single" w:sz="4" w:space="0" w:color="auto"/>
            </w:tcBorders>
          </w:tcPr>
          <w:p w14:paraId="08E1EEA6" w14:textId="712E887A" w:rsidR="007F11DD" w:rsidRPr="00F13F02" w:rsidRDefault="007F11DD" w:rsidP="00BE47E4">
            <w:pPr>
              <w:spacing w:before="120" w:line="360" w:lineRule="auto"/>
              <w:jc w:val="center"/>
              <w:rPr>
                <w:sz w:val="20"/>
                <w:szCs w:val="20"/>
              </w:rPr>
            </w:pPr>
            <w:r w:rsidRPr="00A54041">
              <w:rPr>
                <w:sz w:val="20"/>
                <w:szCs w:val="20"/>
              </w:rPr>
              <w:t>94</w:t>
            </w:r>
            <w:r>
              <w:rPr>
                <w:sz w:val="20"/>
                <w:szCs w:val="20"/>
              </w:rPr>
              <w:t>,</w:t>
            </w:r>
            <w:r w:rsidRPr="00A54041">
              <w:rPr>
                <w:sz w:val="20"/>
                <w:szCs w:val="20"/>
              </w:rPr>
              <w:t>5</w:t>
            </w:r>
          </w:p>
        </w:tc>
        <w:tc>
          <w:tcPr>
            <w:tcW w:w="5410" w:type="dxa"/>
            <w:vMerge/>
            <w:tcBorders>
              <w:top w:val="nil"/>
              <w:left w:val="single" w:sz="4" w:space="0" w:color="auto"/>
              <w:bottom w:val="nil"/>
              <w:right w:val="nil"/>
            </w:tcBorders>
          </w:tcPr>
          <w:p w14:paraId="5028CF9E" w14:textId="77777777" w:rsidR="007F11DD" w:rsidRPr="00F13F02" w:rsidRDefault="007F11DD" w:rsidP="00BE47E4">
            <w:pPr>
              <w:spacing w:line="360" w:lineRule="auto"/>
              <w:jc w:val="center"/>
              <w:rPr>
                <w:sz w:val="20"/>
                <w:szCs w:val="20"/>
              </w:rPr>
            </w:pPr>
          </w:p>
        </w:tc>
      </w:tr>
      <w:tr w:rsidR="00DD7C81" w14:paraId="2378D619" w14:textId="77777777" w:rsidTr="009610FB">
        <w:trPr>
          <w:trHeight w:val="465"/>
          <w:jc w:val="center"/>
        </w:trPr>
        <w:tc>
          <w:tcPr>
            <w:tcW w:w="1370" w:type="dxa"/>
            <w:gridSpan w:val="2"/>
            <w:tcBorders>
              <w:top w:val="nil"/>
              <w:left w:val="nil"/>
              <w:bottom w:val="nil"/>
              <w:right w:val="nil"/>
            </w:tcBorders>
          </w:tcPr>
          <w:p w14:paraId="026E907C" w14:textId="77777777" w:rsidR="00DD7C81" w:rsidRPr="00F13F02" w:rsidRDefault="00DD7C81" w:rsidP="00BE47E4">
            <w:pPr>
              <w:spacing w:before="120" w:line="360" w:lineRule="auto"/>
              <w:rPr>
                <w:sz w:val="20"/>
                <w:szCs w:val="20"/>
              </w:rPr>
            </w:pPr>
          </w:p>
        </w:tc>
        <w:tc>
          <w:tcPr>
            <w:tcW w:w="709" w:type="dxa"/>
            <w:gridSpan w:val="2"/>
            <w:tcBorders>
              <w:top w:val="nil"/>
              <w:left w:val="nil"/>
              <w:bottom w:val="nil"/>
              <w:right w:val="nil"/>
            </w:tcBorders>
          </w:tcPr>
          <w:p w14:paraId="66A9A64F" w14:textId="77777777" w:rsidR="00DD7C81" w:rsidRDefault="00DD7C81" w:rsidP="00BE47E4">
            <w:pPr>
              <w:spacing w:before="120" w:line="360" w:lineRule="auto"/>
              <w:jc w:val="center"/>
              <w:rPr>
                <w:sz w:val="20"/>
                <w:szCs w:val="20"/>
              </w:rPr>
            </w:pPr>
          </w:p>
        </w:tc>
        <w:tc>
          <w:tcPr>
            <w:tcW w:w="709" w:type="dxa"/>
            <w:gridSpan w:val="2"/>
            <w:tcBorders>
              <w:top w:val="nil"/>
              <w:left w:val="nil"/>
              <w:bottom w:val="nil"/>
              <w:right w:val="nil"/>
            </w:tcBorders>
          </w:tcPr>
          <w:p w14:paraId="155E0690" w14:textId="77777777" w:rsidR="00DD7C81" w:rsidRDefault="00DD7C81" w:rsidP="00BE47E4">
            <w:pPr>
              <w:spacing w:before="120" w:line="360" w:lineRule="auto"/>
              <w:jc w:val="center"/>
              <w:rPr>
                <w:sz w:val="20"/>
                <w:szCs w:val="20"/>
              </w:rPr>
            </w:pPr>
          </w:p>
        </w:tc>
        <w:tc>
          <w:tcPr>
            <w:tcW w:w="761" w:type="dxa"/>
            <w:tcBorders>
              <w:top w:val="nil"/>
              <w:left w:val="nil"/>
              <w:bottom w:val="nil"/>
              <w:right w:val="nil"/>
            </w:tcBorders>
          </w:tcPr>
          <w:p w14:paraId="532E6EF8" w14:textId="77777777" w:rsidR="00DD7C81" w:rsidRDefault="00DD7C81" w:rsidP="00BE47E4">
            <w:pPr>
              <w:spacing w:before="120" w:line="360" w:lineRule="auto"/>
              <w:jc w:val="center"/>
              <w:rPr>
                <w:sz w:val="20"/>
                <w:szCs w:val="20"/>
              </w:rPr>
            </w:pPr>
          </w:p>
        </w:tc>
        <w:tc>
          <w:tcPr>
            <w:tcW w:w="632" w:type="dxa"/>
            <w:tcBorders>
              <w:top w:val="nil"/>
              <w:left w:val="nil"/>
              <w:bottom w:val="nil"/>
              <w:right w:val="nil"/>
            </w:tcBorders>
          </w:tcPr>
          <w:p w14:paraId="376403D3" w14:textId="77777777" w:rsidR="00DD7C81" w:rsidRPr="00A54041" w:rsidRDefault="00DD7C81" w:rsidP="00BE47E4">
            <w:pPr>
              <w:spacing w:before="120" w:line="360" w:lineRule="auto"/>
              <w:jc w:val="center"/>
              <w:rPr>
                <w:sz w:val="20"/>
                <w:szCs w:val="20"/>
              </w:rPr>
            </w:pPr>
          </w:p>
        </w:tc>
        <w:tc>
          <w:tcPr>
            <w:tcW w:w="5410" w:type="dxa"/>
            <w:tcBorders>
              <w:top w:val="nil"/>
              <w:left w:val="nil"/>
              <w:bottom w:val="nil"/>
              <w:right w:val="nil"/>
            </w:tcBorders>
          </w:tcPr>
          <w:p w14:paraId="12F3866E" w14:textId="0BE5B7DC" w:rsidR="00DD7C81" w:rsidRPr="00DD7C81" w:rsidRDefault="00DD7C81" w:rsidP="00BE47E4">
            <w:pPr>
              <w:pStyle w:val="Caption"/>
              <w:rPr>
                <w:sz w:val="20"/>
                <w:szCs w:val="20"/>
              </w:rPr>
            </w:pPr>
            <w:r>
              <w:t xml:space="preserve">Hình </w:t>
            </w:r>
            <w:fldSimple w:instr=" SEQ Hình \* ARABIC ">
              <w:r>
                <w:rPr>
                  <w:noProof/>
                </w:rPr>
                <w:t>5</w:t>
              </w:r>
            </w:fldSimple>
            <w:r w:rsidRPr="008674D8">
              <w:rPr>
                <w:rFonts w:ascii="Arial" w:hAnsi="Arial" w:cs="Tahoma"/>
                <w:noProof/>
                <w:color w:val="0F4761"/>
                <w:sz w:val="21"/>
                <w:lang w:val="vi-VN"/>
              </w:rPr>
              <w:t>.</w:t>
            </w:r>
            <w:r w:rsidRPr="004F1FFA">
              <w:rPr>
                <w:noProof/>
                <w:szCs w:val="22"/>
                <w:lang w:val="vi-VN"/>
              </w:rPr>
              <w:t xml:space="preserve"> Cường độ phát thải KNK </w:t>
            </w:r>
            <w:r>
              <w:rPr>
                <w:noProof/>
              </w:rPr>
              <w:t>theo nhóm tứ phân vị</w:t>
            </w:r>
          </w:p>
        </w:tc>
      </w:tr>
    </w:tbl>
    <w:p w14:paraId="6E8B0B8D" w14:textId="3D45ABB2" w:rsidR="002833C4" w:rsidRDefault="002833C4" w:rsidP="00BE47E4">
      <w:pPr>
        <w:spacing w:line="360" w:lineRule="auto"/>
      </w:pPr>
      <w:r w:rsidRPr="002833C4">
        <w:t xml:space="preserve">Kết quả kiểm toán năng lượng tại 5 nhà máy bia cho thấy tiềm năng giảm phát thải có thể được khai thác thông qua cả </w:t>
      </w:r>
      <w:r w:rsidR="00D72397">
        <w:t>2</w:t>
      </w:r>
      <w:r w:rsidRPr="002833C4">
        <w:t xml:space="preserve"> hướng: nâng cao hiệu quả sử dụng năng lượng và chuyển đổi sang nguồn điện phát thải thấp. </w:t>
      </w:r>
      <w:r w:rsidR="001635B9" w:rsidRPr="001635B9">
        <w:t>Kết quả khảo sát tại 5 nhà máy cho thấy các giải pháp hiệu quả năng lượng có thể giảm khoảng 4,8% tổng phát thải hiện tại. Khi tính thêm các dự án điện mặt trời mái nhà, tiềm năng giảm phát thải tổng hợp có thể đạt khoảng 27,1%</w:t>
      </w:r>
      <w:r w:rsidR="005E1886">
        <w:t xml:space="preserve">. </w:t>
      </w:r>
      <w:r w:rsidRPr="002833C4">
        <w:t xml:space="preserve">Trong đó, hệ thống lạnh, giải nhiệt, bơm và khí nén là các khu vực có tiềm năng tiết kiệm điện đáng kể, với nhiều giải pháp có thời gian hoàn vốn dưới </w:t>
      </w:r>
      <w:r w:rsidR="00D72397">
        <w:t>3</w:t>
      </w:r>
      <w:r w:rsidRPr="002833C4">
        <w:t xml:space="preserve"> năm.  Kết quả cho thấy lộ trình phù hợp nên ưu tiên các giải pháp vận hành, quản lý năng lượng, tối ưu hệ thống lạnh, khí nén và thu hồi nhiệt trong ngắn hạn, sau đó mở rộng điện mặt trời và các nguồn năng lượng tái tạo trong trung và dài hạn.</w:t>
      </w:r>
    </w:p>
    <w:p w14:paraId="7B6B34BE" w14:textId="7D49DF09" w:rsidR="00573B09" w:rsidRPr="00573B09" w:rsidRDefault="00573B09" w:rsidP="00BE47E4">
      <w:pPr>
        <w:spacing w:line="360" w:lineRule="auto"/>
        <w:rPr>
          <w:b/>
          <w:bCs/>
        </w:rPr>
      </w:pPr>
      <w:r w:rsidRPr="00573B09">
        <w:rPr>
          <w:b/>
          <w:bCs/>
        </w:rPr>
        <w:t>4.</w:t>
      </w:r>
      <w:r w:rsidRPr="00573B09">
        <w:rPr>
          <w:b/>
          <w:bCs/>
        </w:rPr>
        <w:tab/>
        <w:t>Kết luận</w:t>
      </w:r>
    </w:p>
    <w:p w14:paraId="773C79A2" w14:textId="77777777" w:rsidR="00595408" w:rsidRDefault="00595408" w:rsidP="00BE47E4">
      <w:pPr>
        <w:spacing w:line="360" w:lineRule="auto"/>
        <w:jc w:val="both"/>
      </w:pPr>
      <w:r w:rsidRPr="00595408">
        <w:t xml:space="preserve">Nghiên cứu đã cung cấp bức tranh tổng quan về hiện trạng phát thải khí nhà kính của ngành bia Việt Nam, làm rõ cơ cấu nguồn phát thải, sự khác biệt giữa các nhóm nhà máy và dư địa cải thiện tại cấp cơ sở. </w:t>
      </w:r>
      <w:r w:rsidR="00573B09" w:rsidRPr="00573B09">
        <w:t xml:space="preserve">Kết quả nghiên cứu cho thấy phát thải KNK của các nhà máy bia Việt Nam chủ yếu đến từ điện lưới, trong khi phát thải từ nhu cầu nhiệt tương đối thấp do nhiều nhà máy quy mô trung bình và lớn đã sử dụng lò hơi sinh khối hoặc mua hơi được sản xuất từ sinh khối, qua đó hạn chế đáng kể phát thải từ nhiên liệu hóa thạch. Cường độ phát thải có xu hướng giảm theo quy mô nhưng vẫn chênh lệch rõ giữa các nhà máy. </w:t>
      </w:r>
      <w:r w:rsidRPr="00595408">
        <w:t xml:space="preserve">Kết quả cho thấy phát thải của nhà máy bia </w:t>
      </w:r>
      <w:r>
        <w:t xml:space="preserve">chủ yếu từ </w:t>
      </w:r>
      <w:r w:rsidRPr="00595408">
        <w:t>sử dụng năng lượng, đặc biệt là điện năng cho các hệ thống lạnh, khí nén, bơm và dây chuyền phụ trợ, trong khi việc sử dụng sinh khối góp phần hạn chế phát thải từ nhu cầu nhiệt.</w:t>
      </w:r>
      <w:r>
        <w:t xml:space="preserve"> </w:t>
      </w:r>
      <w:r w:rsidRPr="00595408">
        <w:t>Tiềm năng giảm phát thải có thể được khai thác thông qua tối ưu vận hành, nâng cao hiệu suất thiết bị, thu hồi nhiệt, tăng cường quản lý năng lượng và từng bước chuyển sang các nguồn năng lượng phát thải thấp. Vì vậy, lộ trình giảm phát thải của ngành bia cần kết hợp đồng thời các giải pháp tiết kiệm năng lượng và chuyển đổi năng lượng, phù hợp với điều kiện kỹ thuật, quy mô và năng lực đầu tư của từng doanh nghiệp. Kết quả nghiên cứu là cơ sở tham khảo cho việc xây dựng mục tiêu, lựa chọn giải pháp ưu tiên và hỗ trợ doanh nghiệp đáp ứng yêu cầu kiểm kê, giảm nhẹ phát thải trong thời gian tới.</w:t>
      </w:r>
    </w:p>
    <w:p w14:paraId="6837DD98" w14:textId="77777777" w:rsidR="00E444BD" w:rsidRDefault="00E444BD" w:rsidP="00BE47E4">
      <w:pPr>
        <w:spacing w:line="360" w:lineRule="auto"/>
        <w:rPr>
          <w:b/>
          <w:bCs/>
          <w:i/>
          <w:iCs/>
        </w:rPr>
      </w:pPr>
      <w:r w:rsidRPr="00E444BD">
        <w:rPr>
          <w:b/>
          <w:bCs/>
          <w:i/>
          <w:iCs/>
        </w:rPr>
        <w:t>Lời cảm ơn: Tác giả trân trọng cảm ơn Trung tâm Nghiên cứu và Phát triển Tiết kiệm Năng lượng (ENERTEAM) đã hỗ trợ dữ liệu và chuyên môn trong quá trình thực hiện nghiên cứu này.</w:t>
      </w:r>
    </w:p>
    <w:p w14:paraId="16FFB4F6" w14:textId="34D8AFC5" w:rsidR="00981472" w:rsidRDefault="00981472" w:rsidP="00BE47E4">
      <w:pPr>
        <w:spacing w:line="360" w:lineRule="auto"/>
        <w:rPr>
          <w:b/>
          <w:bCs/>
        </w:rPr>
      </w:pPr>
      <w:r w:rsidRPr="00981472">
        <w:rPr>
          <w:b/>
          <w:bCs/>
        </w:rPr>
        <w:t>TÀI</w:t>
      </w:r>
      <w:r w:rsidRPr="00981472">
        <w:rPr>
          <w:b/>
          <w:bCs/>
          <w:spacing w:val="19"/>
        </w:rPr>
        <w:t xml:space="preserve"> </w:t>
      </w:r>
      <w:r w:rsidRPr="00981472">
        <w:rPr>
          <w:b/>
          <w:bCs/>
        </w:rPr>
        <w:t>LIỆU</w:t>
      </w:r>
      <w:r w:rsidRPr="00981472">
        <w:rPr>
          <w:b/>
          <w:bCs/>
          <w:spacing w:val="16"/>
        </w:rPr>
        <w:t xml:space="preserve"> </w:t>
      </w:r>
      <w:r w:rsidRPr="00981472">
        <w:rPr>
          <w:b/>
          <w:bCs/>
        </w:rPr>
        <w:t>THAM</w:t>
      </w:r>
      <w:r w:rsidRPr="00981472">
        <w:rPr>
          <w:b/>
          <w:bCs/>
          <w:spacing w:val="21"/>
        </w:rPr>
        <w:t xml:space="preserve"> </w:t>
      </w:r>
      <w:r w:rsidRPr="00981472">
        <w:rPr>
          <w:b/>
          <w:bCs/>
        </w:rPr>
        <w:t>KHẢO</w:t>
      </w:r>
      <w:r w:rsidR="00D72397">
        <w:rPr>
          <w:b/>
          <w:bCs/>
        </w:rPr>
        <w:t>:</w:t>
      </w:r>
    </w:p>
    <w:p w14:paraId="31146A14" w14:textId="77777777" w:rsid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Bộ Công Thương. (2016). Quyết định số 3690/QĐ-BCT ngày 12/9/2016 phê duyệt Quy hoạch phát triển ngành bia, rượu, nước giải khát Việt Nam đến năm 2025, tầm nhìn đến năm 2035.</w:t>
      </w:r>
    </w:p>
    <w:p w14:paraId="773642D3" w14:textId="77777777" w:rsid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lastRenderedPageBreak/>
        <w:t xml:space="preserve">Bộ Công Thương. (2023). Thông tư số 38/2023/TT-BCT ngày 27/12/2023 quy định kỹ thuật đo đạc, báo cáo, thẩm định giảm nhẹ phát thải khí nhà kính và kiểm kê khí nhà kính ngành Công Thương. </w:t>
      </w:r>
    </w:p>
    <w:p w14:paraId="77AE9661" w14:textId="4C7611E3" w:rsid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Bộ Công Thương. (2024). Thông tư số 28/2024/TT-BCT ngày 25/12/2024 quy định định mức sử dụng năng lượng trong ngành công nghiệp sản xuất bia và đồ uống không cồn. </w:t>
      </w:r>
    </w:p>
    <w:p w14:paraId="7FCBFF7F" w14:textId="77777777" w:rsid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Chính phủ</w:t>
      </w:r>
      <w:r w:rsidRPr="00D72397">
        <w:rPr>
          <w:color w:val="000000"/>
          <w:sz w:val="22"/>
          <w:szCs w:val="22"/>
        </w:rPr>
        <w:t xml:space="preserve"> Nước Cộng hòa xã hội chủ nghĩa Việt Nam</w:t>
      </w:r>
      <w:r>
        <w:rPr>
          <w:color w:val="000000"/>
          <w:sz w:val="22"/>
          <w:szCs w:val="22"/>
        </w:rPr>
        <w:t xml:space="preserve">. (2022). Nghị định số 06/2022/NĐ-CP ngày 07/01/2022 quy định giảm nhẹ phát thải khí nhà kính và bảo vệ tầng ô-dôn. </w:t>
      </w:r>
    </w:p>
    <w:p w14:paraId="50159981" w14:textId="77777777" w:rsid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Chính phủ</w:t>
      </w:r>
      <w:r w:rsidRPr="00D72397">
        <w:t xml:space="preserve"> </w:t>
      </w:r>
      <w:r w:rsidRPr="00D72397">
        <w:rPr>
          <w:color w:val="000000"/>
          <w:sz w:val="22"/>
          <w:szCs w:val="22"/>
        </w:rPr>
        <w:t>Nước Cộng hòa xã hội chủ nghĩa Việt Nam</w:t>
      </w:r>
      <w:r>
        <w:rPr>
          <w:color w:val="000000"/>
          <w:sz w:val="22"/>
          <w:szCs w:val="22"/>
        </w:rPr>
        <w:t xml:space="preserve">. (2024). Quyết định số 13/2024/QĐ-TTg ngày 13/8/2024 ban hành danh mục lĩnh vực, cơ sở phát thải khí nhà kính phải thực hiện kiểm kê khí nhà kính (cập nhật). </w:t>
      </w:r>
    </w:p>
    <w:p w14:paraId="597A6F90" w14:textId="5219481B" w:rsidR="00D72397" w:rsidRP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Cục Thống kê. (2026). Niên giám thống kê 2025. </w:t>
      </w:r>
      <w:r>
        <w:rPr>
          <w:color w:val="000000"/>
          <w:sz w:val="22"/>
          <w:szCs w:val="22"/>
        </w:rPr>
        <w:t>Hà Nội</w:t>
      </w:r>
    </w:p>
    <w:p w14:paraId="4916DA2D" w14:textId="77777777" w:rsidR="00D72397" w:rsidRDefault="00D72397" w:rsidP="00BE47E4">
      <w:pPr>
        <w:pStyle w:val="NormalWeb"/>
        <w:shd w:val="clear" w:color="auto" w:fill="FFFFFF"/>
        <w:spacing w:before="0" w:beforeAutospacing="0" w:after="0" w:afterAutospacing="0" w:line="360" w:lineRule="auto"/>
        <w:jc w:val="both"/>
        <w:rPr>
          <w:color w:val="000000"/>
          <w:sz w:val="21"/>
          <w:szCs w:val="21"/>
        </w:rPr>
      </w:pPr>
      <w:r>
        <w:rPr>
          <w:color w:val="000000"/>
          <w:sz w:val="22"/>
          <w:szCs w:val="22"/>
        </w:rPr>
        <w:t>Astute Analytica. (2025). Vietnam Beer Market: Industry Dynamics, Market Size, and Opportunity Forecast to 2033. https://www.astuteanalytica.com/industry-report/vietnam-beer-market</w:t>
      </w:r>
    </w:p>
    <w:p w14:paraId="0CBCDBA6" w14:textId="12B8911C" w:rsidR="00D72397" w:rsidRDefault="00D72397" w:rsidP="00BE47E4">
      <w:pPr>
        <w:pStyle w:val="NormalWeb"/>
        <w:shd w:val="clear" w:color="auto" w:fill="FFFFFF"/>
        <w:spacing w:before="0" w:beforeAutospacing="0" w:after="0" w:afterAutospacing="0" w:line="360" w:lineRule="auto"/>
        <w:jc w:val="both"/>
        <w:rPr>
          <w:color w:val="000000"/>
          <w:sz w:val="21"/>
          <w:szCs w:val="21"/>
        </w:rPr>
      </w:pPr>
      <w:r>
        <w:rPr>
          <w:color w:val="000000"/>
          <w:sz w:val="22"/>
          <w:szCs w:val="22"/>
        </w:rPr>
        <w:t>Beverage Industry Environmental Roundtable (BIER). (2022). Beverage Industry Greenhouse Gas Emissions Sector Guidance (Version 4.2). Beverage Industry Environmental Roundtable (BIER). (2024). 2023 BIER Benchmarking Executive Summary Report. https://www.bieroundtable.com/wp-content/uploads/2023-BIER-Benchmarking-Executive-Summary-Report.pdf.</w:t>
      </w:r>
    </w:p>
    <w:p w14:paraId="7152DB6B" w14:textId="77777777" w:rsidR="00D72397" w:rsidRDefault="00D72397" w:rsidP="00D72397">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Brewers Association. (2017). Energy Usage, GHG Reduction, Efficiency and Load Management Manual. </w:t>
      </w:r>
    </w:p>
    <w:p w14:paraId="4115F66D" w14:textId="77777777" w:rsidR="00D72397" w:rsidRDefault="00D72397" w:rsidP="00BE47E4">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Intergovernmental Panel on Climate Change (IPCC). (2006). 2006 IPCC Guidelines for National Greenhouse Gas Inventories. Institute for Global Environmental Strategies. </w:t>
      </w:r>
    </w:p>
    <w:p w14:paraId="029B9383" w14:textId="4DA38E9A" w:rsidR="00D72397" w:rsidRDefault="00D72397" w:rsidP="00BE47E4">
      <w:pPr>
        <w:pStyle w:val="NormalWeb"/>
        <w:shd w:val="clear" w:color="auto" w:fill="FFFFFF"/>
        <w:spacing w:before="0" w:beforeAutospacing="0" w:after="0" w:afterAutospacing="0" w:line="360" w:lineRule="auto"/>
        <w:jc w:val="both"/>
        <w:rPr>
          <w:color w:val="000000"/>
          <w:sz w:val="21"/>
          <w:szCs w:val="21"/>
        </w:rPr>
      </w:pPr>
      <w:r>
        <w:rPr>
          <w:color w:val="000000"/>
          <w:sz w:val="22"/>
          <w:szCs w:val="22"/>
        </w:rPr>
        <w:t>Kubule, A., Žogla, L., &amp; Rošā, M. (2016). Resource and energy efficiency in small and medium breweries. Energy Procedia, 95, 223–229. https://doi.org/10.1016/j.egypro.2016.09.055.</w:t>
      </w:r>
    </w:p>
    <w:p w14:paraId="2576A8E3" w14:textId="77777777" w:rsidR="00D72397" w:rsidRDefault="00D72397" w:rsidP="00BE47E4">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Olajire, A. A. (2020). The brewing industry and environmental challenges. Journal of Cleaner Production, 256, 102817. </w:t>
      </w:r>
    </w:p>
    <w:p w14:paraId="5439CAF5" w14:textId="77777777" w:rsidR="00D72397" w:rsidRPr="00AE70D1" w:rsidRDefault="00D72397" w:rsidP="004C4A1D">
      <w:pPr>
        <w:pStyle w:val="NormalWeb"/>
        <w:shd w:val="clear" w:color="auto" w:fill="FFFFFF"/>
        <w:spacing w:before="0" w:beforeAutospacing="0" w:after="0" w:afterAutospacing="0" w:line="360" w:lineRule="auto"/>
        <w:jc w:val="both"/>
        <w:rPr>
          <w:color w:val="000000"/>
          <w:sz w:val="21"/>
          <w:szCs w:val="21"/>
        </w:rPr>
      </w:pPr>
      <w:r w:rsidRPr="00AE70D1">
        <w:rPr>
          <w:color w:val="000000"/>
          <w:sz w:val="21"/>
          <w:szCs w:val="21"/>
        </w:rPr>
        <w:t xml:space="preserve">United Nations Industrial Development Organization (UNIDO). (n.d.). </w:t>
      </w:r>
      <w:r w:rsidRPr="00AE70D1">
        <w:rPr>
          <w:i/>
          <w:iCs/>
          <w:color w:val="000000"/>
          <w:sz w:val="21"/>
          <w:szCs w:val="21"/>
        </w:rPr>
        <w:t>RECP experiences at Tanzania Breweries Limited Mwanza Plant – Tanzania</w:t>
      </w:r>
      <w:r w:rsidRPr="00AE70D1">
        <w:rPr>
          <w:color w:val="000000"/>
          <w:sz w:val="21"/>
          <w:szCs w:val="21"/>
        </w:rPr>
        <w:t xml:space="preserve">. United Nations Industrial Development Organization. </w:t>
      </w:r>
    </w:p>
    <w:p w14:paraId="482BF637" w14:textId="77777777" w:rsidR="00D72397" w:rsidRDefault="00D72397" w:rsidP="004C4A1D">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World Resources Institute (WRI) &amp; World Business Council for Sustainable Development (WBCSD). (2004). The Greenhouse Gas Protocol: A Corporate Accounting and Reporting Standard (Revised Edition). </w:t>
      </w:r>
    </w:p>
    <w:p w14:paraId="59917452" w14:textId="77777777" w:rsidR="00D72397" w:rsidRDefault="00D72397" w:rsidP="004C4A1D">
      <w:pPr>
        <w:pStyle w:val="NormalWeb"/>
        <w:shd w:val="clear" w:color="auto" w:fill="FFFFFF"/>
        <w:spacing w:before="0" w:beforeAutospacing="0" w:after="0" w:afterAutospacing="0" w:line="360" w:lineRule="auto"/>
        <w:jc w:val="both"/>
        <w:rPr>
          <w:color w:val="000000"/>
          <w:sz w:val="22"/>
          <w:szCs w:val="22"/>
        </w:rPr>
      </w:pPr>
      <w:r>
        <w:rPr>
          <w:color w:val="000000"/>
          <w:sz w:val="22"/>
          <w:szCs w:val="22"/>
        </w:rPr>
        <w:t xml:space="preserve">World Resources Institute (WRI) &amp; World Business Council for Sustainable Development (WBCSD). (2011). Corporate Value Chain (Scope 3) Accounting and Reporting Standard. WRI and WBCSD. </w:t>
      </w:r>
    </w:p>
    <w:p w14:paraId="3C284D8C" w14:textId="77777777" w:rsidR="00D72397" w:rsidRPr="00AE70D1" w:rsidRDefault="00D72397" w:rsidP="004C4A1D">
      <w:pPr>
        <w:pStyle w:val="NormalWeb"/>
        <w:shd w:val="clear" w:color="auto" w:fill="FFFFFF"/>
        <w:spacing w:before="0" w:beforeAutospacing="0" w:after="0" w:afterAutospacing="0" w:line="360" w:lineRule="auto"/>
        <w:jc w:val="both"/>
        <w:rPr>
          <w:color w:val="000000"/>
          <w:sz w:val="21"/>
          <w:szCs w:val="21"/>
        </w:rPr>
      </w:pPr>
      <w:r>
        <w:rPr>
          <w:color w:val="000000"/>
          <w:sz w:val="21"/>
          <w:szCs w:val="21"/>
        </w:rPr>
        <w:t>W</w:t>
      </w:r>
      <w:r w:rsidRPr="00AE70D1">
        <w:rPr>
          <w:color w:val="000000"/>
          <w:sz w:val="21"/>
          <w:szCs w:val="21"/>
        </w:rPr>
        <w:t xml:space="preserve">orrell, E., Galitsky, C., &amp; Martin, N. (2002). </w:t>
      </w:r>
      <w:r w:rsidRPr="00AE70D1">
        <w:rPr>
          <w:i/>
          <w:iCs/>
          <w:color w:val="000000"/>
          <w:sz w:val="21"/>
          <w:szCs w:val="21"/>
        </w:rPr>
        <w:t>Energy efficiency opportunities in the brewery industry</w:t>
      </w:r>
      <w:r w:rsidRPr="00AE70D1">
        <w:rPr>
          <w:color w:val="000000"/>
          <w:sz w:val="21"/>
          <w:szCs w:val="21"/>
        </w:rPr>
        <w:t xml:space="preserve">. Lawrence Berkeley National Laboratory. </w:t>
      </w:r>
    </w:p>
    <w:sectPr w:rsidR="00D72397" w:rsidRPr="00AE70D1">
      <w:footerReference w:type="default" r:id="rId21"/>
      <w:pgSz w:w="12190" w:h="16730"/>
      <w:pgMar w:top="1820" w:right="992" w:bottom="280"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89800" w14:textId="77777777" w:rsidR="00E428A2" w:rsidRDefault="00E428A2">
      <w:r>
        <w:separator/>
      </w:r>
    </w:p>
  </w:endnote>
  <w:endnote w:type="continuationSeparator" w:id="0">
    <w:p w14:paraId="5F028892" w14:textId="77777777" w:rsidR="00E428A2" w:rsidRDefault="00E4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9AD1B" w14:textId="77777777" w:rsidR="003D2823" w:rsidRDefault="001A6645">
    <w:pPr>
      <w:pStyle w:val="BodyText"/>
      <w:spacing w:line="14" w:lineRule="auto"/>
      <w:rPr>
        <w:sz w:val="20"/>
      </w:rPr>
    </w:pPr>
    <w:r>
      <w:rPr>
        <w:noProof/>
        <w:sz w:val="20"/>
      </w:rPr>
      <mc:AlternateContent>
        <mc:Choice Requires="wps">
          <w:drawing>
            <wp:anchor distT="0" distB="0" distL="0" distR="0" simplePos="0" relativeHeight="487451136" behindDoc="1" locked="0" layoutInCell="1" allowOverlap="1" wp14:anchorId="006A9099" wp14:editId="1339F5C8">
              <wp:simplePos x="0" y="0"/>
              <wp:positionH relativeFrom="page">
                <wp:posOffset>817420</wp:posOffset>
              </wp:positionH>
              <wp:positionV relativeFrom="page">
                <wp:posOffset>9753753</wp:posOffset>
              </wp:positionV>
              <wp:extent cx="1146810" cy="25272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810" cy="252729"/>
                      </a:xfrm>
                      <a:prstGeom prst="rect">
                        <a:avLst/>
                      </a:prstGeom>
                    </wps:spPr>
                    <wps:txbx>
                      <w:txbxContent>
                        <w:p w14:paraId="568538F1" w14:textId="77777777" w:rsidR="003D2823" w:rsidRPr="00C41F69" w:rsidRDefault="001A6645">
                          <w:pPr>
                            <w:spacing w:before="69"/>
                            <w:ind w:left="60"/>
                            <w:rPr>
                              <w:rFonts w:ascii="Tahoma" w:hAnsi="Tahoma" w:cs="Tahoma"/>
                              <w:b/>
                            </w:rPr>
                          </w:pPr>
                          <w:r>
                            <w:rPr>
                              <w:rFonts w:ascii="Trebuchet MS" w:hAnsi="Trebuchet MS"/>
                              <w:position w:val="2"/>
                              <w:sz w:val="24"/>
                            </w:rPr>
                            <w:fldChar w:fldCharType="begin"/>
                          </w:r>
                          <w:r>
                            <w:rPr>
                              <w:rFonts w:ascii="Trebuchet MS" w:hAnsi="Trebuchet MS"/>
                              <w:position w:val="2"/>
                              <w:sz w:val="24"/>
                            </w:rPr>
                            <w:instrText xml:space="preserve"> PAGE </w:instrText>
                          </w:r>
                          <w:r>
                            <w:rPr>
                              <w:rFonts w:ascii="Trebuchet MS" w:hAnsi="Trebuchet MS"/>
                              <w:position w:val="2"/>
                              <w:sz w:val="24"/>
                            </w:rPr>
                            <w:fldChar w:fldCharType="separate"/>
                          </w:r>
                          <w:r w:rsidR="00D72397">
                            <w:rPr>
                              <w:rFonts w:ascii="Trebuchet MS" w:hAnsi="Trebuchet MS"/>
                              <w:noProof/>
                              <w:position w:val="2"/>
                              <w:sz w:val="24"/>
                            </w:rPr>
                            <w:t>2</w:t>
                          </w:r>
                          <w:r>
                            <w:rPr>
                              <w:rFonts w:ascii="Trebuchet MS" w:hAnsi="Trebuchet MS"/>
                              <w:position w:val="2"/>
                              <w:sz w:val="24"/>
                            </w:rPr>
                            <w:fldChar w:fldCharType="end"/>
                          </w:r>
                          <w:r>
                            <w:rPr>
                              <w:rFonts w:ascii="Trebuchet MS" w:hAnsi="Trebuchet MS"/>
                              <w:position w:val="2"/>
                              <w:sz w:val="24"/>
                            </w:rPr>
                            <w:t>|</w:t>
                          </w:r>
                          <w:r>
                            <w:rPr>
                              <w:rFonts w:ascii="Trebuchet MS" w:hAnsi="Trebuchet MS"/>
                              <w:spacing w:val="-35"/>
                              <w:position w:val="2"/>
                              <w:sz w:val="24"/>
                            </w:rPr>
                            <w:t xml:space="preserve"> </w:t>
                          </w:r>
                          <w:r w:rsidRPr="00C41F69">
                            <w:rPr>
                              <w:rFonts w:ascii="Tahoma" w:hAnsi="Tahoma" w:cs="Tahoma"/>
                              <w:b/>
                            </w:rPr>
                            <w:t>Số</w:t>
                          </w:r>
                          <w:r w:rsidRPr="00C41F69">
                            <w:rPr>
                              <w:rFonts w:ascii="Tahoma" w:hAnsi="Tahoma" w:cs="Tahoma"/>
                              <w:b/>
                              <w:spacing w:val="31"/>
                            </w:rPr>
                            <w:t xml:space="preserve"> </w:t>
                          </w:r>
                          <w:r w:rsidRPr="00C41F69">
                            <w:rPr>
                              <w:rFonts w:ascii="Tahoma" w:hAnsi="Tahoma" w:cs="Tahoma"/>
                              <w:b/>
                              <w:spacing w:val="-2"/>
                            </w:rPr>
                            <w:t>19/2026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64.35pt;margin-top:768pt;width:90.3pt;height:19.9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" filled="f" stroked="f">
              <v:path arrowok="t"/>
              <v:textbox inset="0,0,0,0">
                <w:txbxContent>
                  <w:p w14:paraId="568538F1" w14:textId="77777777" w:rsidR="003D2823" w:rsidRPr="00C41F69" w:rsidRDefault="001A6645">
                    <w:pPr>
                      <w:spacing w:before="69"/>
                      <w:ind w:left="60"/>
                      <w:rPr>
                        <w:rFonts w:ascii="Tahoma" w:hAnsi="Tahoma" w:cs="Tahoma"/>
                        <w:b/>
                      </w:rPr>
                    </w:pPr>
                    <w:r>
                      <w:rPr>
                        <w:rFonts w:ascii="Trebuchet MS" w:hAnsi="Trebuchet MS"/>
                        <w:position w:val="2"/>
                        <w:sz w:val="24"/>
                      </w:rPr>
                      <w:fldChar w:fldCharType="begin"/>
                    </w:r>
                    <w:r>
                      <w:rPr>
                        <w:rFonts w:ascii="Trebuchet MS" w:hAnsi="Trebuchet MS"/>
                        <w:position w:val="2"/>
                        <w:sz w:val="24"/>
                      </w:rPr>
                      <w:instrText xml:space="preserve"> PAGE </w:instrText>
                    </w:r>
                    <w:r>
                      <w:rPr>
                        <w:rFonts w:ascii="Trebuchet MS" w:hAnsi="Trebuchet MS"/>
                        <w:position w:val="2"/>
                        <w:sz w:val="24"/>
                      </w:rPr>
                      <w:fldChar w:fldCharType="separate"/>
                    </w:r>
                    <w:r w:rsidR="00D72397">
                      <w:rPr>
                        <w:rFonts w:ascii="Trebuchet MS" w:hAnsi="Trebuchet MS"/>
                        <w:noProof/>
                        <w:position w:val="2"/>
                        <w:sz w:val="24"/>
                      </w:rPr>
                      <w:t>2</w:t>
                    </w:r>
                    <w:r>
                      <w:rPr>
                        <w:rFonts w:ascii="Trebuchet MS" w:hAnsi="Trebuchet MS"/>
                        <w:position w:val="2"/>
                        <w:sz w:val="24"/>
                      </w:rPr>
                      <w:fldChar w:fldCharType="end"/>
                    </w:r>
                    <w:r>
                      <w:rPr>
                        <w:rFonts w:ascii="Trebuchet MS" w:hAnsi="Trebuchet MS"/>
                        <w:position w:val="2"/>
                        <w:sz w:val="24"/>
                      </w:rPr>
                      <w:t>|</w:t>
                    </w:r>
                    <w:r>
                      <w:rPr>
                        <w:rFonts w:ascii="Trebuchet MS" w:hAnsi="Trebuchet MS"/>
                        <w:spacing w:val="-35"/>
                        <w:position w:val="2"/>
                        <w:sz w:val="24"/>
                      </w:rPr>
                      <w:t xml:space="preserve"> </w:t>
                    </w:r>
                    <w:r w:rsidRPr="00C41F69">
                      <w:rPr>
                        <w:rFonts w:ascii="Tahoma" w:hAnsi="Tahoma" w:cs="Tahoma"/>
                        <w:b/>
                      </w:rPr>
                      <w:t>Số</w:t>
                    </w:r>
                    <w:r w:rsidRPr="00C41F69">
                      <w:rPr>
                        <w:rFonts w:ascii="Tahoma" w:hAnsi="Tahoma" w:cs="Tahoma"/>
                        <w:b/>
                        <w:spacing w:val="31"/>
                      </w:rPr>
                      <w:t xml:space="preserve"> </w:t>
                    </w:r>
                    <w:r w:rsidRPr="00C41F69">
                      <w:rPr>
                        <w:rFonts w:ascii="Tahoma" w:hAnsi="Tahoma" w:cs="Tahoma"/>
                        <w:b/>
                        <w:spacing w:val="-2"/>
                      </w:rPr>
                      <w:t>19/2026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79AB4" w14:textId="77777777" w:rsidR="003D2823" w:rsidRDefault="003D2823">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51906" w14:textId="77777777" w:rsidR="00E428A2" w:rsidRDefault="00E428A2">
      <w:r>
        <w:separator/>
      </w:r>
    </w:p>
  </w:footnote>
  <w:footnote w:type="continuationSeparator" w:id="0">
    <w:p w14:paraId="18F9A9E6" w14:textId="77777777" w:rsidR="00E428A2" w:rsidRDefault="00E42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2C3F7" w14:textId="77777777" w:rsidR="003D2823" w:rsidRDefault="001A6645">
    <w:pPr>
      <w:pStyle w:val="BodyText"/>
      <w:spacing w:line="14" w:lineRule="auto"/>
      <w:rPr>
        <w:sz w:val="20"/>
      </w:rPr>
    </w:pPr>
    <w:r>
      <w:rPr>
        <w:noProof/>
        <w:sz w:val="20"/>
      </w:rPr>
      <mc:AlternateContent>
        <mc:Choice Requires="wps">
          <w:drawing>
            <wp:anchor distT="0" distB="0" distL="0" distR="0" simplePos="0" relativeHeight="487450112" behindDoc="1" locked="0" layoutInCell="1" allowOverlap="1" wp14:anchorId="3648AD29" wp14:editId="1D27C561">
              <wp:simplePos x="0" y="0"/>
              <wp:positionH relativeFrom="page">
                <wp:posOffset>998499</wp:posOffset>
              </wp:positionH>
              <wp:positionV relativeFrom="page">
                <wp:posOffset>639440</wp:posOffset>
              </wp:positionV>
              <wp:extent cx="4231005" cy="2330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005" cy="233045"/>
                      </a:xfrm>
                      <a:prstGeom prst="rect">
                        <a:avLst/>
                      </a:prstGeom>
                    </wps:spPr>
                    <wps:txbx>
                      <w:txbxContent>
                        <w:p w14:paraId="64B3B93C" w14:textId="6987E051" w:rsidR="003D2823" w:rsidRPr="00C41F69" w:rsidRDefault="001A6645">
                          <w:pPr>
                            <w:spacing w:before="37"/>
                            <w:ind w:left="20"/>
                            <w:rPr>
                              <w:rFonts w:ascii="Tahoma" w:hAnsi="Tahoma" w:cs="Tahoma"/>
                              <w:b/>
                              <w:bCs/>
                              <w:sz w:val="26"/>
                            </w:rPr>
                          </w:pPr>
                          <w:r w:rsidRPr="00C41F69">
                            <w:rPr>
                              <w:rFonts w:ascii="Tahoma" w:hAnsi="Tahoma" w:cs="Tahoma"/>
                              <w:b/>
                              <w:bCs/>
                              <w:w w:val="55"/>
                              <w:sz w:val="26"/>
                            </w:rPr>
                            <w:t>TẠP</w:t>
                          </w:r>
                          <w:r w:rsidRPr="00C41F69">
                            <w:rPr>
                              <w:rFonts w:ascii="Tahoma" w:hAnsi="Tahoma" w:cs="Tahoma"/>
                              <w:b/>
                              <w:bCs/>
                              <w:spacing w:val="-41"/>
                              <w:sz w:val="26"/>
                            </w:rPr>
                            <w:t xml:space="preserve"> </w:t>
                          </w:r>
                          <w:r w:rsidRPr="00C41F69">
                            <w:rPr>
                              <w:rFonts w:ascii="Tahoma" w:hAnsi="Tahoma" w:cs="Tahoma"/>
                              <w:b/>
                              <w:bCs/>
                              <w:w w:val="55"/>
                              <w:sz w:val="26"/>
                            </w:rPr>
                            <w:t>CHÍ</w:t>
                          </w:r>
                          <w:r w:rsidRPr="00C41F69">
                            <w:rPr>
                              <w:rFonts w:ascii="Tahoma" w:hAnsi="Tahoma" w:cs="Tahoma"/>
                              <w:b/>
                              <w:bCs/>
                              <w:spacing w:val="-41"/>
                              <w:sz w:val="26"/>
                            </w:rPr>
                            <w:t xml:space="preserve"> </w:t>
                          </w:r>
                          <w:r w:rsidRPr="00C41F69">
                            <w:rPr>
                              <w:rFonts w:ascii="Tahoma" w:hAnsi="Tahoma" w:cs="Tahoma"/>
                              <w:b/>
                              <w:bCs/>
                              <w:w w:val="55"/>
                              <w:sz w:val="26"/>
                            </w:rPr>
                            <w:t>CÔNG</w:t>
                          </w:r>
                          <w:r w:rsidRPr="00C41F69">
                            <w:rPr>
                              <w:rFonts w:ascii="Tahoma" w:hAnsi="Tahoma" w:cs="Tahoma"/>
                              <w:b/>
                              <w:bCs/>
                              <w:spacing w:val="-41"/>
                              <w:sz w:val="26"/>
                            </w:rPr>
                            <w:t xml:space="preserve"> </w:t>
                          </w:r>
                          <w:r w:rsidRPr="00C41F69">
                            <w:rPr>
                              <w:rFonts w:ascii="Tahoma" w:hAnsi="Tahoma" w:cs="Tahoma"/>
                              <w:b/>
                              <w:bCs/>
                              <w:w w:val="55"/>
                              <w:sz w:val="26"/>
                            </w:rPr>
                            <w:t>THƯƠNG</w:t>
                          </w:r>
                          <w:r w:rsidRPr="00C41F69">
                            <w:rPr>
                              <w:rFonts w:ascii="Tahoma" w:hAnsi="Tahoma" w:cs="Tahoma"/>
                              <w:b/>
                              <w:bCs/>
                              <w:spacing w:val="-40"/>
                              <w:sz w:val="26"/>
                            </w:rPr>
                            <w:t xml:space="preserve"> </w:t>
                          </w:r>
                          <w:r w:rsidRPr="00C41F69">
                            <w:rPr>
                              <w:rFonts w:ascii="Tahoma" w:hAnsi="Tahoma" w:cs="Tahoma"/>
                              <w:b/>
                              <w:bCs/>
                              <w:w w:val="55"/>
                              <w:sz w:val="26"/>
                            </w:rPr>
                            <w:t>-</w:t>
                          </w:r>
                          <w:r w:rsidRPr="00C41F69">
                            <w:rPr>
                              <w:rFonts w:ascii="Tahoma" w:hAnsi="Tahoma" w:cs="Tahoma"/>
                              <w:b/>
                              <w:bCs/>
                              <w:spacing w:val="-40"/>
                              <w:sz w:val="26"/>
                            </w:rPr>
                            <w:t xml:space="preserve"> </w:t>
                          </w:r>
                          <w:r w:rsidRPr="00C41F69">
                            <w:rPr>
                              <w:rFonts w:ascii="Tahoma" w:hAnsi="Tahoma" w:cs="Tahoma"/>
                              <w:b/>
                              <w:bCs/>
                              <w:w w:val="55"/>
                              <w:sz w:val="26"/>
                            </w:rPr>
                            <w:t>CÁC</w:t>
                          </w:r>
                          <w:r w:rsidRPr="00C41F69">
                            <w:rPr>
                              <w:rFonts w:ascii="Tahoma" w:hAnsi="Tahoma" w:cs="Tahoma"/>
                              <w:b/>
                              <w:bCs/>
                              <w:spacing w:val="-41"/>
                              <w:sz w:val="26"/>
                            </w:rPr>
                            <w:t xml:space="preserve"> </w:t>
                          </w:r>
                          <w:r w:rsidRPr="00C41F69">
                            <w:rPr>
                              <w:rFonts w:ascii="Tahoma" w:hAnsi="Tahoma" w:cs="Tahoma"/>
                              <w:b/>
                              <w:bCs/>
                              <w:w w:val="55"/>
                              <w:sz w:val="26"/>
                            </w:rPr>
                            <w:t>KẾT</w:t>
                          </w:r>
                          <w:r w:rsidRPr="00C41F69">
                            <w:rPr>
                              <w:rFonts w:ascii="Tahoma" w:hAnsi="Tahoma" w:cs="Tahoma"/>
                              <w:b/>
                              <w:bCs/>
                              <w:spacing w:val="-40"/>
                              <w:sz w:val="26"/>
                            </w:rPr>
                            <w:t xml:space="preserve"> </w:t>
                          </w:r>
                          <w:r w:rsidRPr="00C41F69">
                            <w:rPr>
                              <w:rFonts w:ascii="Tahoma" w:hAnsi="Tahoma" w:cs="Tahoma"/>
                              <w:b/>
                              <w:bCs/>
                              <w:w w:val="55"/>
                              <w:sz w:val="26"/>
                            </w:rPr>
                            <w:t>QUẢ</w:t>
                          </w:r>
                          <w:r w:rsidRPr="00C41F69">
                            <w:rPr>
                              <w:rFonts w:ascii="Tahoma" w:hAnsi="Tahoma" w:cs="Tahoma"/>
                              <w:b/>
                              <w:bCs/>
                              <w:spacing w:val="-41"/>
                              <w:sz w:val="26"/>
                            </w:rPr>
                            <w:t xml:space="preserve"> </w:t>
                          </w:r>
                          <w:r w:rsidRPr="00C41F69">
                            <w:rPr>
                              <w:rFonts w:ascii="Tahoma" w:hAnsi="Tahoma" w:cs="Tahoma"/>
                              <w:b/>
                              <w:bCs/>
                              <w:w w:val="55"/>
                              <w:sz w:val="26"/>
                            </w:rPr>
                            <w:t>NGHIÊN</w:t>
                          </w:r>
                          <w:r w:rsidRPr="00C41F69">
                            <w:rPr>
                              <w:rFonts w:ascii="Tahoma" w:hAnsi="Tahoma" w:cs="Tahoma"/>
                              <w:b/>
                              <w:bCs/>
                              <w:spacing w:val="-41"/>
                              <w:sz w:val="26"/>
                            </w:rPr>
                            <w:t xml:space="preserve"> </w:t>
                          </w:r>
                          <w:r w:rsidRPr="00C41F69">
                            <w:rPr>
                              <w:rFonts w:ascii="Tahoma" w:hAnsi="Tahoma" w:cs="Tahoma"/>
                              <w:b/>
                              <w:bCs/>
                              <w:w w:val="55"/>
                              <w:sz w:val="26"/>
                            </w:rPr>
                            <w:t>CỨU</w:t>
                          </w:r>
                          <w:r w:rsidRPr="00C41F69">
                            <w:rPr>
                              <w:rFonts w:ascii="Tahoma" w:hAnsi="Tahoma" w:cs="Tahoma"/>
                              <w:b/>
                              <w:bCs/>
                              <w:spacing w:val="-41"/>
                              <w:sz w:val="26"/>
                            </w:rPr>
                            <w:t xml:space="preserve"> </w:t>
                          </w:r>
                          <w:r w:rsidRPr="00C41F69">
                            <w:rPr>
                              <w:rFonts w:ascii="Tahoma" w:hAnsi="Tahoma" w:cs="Tahoma"/>
                              <w:b/>
                              <w:bCs/>
                              <w:w w:val="55"/>
                              <w:sz w:val="26"/>
                            </w:rPr>
                            <w:t>KHOA</w:t>
                          </w:r>
                          <w:r w:rsidRPr="00C41F69">
                            <w:rPr>
                              <w:rFonts w:ascii="Tahoma" w:hAnsi="Tahoma" w:cs="Tahoma"/>
                              <w:b/>
                              <w:bCs/>
                              <w:spacing w:val="-40"/>
                              <w:sz w:val="26"/>
                            </w:rPr>
                            <w:t xml:space="preserve"> </w:t>
                          </w:r>
                          <w:r w:rsidRPr="00C41F69">
                            <w:rPr>
                              <w:rFonts w:ascii="Tahoma" w:hAnsi="Tahoma" w:cs="Tahoma"/>
                              <w:b/>
                              <w:bCs/>
                              <w:w w:val="55"/>
                              <w:sz w:val="26"/>
                            </w:rPr>
                            <w:t>HỌC</w:t>
                          </w:r>
                          <w:r w:rsidRPr="00C41F69">
                            <w:rPr>
                              <w:rFonts w:ascii="Tahoma" w:hAnsi="Tahoma" w:cs="Tahoma"/>
                              <w:b/>
                              <w:bCs/>
                              <w:spacing w:val="-41"/>
                              <w:sz w:val="26"/>
                            </w:rPr>
                            <w:t xml:space="preserve"> </w:t>
                          </w:r>
                          <w:r w:rsidR="00C41F69">
                            <w:rPr>
                              <w:rFonts w:ascii="Tahoma" w:hAnsi="Tahoma" w:cs="Tahoma"/>
                              <w:b/>
                              <w:bCs/>
                              <w:w w:val="55"/>
                              <w:sz w:val="26"/>
                            </w:rPr>
                            <w:t>VÀ ỨNG DỤNG CÔNG NGHỆ</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8.6pt;margin-top:50.35pt;width:333.15pt;height:18.35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" filled="f" stroked="f">
              <v:path arrowok="t"/>
              <v:textbox inset="0,0,0,0">
                <w:txbxContent>
                  <w:p w14:paraId="64B3B93C" w14:textId="6987E051" w:rsidR="003D2823" w:rsidRPr="00C41F69" w:rsidRDefault="001A6645">
                    <w:pPr>
                      <w:spacing w:before="37"/>
                      <w:ind w:left="20"/>
                      <w:rPr>
                        <w:rFonts w:ascii="Tahoma" w:hAnsi="Tahoma" w:cs="Tahoma"/>
                        <w:b/>
                        <w:bCs/>
                        <w:sz w:val="26"/>
                      </w:rPr>
                    </w:pPr>
                    <w:r w:rsidRPr="00C41F69">
                      <w:rPr>
                        <w:rFonts w:ascii="Tahoma" w:hAnsi="Tahoma" w:cs="Tahoma"/>
                        <w:b/>
                        <w:bCs/>
                        <w:w w:val="55"/>
                        <w:sz w:val="26"/>
                      </w:rPr>
                      <w:t>TẠP</w:t>
                    </w:r>
                    <w:r w:rsidRPr="00C41F69">
                      <w:rPr>
                        <w:rFonts w:ascii="Tahoma" w:hAnsi="Tahoma" w:cs="Tahoma"/>
                        <w:b/>
                        <w:bCs/>
                        <w:spacing w:val="-41"/>
                        <w:sz w:val="26"/>
                      </w:rPr>
                      <w:t xml:space="preserve"> </w:t>
                    </w:r>
                    <w:r w:rsidRPr="00C41F69">
                      <w:rPr>
                        <w:rFonts w:ascii="Tahoma" w:hAnsi="Tahoma" w:cs="Tahoma"/>
                        <w:b/>
                        <w:bCs/>
                        <w:w w:val="55"/>
                        <w:sz w:val="26"/>
                      </w:rPr>
                      <w:t>CHÍ</w:t>
                    </w:r>
                    <w:r w:rsidRPr="00C41F69">
                      <w:rPr>
                        <w:rFonts w:ascii="Tahoma" w:hAnsi="Tahoma" w:cs="Tahoma"/>
                        <w:b/>
                        <w:bCs/>
                        <w:spacing w:val="-41"/>
                        <w:sz w:val="26"/>
                      </w:rPr>
                      <w:t xml:space="preserve"> </w:t>
                    </w:r>
                    <w:r w:rsidRPr="00C41F69">
                      <w:rPr>
                        <w:rFonts w:ascii="Tahoma" w:hAnsi="Tahoma" w:cs="Tahoma"/>
                        <w:b/>
                        <w:bCs/>
                        <w:w w:val="55"/>
                        <w:sz w:val="26"/>
                      </w:rPr>
                      <w:t>CÔNG</w:t>
                    </w:r>
                    <w:r w:rsidRPr="00C41F69">
                      <w:rPr>
                        <w:rFonts w:ascii="Tahoma" w:hAnsi="Tahoma" w:cs="Tahoma"/>
                        <w:b/>
                        <w:bCs/>
                        <w:spacing w:val="-41"/>
                        <w:sz w:val="26"/>
                      </w:rPr>
                      <w:t xml:space="preserve"> </w:t>
                    </w:r>
                    <w:r w:rsidRPr="00C41F69">
                      <w:rPr>
                        <w:rFonts w:ascii="Tahoma" w:hAnsi="Tahoma" w:cs="Tahoma"/>
                        <w:b/>
                        <w:bCs/>
                        <w:w w:val="55"/>
                        <w:sz w:val="26"/>
                      </w:rPr>
                      <w:t>THƯƠNG</w:t>
                    </w:r>
                    <w:r w:rsidRPr="00C41F69">
                      <w:rPr>
                        <w:rFonts w:ascii="Tahoma" w:hAnsi="Tahoma" w:cs="Tahoma"/>
                        <w:b/>
                        <w:bCs/>
                        <w:spacing w:val="-40"/>
                        <w:sz w:val="26"/>
                      </w:rPr>
                      <w:t xml:space="preserve"> </w:t>
                    </w:r>
                    <w:r w:rsidRPr="00C41F69">
                      <w:rPr>
                        <w:rFonts w:ascii="Tahoma" w:hAnsi="Tahoma" w:cs="Tahoma"/>
                        <w:b/>
                        <w:bCs/>
                        <w:w w:val="55"/>
                        <w:sz w:val="26"/>
                      </w:rPr>
                      <w:t>-</w:t>
                    </w:r>
                    <w:r w:rsidRPr="00C41F69">
                      <w:rPr>
                        <w:rFonts w:ascii="Tahoma" w:hAnsi="Tahoma" w:cs="Tahoma"/>
                        <w:b/>
                        <w:bCs/>
                        <w:spacing w:val="-40"/>
                        <w:sz w:val="26"/>
                      </w:rPr>
                      <w:t xml:space="preserve"> </w:t>
                    </w:r>
                    <w:r w:rsidRPr="00C41F69">
                      <w:rPr>
                        <w:rFonts w:ascii="Tahoma" w:hAnsi="Tahoma" w:cs="Tahoma"/>
                        <w:b/>
                        <w:bCs/>
                        <w:w w:val="55"/>
                        <w:sz w:val="26"/>
                      </w:rPr>
                      <w:t>CÁC</w:t>
                    </w:r>
                    <w:r w:rsidRPr="00C41F69">
                      <w:rPr>
                        <w:rFonts w:ascii="Tahoma" w:hAnsi="Tahoma" w:cs="Tahoma"/>
                        <w:b/>
                        <w:bCs/>
                        <w:spacing w:val="-41"/>
                        <w:sz w:val="26"/>
                      </w:rPr>
                      <w:t xml:space="preserve"> </w:t>
                    </w:r>
                    <w:r w:rsidRPr="00C41F69">
                      <w:rPr>
                        <w:rFonts w:ascii="Tahoma" w:hAnsi="Tahoma" w:cs="Tahoma"/>
                        <w:b/>
                        <w:bCs/>
                        <w:w w:val="55"/>
                        <w:sz w:val="26"/>
                      </w:rPr>
                      <w:t>KẾT</w:t>
                    </w:r>
                    <w:r w:rsidRPr="00C41F69">
                      <w:rPr>
                        <w:rFonts w:ascii="Tahoma" w:hAnsi="Tahoma" w:cs="Tahoma"/>
                        <w:b/>
                        <w:bCs/>
                        <w:spacing w:val="-40"/>
                        <w:sz w:val="26"/>
                      </w:rPr>
                      <w:t xml:space="preserve"> </w:t>
                    </w:r>
                    <w:r w:rsidRPr="00C41F69">
                      <w:rPr>
                        <w:rFonts w:ascii="Tahoma" w:hAnsi="Tahoma" w:cs="Tahoma"/>
                        <w:b/>
                        <w:bCs/>
                        <w:w w:val="55"/>
                        <w:sz w:val="26"/>
                      </w:rPr>
                      <w:t>QUẢ</w:t>
                    </w:r>
                    <w:r w:rsidRPr="00C41F69">
                      <w:rPr>
                        <w:rFonts w:ascii="Tahoma" w:hAnsi="Tahoma" w:cs="Tahoma"/>
                        <w:b/>
                        <w:bCs/>
                        <w:spacing w:val="-41"/>
                        <w:sz w:val="26"/>
                      </w:rPr>
                      <w:t xml:space="preserve"> </w:t>
                    </w:r>
                    <w:r w:rsidRPr="00C41F69">
                      <w:rPr>
                        <w:rFonts w:ascii="Tahoma" w:hAnsi="Tahoma" w:cs="Tahoma"/>
                        <w:b/>
                        <w:bCs/>
                        <w:w w:val="55"/>
                        <w:sz w:val="26"/>
                      </w:rPr>
                      <w:t>NGHIÊN</w:t>
                    </w:r>
                    <w:r w:rsidRPr="00C41F69">
                      <w:rPr>
                        <w:rFonts w:ascii="Tahoma" w:hAnsi="Tahoma" w:cs="Tahoma"/>
                        <w:b/>
                        <w:bCs/>
                        <w:spacing w:val="-41"/>
                        <w:sz w:val="26"/>
                      </w:rPr>
                      <w:t xml:space="preserve"> </w:t>
                    </w:r>
                    <w:r w:rsidRPr="00C41F69">
                      <w:rPr>
                        <w:rFonts w:ascii="Tahoma" w:hAnsi="Tahoma" w:cs="Tahoma"/>
                        <w:b/>
                        <w:bCs/>
                        <w:w w:val="55"/>
                        <w:sz w:val="26"/>
                      </w:rPr>
                      <w:t>CỨU</w:t>
                    </w:r>
                    <w:r w:rsidRPr="00C41F69">
                      <w:rPr>
                        <w:rFonts w:ascii="Tahoma" w:hAnsi="Tahoma" w:cs="Tahoma"/>
                        <w:b/>
                        <w:bCs/>
                        <w:spacing w:val="-41"/>
                        <w:sz w:val="26"/>
                      </w:rPr>
                      <w:t xml:space="preserve"> </w:t>
                    </w:r>
                    <w:r w:rsidRPr="00C41F69">
                      <w:rPr>
                        <w:rFonts w:ascii="Tahoma" w:hAnsi="Tahoma" w:cs="Tahoma"/>
                        <w:b/>
                        <w:bCs/>
                        <w:w w:val="55"/>
                        <w:sz w:val="26"/>
                      </w:rPr>
                      <w:t>KHOA</w:t>
                    </w:r>
                    <w:r w:rsidRPr="00C41F69">
                      <w:rPr>
                        <w:rFonts w:ascii="Tahoma" w:hAnsi="Tahoma" w:cs="Tahoma"/>
                        <w:b/>
                        <w:bCs/>
                        <w:spacing w:val="-40"/>
                        <w:sz w:val="26"/>
                      </w:rPr>
                      <w:t xml:space="preserve"> </w:t>
                    </w:r>
                    <w:r w:rsidRPr="00C41F69">
                      <w:rPr>
                        <w:rFonts w:ascii="Tahoma" w:hAnsi="Tahoma" w:cs="Tahoma"/>
                        <w:b/>
                        <w:bCs/>
                        <w:w w:val="55"/>
                        <w:sz w:val="26"/>
                      </w:rPr>
                      <w:t>HỌC</w:t>
                    </w:r>
                    <w:r w:rsidRPr="00C41F69">
                      <w:rPr>
                        <w:rFonts w:ascii="Tahoma" w:hAnsi="Tahoma" w:cs="Tahoma"/>
                        <w:b/>
                        <w:bCs/>
                        <w:spacing w:val="-41"/>
                        <w:sz w:val="26"/>
                      </w:rPr>
                      <w:t xml:space="preserve"> </w:t>
                    </w:r>
                    <w:r w:rsidR="00C41F69">
                      <w:rPr>
                        <w:rFonts w:ascii="Tahoma" w:hAnsi="Tahoma" w:cs="Tahoma"/>
                        <w:b/>
                        <w:bCs/>
                        <w:w w:val="55"/>
                        <w:sz w:val="26"/>
                      </w:rPr>
                      <w:t>VÀ ỨNG DỤNG CÔNG NGHỆ</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902F1" w14:textId="77777777" w:rsidR="003D2823" w:rsidRDefault="001A6645">
    <w:pPr>
      <w:pStyle w:val="BodyText"/>
      <w:spacing w:line="14" w:lineRule="auto"/>
      <w:rPr>
        <w:sz w:val="20"/>
      </w:rPr>
    </w:pPr>
    <w:r>
      <w:rPr>
        <w:noProof/>
        <w:sz w:val="20"/>
      </w:rPr>
      <mc:AlternateContent>
        <mc:Choice Requires="wps">
          <w:drawing>
            <wp:anchor distT="0" distB="0" distL="0" distR="0" simplePos="0" relativeHeight="487450624" behindDoc="1" locked="0" layoutInCell="1" allowOverlap="1" wp14:anchorId="19CBD8A8" wp14:editId="3C436445">
              <wp:simplePos x="0" y="0"/>
              <wp:positionH relativeFrom="page">
                <wp:posOffset>4898189</wp:posOffset>
              </wp:positionH>
              <wp:positionV relativeFrom="page">
                <wp:posOffset>639440</wp:posOffset>
              </wp:positionV>
              <wp:extent cx="1856739" cy="2330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6739" cy="233045"/>
                      </a:xfrm>
                      <a:prstGeom prst="rect">
                        <a:avLst/>
                      </a:prstGeom>
                    </wps:spPr>
                    <wps:txbx>
                      <w:txbxContent>
                        <w:p w14:paraId="7805D701" w14:textId="35647B30" w:rsidR="003D2823" w:rsidRPr="00C41F69" w:rsidRDefault="000B33E9" w:rsidP="00C41F69">
                          <w:pPr>
                            <w:spacing w:before="37"/>
                            <w:ind w:left="20"/>
                            <w:jc w:val="right"/>
                            <w:rPr>
                              <w:rFonts w:ascii="Tahoma" w:hAnsi="Tahoma" w:cs="Tahoma"/>
                              <w:b/>
                              <w:bCs/>
                              <w:sz w:val="26"/>
                            </w:rPr>
                          </w:pPr>
                          <w:r>
                            <w:rPr>
                              <w:rFonts w:ascii="Tahoma" w:hAnsi="Tahoma" w:cs="Tahoma"/>
                              <w:b/>
                              <w:bCs/>
                              <w:w w:val="65"/>
                              <w:sz w:val="26"/>
                            </w:rPr>
                            <w:t xml:space="preserve">CHUYÊN </w:t>
                          </w:r>
                          <w:r w:rsidR="00C41F69">
                            <w:rPr>
                              <w:rFonts w:ascii="Tahoma" w:hAnsi="Tahoma" w:cs="Tahoma"/>
                              <w:b/>
                              <w:bCs/>
                              <w:w w:val="65"/>
                              <w:sz w:val="26"/>
                            </w:rPr>
                            <w:t xml:space="preserve">MỤC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85.7pt;margin-top:50.35pt;width:146.2pt;height:18.3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" filled="f" stroked="f">
              <v:path arrowok="t"/>
              <v:textbox inset="0,0,0,0">
                <w:txbxContent>
                  <w:p w14:paraId="7805D701" w14:textId="35647B30" w:rsidR="003D2823" w:rsidRPr="00C41F69" w:rsidRDefault="000B33E9" w:rsidP="00C41F69">
                    <w:pPr>
                      <w:spacing w:before="37"/>
                      <w:ind w:left="20"/>
                      <w:jc w:val="right"/>
                      <w:rPr>
                        <w:rFonts w:ascii="Tahoma" w:hAnsi="Tahoma" w:cs="Tahoma"/>
                        <w:b/>
                        <w:bCs/>
                        <w:sz w:val="26"/>
                      </w:rPr>
                    </w:pPr>
                    <w:r>
                      <w:rPr>
                        <w:rFonts w:ascii="Tahoma" w:hAnsi="Tahoma" w:cs="Tahoma"/>
                        <w:b/>
                        <w:bCs/>
                        <w:w w:val="65"/>
                        <w:sz w:val="26"/>
                      </w:rPr>
                      <w:t xml:space="preserve">CHUYÊN </w:t>
                    </w:r>
                    <w:r w:rsidR="00C41F69">
                      <w:rPr>
                        <w:rFonts w:ascii="Tahoma" w:hAnsi="Tahoma" w:cs="Tahoma"/>
                        <w:b/>
                        <w:bCs/>
                        <w:w w:val="65"/>
                        <w:sz w:val="26"/>
                      </w:rPr>
                      <w:t xml:space="preserve">MỤC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2CA"/>
    <w:multiLevelType w:val="multilevel"/>
    <w:tmpl w:val="2358653A"/>
    <w:lvl w:ilvl="0">
      <w:start w:val="1"/>
      <w:numFmt w:val="decimal"/>
      <w:lvlText w:val="%1."/>
      <w:lvlJc w:val="left"/>
      <w:pPr>
        <w:ind w:left="220" w:hanging="220"/>
        <w:jc w:val="right"/>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91" w:hanging="385"/>
      </w:pPr>
      <w:rPr>
        <w:rFonts w:ascii="Times New Roman" w:eastAsia="Times New Roman" w:hAnsi="Times New Roman" w:cs="Times New Roman" w:hint="default"/>
        <w:b/>
        <w:bCs/>
        <w:i/>
        <w:iCs/>
        <w:spacing w:val="0"/>
        <w:w w:val="100"/>
        <w:sz w:val="22"/>
        <w:szCs w:val="22"/>
        <w:lang w:eastAsia="en-US" w:bidi="ar-SA"/>
      </w:rPr>
    </w:lvl>
    <w:lvl w:ilvl="2">
      <w:start w:val="1"/>
      <w:numFmt w:val="decimal"/>
      <w:lvlText w:val="%1.%2.%3."/>
      <w:lvlJc w:val="left"/>
      <w:pPr>
        <w:ind w:left="956" w:hanging="550"/>
      </w:pPr>
      <w:rPr>
        <w:rFonts w:ascii="Times New Roman" w:eastAsia="Times New Roman" w:hAnsi="Times New Roman" w:cs="Times New Roman" w:hint="default"/>
        <w:b w:val="0"/>
        <w:bCs w:val="0"/>
        <w:i/>
        <w:iCs/>
        <w:spacing w:val="0"/>
        <w:w w:val="100"/>
        <w:sz w:val="22"/>
        <w:szCs w:val="22"/>
        <w:lang w:eastAsia="en-US" w:bidi="ar-SA"/>
      </w:rPr>
    </w:lvl>
    <w:lvl w:ilvl="3">
      <w:numFmt w:val="bullet"/>
      <w:lvlText w:val="•"/>
      <w:lvlJc w:val="left"/>
      <w:pPr>
        <w:ind w:left="2115" w:hanging="550"/>
      </w:pPr>
      <w:rPr>
        <w:rFonts w:hint="default"/>
        <w:lang w:eastAsia="en-US" w:bidi="ar-SA"/>
      </w:rPr>
    </w:lvl>
    <w:lvl w:ilvl="4">
      <w:numFmt w:val="bullet"/>
      <w:lvlText w:val="•"/>
      <w:lvlJc w:val="left"/>
      <w:pPr>
        <w:ind w:left="3271" w:hanging="550"/>
      </w:pPr>
      <w:rPr>
        <w:rFonts w:hint="default"/>
        <w:lang w:eastAsia="en-US" w:bidi="ar-SA"/>
      </w:rPr>
    </w:lvl>
    <w:lvl w:ilvl="5">
      <w:numFmt w:val="bullet"/>
      <w:lvlText w:val="•"/>
      <w:lvlJc w:val="left"/>
      <w:pPr>
        <w:ind w:left="4426" w:hanging="550"/>
      </w:pPr>
      <w:rPr>
        <w:rFonts w:hint="default"/>
        <w:lang w:eastAsia="en-US" w:bidi="ar-SA"/>
      </w:rPr>
    </w:lvl>
    <w:lvl w:ilvl="6">
      <w:numFmt w:val="bullet"/>
      <w:lvlText w:val="•"/>
      <w:lvlJc w:val="left"/>
      <w:pPr>
        <w:ind w:left="5582" w:hanging="550"/>
      </w:pPr>
      <w:rPr>
        <w:rFonts w:hint="default"/>
        <w:lang w:eastAsia="en-US" w:bidi="ar-SA"/>
      </w:rPr>
    </w:lvl>
    <w:lvl w:ilvl="7">
      <w:numFmt w:val="bullet"/>
      <w:lvlText w:val="•"/>
      <w:lvlJc w:val="left"/>
      <w:pPr>
        <w:ind w:left="6738" w:hanging="550"/>
      </w:pPr>
      <w:rPr>
        <w:rFonts w:hint="default"/>
        <w:lang w:eastAsia="en-US" w:bidi="ar-SA"/>
      </w:rPr>
    </w:lvl>
    <w:lvl w:ilvl="8">
      <w:numFmt w:val="bullet"/>
      <w:lvlText w:val="•"/>
      <w:lvlJc w:val="left"/>
      <w:pPr>
        <w:ind w:left="7893" w:hanging="550"/>
      </w:pPr>
      <w:rPr>
        <w:rFonts w:hint="default"/>
        <w:lang w:eastAsia="en-US" w:bidi="ar-SA"/>
      </w:rPr>
    </w:lvl>
  </w:abstractNum>
  <w:abstractNum w:abstractNumId="1">
    <w:nsid w:val="07E20A73"/>
    <w:multiLevelType w:val="multilevel"/>
    <w:tmpl w:val="2358653A"/>
    <w:lvl w:ilvl="0">
      <w:start w:val="1"/>
      <w:numFmt w:val="decimal"/>
      <w:lvlText w:val="%1."/>
      <w:lvlJc w:val="left"/>
      <w:pPr>
        <w:ind w:left="220" w:hanging="220"/>
        <w:jc w:val="right"/>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91" w:hanging="385"/>
      </w:pPr>
      <w:rPr>
        <w:rFonts w:ascii="Times New Roman" w:eastAsia="Times New Roman" w:hAnsi="Times New Roman" w:cs="Times New Roman" w:hint="default"/>
        <w:b/>
        <w:bCs/>
        <w:i/>
        <w:iCs/>
        <w:spacing w:val="0"/>
        <w:w w:val="100"/>
        <w:sz w:val="22"/>
        <w:szCs w:val="22"/>
        <w:lang w:eastAsia="en-US" w:bidi="ar-SA"/>
      </w:rPr>
    </w:lvl>
    <w:lvl w:ilvl="2">
      <w:start w:val="1"/>
      <w:numFmt w:val="decimal"/>
      <w:lvlText w:val="%1.%2.%3."/>
      <w:lvlJc w:val="left"/>
      <w:pPr>
        <w:ind w:left="956" w:hanging="550"/>
      </w:pPr>
      <w:rPr>
        <w:rFonts w:ascii="Times New Roman" w:eastAsia="Times New Roman" w:hAnsi="Times New Roman" w:cs="Times New Roman" w:hint="default"/>
        <w:b w:val="0"/>
        <w:bCs w:val="0"/>
        <w:i/>
        <w:iCs/>
        <w:spacing w:val="0"/>
        <w:w w:val="100"/>
        <w:sz w:val="22"/>
        <w:szCs w:val="22"/>
        <w:lang w:eastAsia="en-US" w:bidi="ar-SA"/>
      </w:rPr>
    </w:lvl>
    <w:lvl w:ilvl="3">
      <w:numFmt w:val="bullet"/>
      <w:lvlText w:val="•"/>
      <w:lvlJc w:val="left"/>
      <w:pPr>
        <w:ind w:left="2115" w:hanging="550"/>
      </w:pPr>
      <w:rPr>
        <w:rFonts w:hint="default"/>
        <w:lang w:eastAsia="en-US" w:bidi="ar-SA"/>
      </w:rPr>
    </w:lvl>
    <w:lvl w:ilvl="4">
      <w:numFmt w:val="bullet"/>
      <w:lvlText w:val="•"/>
      <w:lvlJc w:val="left"/>
      <w:pPr>
        <w:ind w:left="3271" w:hanging="550"/>
      </w:pPr>
      <w:rPr>
        <w:rFonts w:hint="default"/>
        <w:lang w:eastAsia="en-US" w:bidi="ar-SA"/>
      </w:rPr>
    </w:lvl>
    <w:lvl w:ilvl="5">
      <w:numFmt w:val="bullet"/>
      <w:lvlText w:val="•"/>
      <w:lvlJc w:val="left"/>
      <w:pPr>
        <w:ind w:left="4426" w:hanging="550"/>
      </w:pPr>
      <w:rPr>
        <w:rFonts w:hint="default"/>
        <w:lang w:eastAsia="en-US" w:bidi="ar-SA"/>
      </w:rPr>
    </w:lvl>
    <w:lvl w:ilvl="6">
      <w:numFmt w:val="bullet"/>
      <w:lvlText w:val="•"/>
      <w:lvlJc w:val="left"/>
      <w:pPr>
        <w:ind w:left="5582" w:hanging="550"/>
      </w:pPr>
      <w:rPr>
        <w:rFonts w:hint="default"/>
        <w:lang w:eastAsia="en-US" w:bidi="ar-SA"/>
      </w:rPr>
    </w:lvl>
    <w:lvl w:ilvl="7">
      <w:numFmt w:val="bullet"/>
      <w:lvlText w:val="•"/>
      <w:lvlJc w:val="left"/>
      <w:pPr>
        <w:ind w:left="6738" w:hanging="550"/>
      </w:pPr>
      <w:rPr>
        <w:rFonts w:hint="default"/>
        <w:lang w:eastAsia="en-US" w:bidi="ar-SA"/>
      </w:rPr>
    </w:lvl>
    <w:lvl w:ilvl="8">
      <w:numFmt w:val="bullet"/>
      <w:lvlText w:val="•"/>
      <w:lvlJc w:val="left"/>
      <w:pPr>
        <w:ind w:left="7893" w:hanging="550"/>
      </w:pPr>
      <w:rPr>
        <w:rFonts w:hint="default"/>
        <w:lang w:eastAsia="en-US" w:bidi="ar-SA"/>
      </w:rPr>
    </w:lvl>
  </w:abstractNum>
  <w:abstractNum w:abstractNumId="2">
    <w:nsid w:val="0EC37388"/>
    <w:multiLevelType w:val="multilevel"/>
    <w:tmpl w:val="2358653A"/>
    <w:lvl w:ilvl="0">
      <w:start w:val="1"/>
      <w:numFmt w:val="decimal"/>
      <w:lvlText w:val="%1."/>
      <w:lvlJc w:val="left"/>
      <w:pPr>
        <w:ind w:left="626" w:hanging="220"/>
        <w:jc w:val="right"/>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91" w:hanging="385"/>
      </w:pPr>
      <w:rPr>
        <w:rFonts w:ascii="Times New Roman" w:eastAsia="Times New Roman" w:hAnsi="Times New Roman" w:cs="Times New Roman" w:hint="default"/>
        <w:b/>
        <w:bCs/>
        <w:i/>
        <w:iCs/>
        <w:spacing w:val="0"/>
        <w:w w:val="100"/>
        <w:sz w:val="22"/>
        <w:szCs w:val="22"/>
        <w:lang w:eastAsia="en-US" w:bidi="ar-SA"/>
      </w:rPr>
    </w:lvl>
    <w:lvl w:ilvl="2">
      <w:start w:val="1"/>
      <w:numFmt w:val="decimal"/>
      <w:lvlText w:val="%1.%2.%3."/>
      <w:lvlJc w:val="left"/>
      <w:pPr>
        <w:ind w:left="956" w:hanging="550"/>
      </w:pPr>
      <w:rPr>
        <w:rFonts w:ascii="Times New Roman" w:eastAsia="Times New Roman" w:hAnsi="Times New Roman" w:cs="Times New Roman" w:hint="default"/>
        <w:b w:val="0"/>
        <w:bCs w:val="0"/>
        <w:i/>
        <w:iCs/>
        <w:spacing w:val="0"/>
        <w:w w:val="100"/>
        <w:sz w:val="22"/>
        <w:szCs w:val="22"/>
        <w:lang w:eastAsia="en-US" w:bidi="ar-SA"/>
      </w:rPr>
    </w:lvl>
    <w:lvl w:ilvl="3">
      <w:numFmt w:val="bullet"/>
      <w:lvlText w:val="•"/>
      <w:lvlJc w:val="left"/>
      <w:pPr>
        <w:ind w:left="2115" w:hanging="550"/>
      </w:pPr>
      <w:rPr>
        <w:rFonts w:hint="default"/>
        <w:lang w:eastAsia="en-US" w:bidi="ar-SA"/>
      </w:rPr>
    </w:lvl>
    <w:lvl w:ilvl="4">
      <w:numFmt w:val="bullet"/>
      <w:lvlText w:val="•"/>
      <w:lvlJc w:val="left"/>
      <w:pPr>
        <w:ind w:left="3271" w:hanging="550"/>
      </w:pPr>
      <w:rPr>
        <w:rFonts w:hint="default"/>
        <w:lang w:eastAsia="en-US" w:bidi="ar-SA"/>
      </w:rPr>
    </w:lvl>
    <w:lvl w:ilvl="5">
      <w:numFmt w:val="bullet"/>
      <w:lvlText w:val="•"/>
      <w:lvlJc w:val="left"/>
      <w:pPr>
        <w:ind w:left="4426" w:hanging="550"/>
      </w:pPr>
      <w:rPr>
        <w:rFonts w:hint="default"/>
        <w:lang w:eastAsia="en-US" w:bidi="ar-SA"/>
      </w:rPr>
    </w:lvl>
    <w:lvl w:ilvl="6">
      <w:numFmt w:val="bullet"/>
      <w:lvlText w:val="•"/>
      <w:lvlJc w:val="left"/>
      <w:pPr>
        <w:ind w:left="5582" w:hanging="550"/>
      </w:pPr>
      <w:rPr>
        <w:rFonts w:hint="default"/>
        <w:lang w:eastAsia="en-US" w:bidi="ar-SA"/>
      </w:rPr>
    </w:lvl>
    <w:lvl w:ilvl="7">
      <w:numFmt w:val="bullet"/>
      <w:lvlText w:val="•"/>
      <w:lvlJc w:val="left"/>
      <w:pPr>
        <w:ind w:left="6738" w:hanging="550"/>
      </w:pPr>
      <w:rPr>
        <w:rFonts w:hint="default"/>
        <w:lang w:eastAsia="en-US" w:bidi="ar-SA"/>
      </w:rPr>
    </w:lvl>
    <w:lvl w:ilvl="8">
      <w:numFmt w:val="bullet"/>
      <w:lvlText w:val="•"/>
      <w:lvlJc w:val="left"/>
      <w:pPr>
        <w:ind w:left="7893" w:hanging="550"/>
      </w:pPr>
      <w:rPr>
        <w:rFonts w:hint="default"/>
        <w:lang w:eastAsia="en-US" w:bidi="ar-SA"/>
      </w:rPr>
    </w:lvl>
  </w:abstractNum>
  <w:abstractNum w:abstractNumId="3">
    <w:nsid w:val="1ABB3BF0"/>
    <w:multiLevelType w:val="multilevel"/>
    <w:tmpl w:val="2358653A"/>
    <w:lvl w:ilvl="0">
      <w:start w:val="1"/>
      <w:numFmt w:val="decimal"/>
      <w:lvlText w:val="%1."/>
      <w:lvlJc w:val="left"/>
      <w:pPr>
        <w:ind w:left="626" w:hanging="220"/>
        <w:jc w:val="right"/>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91" w:hanging="385"/>
      </w:pPr>
      <w:rPr>
        <w:rFonts w:ascii="Times New Roman" w:eastAsia="Times New Roman" w:hAnsi="Times New Roman" w:cs="Times New Roman" w:hint="default"/>
        <w:b/>
        <w:bCs/>
        <w:i/>
        <w:iCs/>
        <w:spacing w:val="0"/>
        <w:w w:val="100"/>
        <w:sz w:val="22"/>
        <w:szCs w:val="22"/>
        <w:lang w:eastAsia="en-US" w:bidi="ar-SA"/>
      </w:rPr>
    </w:lvl>
    <w:lvl w:ilvl="2">
      <w:start w:val="1"/>
      <w:numFmt w:val="decimal"/>
      <w:lvlText w:val="%1.%2.%3."/>
      <w:lvlJc w:val="left"/>
      <w:pPr>
        <w:ind w:left="956" w:hanging="550"/>
      </w:pPr>
      <w:rPr>
        <w:rFonts w:ascii="Times New Roman" w:eastAsia="Times New Roman" w:hAnsi="Times New Roman" w:cs="Times New Roman" w:hint="default"/>
        <w:b w:val="0"/>
        <w:bCs w:val="0"/>
        <w:i/>
        <w:iCs/>
        <w:spacing w:val="0"/>
        <w:w w:val="100"/>
        <w:sz w:val="22"/>
        <w:szCs w:val="22"/>
        <w:lang w:eastAsia="en-US" w:bidi="ar-SA"/>
      </w:rPr>
    </w:lvl>
    <w:lvl w:ilvl="3">
      <w:numFmt w:val="bullet"/>
      <w:lvlText w:val="•"/>
      <w:lvlJc w:val="left"/>
      <w:pPr>
        <w:ind w:left="2115" w:hanging="550"/>
      </w:pPr>
      <w:rPr>
        <w:rFonts w:hint="default"/>
        <w:lang w:eastAsia="en-US" w:bidi="ar-SA"/>
      </w:rPr>
    </w:lvl>
    <w:lvl w:ilvl="4">
      <w:numFmt w:val="bullet"/>
      <w:lvlText w:val="•"/>
      <w:lvlJc w:val="left"/>
      <w:pPr>
        <w:ind w:left="3271" w:hanging="550"/>
      </w:pPr>
      <w:rPr>
        <w:rFonts w:hint="default"/>
        <w:lang w:eastAsia="en-US" w:bidi="ar-SA"/>
      </w:rPr>
    </w:lvl>
    <w:lvl w:ilvl="5">
      <w:numFmt w:val="bullet"/>
      <w:lvlText w:val="•"/>
      <w:lvlJc w:val="left"/>
      <w:pPr>
        <w:ind w:left="4426" w:hanging="550"/>
      </w:pPr>
      <w:rPr>
        <w:rFonts w:hint="default"/>
        <w:lang w:eastAsia="en-US" w:bidi="ar-SA"/>
      </w:rPr>
    </w:lvl>
    <w:lvl w:ilvl="6">
      <w:numFmt w:val="bullet"/>
      <w:lvlText w:val="•"/>
      <w:lvlJc w:val="left"/>
      <w:pPr>
        <w:ind w:left="5582" w:hanging="550"/>
      </w:pPr>
      <w:rPr>
        <w:rFonts w:hint="default"/>
        <w:lang w:eastAsia="en-US" w:bidi="ar-SA"/>
      </w:rPr>
    </w:lvl>
    <w:lvl w:ilvl="7">
      <w:numFmt w:val="bullet"/>
      <w:lvlText w:val="•"/>
      <w:lvlJc w:val="left"/>
      <w:pPr>
        <w:ind w:left="6738" w:hanging="550"/>
      </w:pPr>
      <w:rPr>
        <w:rFonts w:hint="default"/>
        <w:lang w:eastAsia="en-US" w:bidi="ar-SA"/>
      </w:rPr>
    </w:lvl>
    <w:lvl w:ilvl="8">
      <w:numFmt w:val="bullet"/>
      <w:lvlText w:val="•"/>
      <w:lvlJc w:val="left"/>
      <w:pPr>
        <w:ind w:left="7893" w:hanging="550"/>
      </w:pPr>
      <w:rPr>
        <w:rFonts w:hint="default"/>
        <w:lang w:eastAsia="en-US" w:bidi="ar-SA"/>
      </w:rPr>
    </w:lvl>
  </w:abstractNum>
  <w:abstractNum w:abstractNumId="4">
    <w:nsid w:val="24161624"/>
    <w:multiLevelType w:val="hybridMultilevel"/>
    <w:tmpl w:val="A0AEDAD6"/>
    <w:lvl w:ilvl="0" w:tplc="06822344">
      <w:numFmt w:val="bullet"/>
      <w:lvlText w:val="-"/>
      <w:lvlJc w:val="left"/>
      <w:pPr>
        <w:ind w:left="56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472A937C">
      <w:numFmt w:val="bullet"/>
      <w:lvlText w:val="•"/>
      <w:lvlJc w:val="left"/>
      <w:pPr>
        <w:ind w:left="1524" w:hanging="129"/>
      </w:pPr>
      <w:rPr>
        <w:rFonts w:hint="default"/>
        <w:lang w:eastAsia="en-US" w:bidi="ar-SA"/>
      </w:rPr>
    </w:lvl>
    <w:lvl w:ilvl="2" w:tplc="702CAE82">
      <w:numFmt w:val="bullet"/>
      <w:lvlText w:val="•"/>
      <w:lvlJc w:val="left"/>
      <w:pPr>
        <w:ind w:left="2489" w:hanging="129"/>
      </w:pPr>
      <w:rPr>
        <w:rFonts w:hint="default"/>
        <w:lang w:eastAsia="en-US" w:bidi="ar-SA"/>
      </w:rPr>
    </w:lvl>
    <w:lvl w:ilvl="3" w:tplc="2848D964">
      <w:numFmt w:val="bullet"/>
      <w:lvlText w:val="•"/>
      <w:lvlJc w:val="left"/>
      <w:pPr>
        <w:ind w:left="3453" w:hanging="129"/>
      </w:pPr>
      <w:rPr>
        <w:rFonts w:hint="default"/>
        <w:lang w:eastAsia="en-US" w:bidi="ar-SA"/>
      </w:rPr>
    </w:lvl>
    <w:lvl w:ilvl="4" w:tplc="83246B38">
      <w:numFmt w:val="bullet"/>
      <w:lvlText w:val="•"/>
      <w:lvlJc w:val="left"/>
      <w:pPr>
        <w:ind w:left="4418" w:hanging="129"/>
      </w:pPr>
      <w:rPr>
        <w:rFonts w:hint="default"/>
        <w:lang w:eastAsia="en-US" w:bidi="ar-SA"/>
      </w:rPr>
    </w:lvl>
    <w:lvl w:ilvl="5" w:tplc="AEB25F94">
      <w:numFmt w:val="bullet"/>
      <w:lvlText w:val="•"/>
      <w:lvlJc w:val="left"/>
      <w:pPr>
        <w:ind w:left="5382" w:hanging="129"/>
      </w:pPr>
      <w:rPr>
        <w:rFonts w:hint="default"/>
        <w:lang w:eastAsia="en-US" w:bidi="ar-SA"/>
      </w:rPr>
    </w:lvl>
    <w:lvl w:ilvl="6" w:tplc="4796B652">
      <w:numFmt w:val="bullet"/>
      <w:lvlText w:val="•"/>
      <w:lvlJc w:val="left"/>
      <w:pPr>
        <w:ind w:left="6346" w:hanging="129"/>
      </w:pPr>
      <w:rPr>
        <w:rFonts w:hint="default"/>
        <w:lang w:eastAsia="en-US" w:bidi="ar-SA"/>
      </w:rPr>
    </w:lvl>
    <w:lvl w:ilvl="7" w:tplc="DEB0A37A">
      <w:numFmt w:val="bullet"/>
      <w:lvlText w:val="•"/>
      <w:lvlJc w:val="left"/>
      <w:pPr>
        <w:ind w:left="7311" w:hanging="129"/>
      </w:pPr>
      <w:rPr>
        <w:rFonts w:hint="default"/>
        <w:lang w:eastAsia="en-US" w:bidi="ar-SA"/>
      </w:rPr>
    </w:lvl>
    <w:lvl w:ilvl="8" w:tplc="029466B4">
      <w:numFmt w:val="bullet"/>
      <w:lvlText w:val="•"/>
      <w:lvlJc w:val="left"/>
      <w:pPr>
        <w:ind w:left="8275" w:hanging="129"/>
      </w:pPr>
      <w:rPr>
        <w:rFonts w:hint="default"/>
        <w:lang w:eastAsia="en-US" w:bidi="ar-SA"/>
      </w:rPr>
    </w:lvl>
  </w:abstractNum>
  <w:abstractNum w:abstractNumId="5">
    <w:nsid w:val="5EE65A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34D57C1"/>
    <w:multiLevelType w:val="hybridMultilevel"/>
    <w:tmpl w:val="97E6E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576E95"/>
    <w:multiLevelType w:val="hybridMultilevel"/>
    <w:tmpl w:val="2BDCEEAA"/>
    <w:lvl w:ilvl="0" w:tplc="6D92F266">
      <w:numFmt w:val="bullet"/>
      <w:lvlText w:val="-"/>
      <w:lvlJc w:val="left"/>
      <w:pPr>
        <w:ind w:left="595" w:hanging="129"/>
      </w:pPr>
      <w:rPr>
        <w:rFonts w:ascii="Times New Roman" w:eastAsia="Times New Roman" w:hAnsi="Times New Roman" w:cs="Times New Roman" w:hint="default"/>
        <w:b w:val="0"/>
        <w:bCs w:val="0"/>
        <w:i w:val="0"/>
        <w:iCs w:val="0"/>
        <w:spacing w:val="0"/>
        <w:w w:val="100"/>
        <w:sz w:val="22"/>
        <w:szCs w:val="22"/>
        <w:lang w:eastAsia="en-US" w:bidi="ar-SA"/>
      </w:rPr>
    </w:lvl>
    <w:lvl w:ilvl="1" w:tplc="F6108238">
      <w:numFmt w:val="bullet"/>
      <w:lvlText w:val="•"/>
      <w:lvlJc w:val="left"/>
      <w:pPr>
        <w:ind w:left="1560" w:hanging="129"/>
      </w:pPr>
      <w:rPr>
        <w:rFonts w:hint="default"/>
        <w:lang w:eastAsia="en-US" w:bidi="ar-SA"/>
      </w:rPr>
    </w:lvl>
    <w:lvl w:ilvl="2" w:tplc="041017B6">
      <w:numFmt w:val="bullet"/>
      <w:lvlText w:val="•"/>
      <w:lvlJc w:val="left"/>
      <w:pPr>
        <w:ind w:left="2521" w:hanging="129"/>
      </w:pPr>
      <w:rPr>
        <w:rFonts w:hint="default"/>
        <w:lang w:eastAsia="en-US" w:bidi="ar-SA"/>
      </w:rPr>
    </w:lvl>
    <w:lvl w:ilvl="3" w:tplc="23A00BB8">
      <w:numFmt w:val="bullet"/>
      <w:lvlText w:val="•"/>
      <w:lvlJc w:val="left"/>
      <w:pPr>
        <w:ind w:left="3481" w:hanging="129"/>
      </w:pPr>
      <w:rPr>
        <w:rFonts w:hint="default"/>
        <w:lang w:eastAsia="en-US" w:bidi="ar-SA"/>
      </w:rPr>
    </w:lvl>
    <w:lvl w:ilvl="4" w:tplc="0CCE771A">
      <w:numFmt w:val="bullet"/>
      <w:lvlText w:val="•"/>
      <w:lvlJc w:val="left"/>
      <w:pPr>
        <w:ind w:left="4442" w:hanging="129"/>
      </w:pPr>
      <w:rPr>
        <w:rFonts w:hint="default"/>
        <w:lang w:eastAsia="en-US" w:bidi="ar-SA"/>
      </w:rPr>
    </w:lvl>
    <w:lvl w:ilvl="5" w:tplc="85A47540">
      <w:numFmt w:val="bullet"/>
      <w:lvlText w:val="•"/>
      <w:lvlJc w:val="left"/>
      <w:pPr>
        <w:ind w:left="5402" w:hanging="129"/>
      </w:pPr>
      <w:rPr>
        <w:rFonts w:hint="default"/>
        <w:lang w:eastAsia="en-US" w:bidi="ar-SA"/>
      </w:rPr>
    </w:lvl>
    <w:lvl w:ilvl="6" w:tplc="7B7A8E00">
      <w:numFmt w:val="bullet"/>
      <w:lvlText w:val="•"/>
      <w:lvlJc w:val="left"/>
      <w:pPr>
        <w:ind w:left="6362" w:hanging="129"/>
      </w:pPr>
      <w:rPr>
        <w:rFonts w:hint="default"/>
        <w:lang w:eastAsia="en-US" w:bidi="ar-SA"/>
      </w:rPr>
    </w:lvl>
    <w:lvl w:ilvl="7" w:tplc="3300DD3C">
      <w:numFmt w:val="bullet"/>
      <w:lvlText w:val="•"/>
      <w:lvlJc w:val="left"/>
      <w:pPr>
        <w:ind w:left="7323" w:hanging="129"/>
      </w:pPr>
      <w:rPr>
        <w:rFonts w:hint="default"/>
        <w:lang w:eastAsia="en-US" w:bidi="ar-SA"/>
      </w:rPr>
    </w:lvl>
    <w:lvl w:ilvl="8" w:tplc="076CF83A">
      <w:numFmt w:val="bullet"/>
      <w:lvlText w:val="•"/>
      <w:lvlJc w:val="left"/>
      <w:pPr>
        <w:ind w:left="8283" w:hanging="129"/>
      </w:pPr>
      <w:rPr>
        <w:rFonts w:hint="default"/>
        <w:lang w:eastAsia="en-US" w:bidi="ar-SA"/>
      </w:rPr>
    </w:lvl>
  </w:abstractNum>
  <w:abstractNum w:abstractNumId="8">
    <w:nsid w:val="77931CBA"/>
    <w:multiLevelType w:val="hybridMultilevel"/>
    <w:tmpl w:val="A2B6A456"/>
    <w:lvl w:ilvl="0" w:tplc="F780ACF0">
      <w:numFmt w:val="bullet"/>
      <w:lvlText w:val="-"/>
      <w:lvlJc w:val="left"/>
      <w:pPr>
        <w:ind w:left="595"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F1CECF2">
      <w:numFmt w:val="bullet"/>
      <w:lvlText w:val="•"/>
      <w:lvlJc w:val="left"/>
      <w:pPr>
        <w:ind w:left="1560" w:hanging="129"/>
      </w:pPr>
      <w:rPr>
        <w:rFonts w:hint="default"/>
        <w:lang w:eastAsia="en-US" w:bidi="ar-SA"/>
      </w:rPr>
    </w:lvl>
    <w:lvl w:ilvl="2" w:tplc="A16C371C">
      <w:numFmt w:val="bullet"/>
      <w:lvlText w:val="•"/>
      <w:lvlJc w:val="left"/>
      <w:pPr>
        <w:ind w:left="2521" w:hanging="129"/>
      </w:pPr>
      <w:rPr>
        <w:rFonts w:hint="default"/>
        <w:lang w:eastAsia="en-US" w:bidi="ar-SA"/>
      </w:rPr>
    </w:lvl>
    <w:lvl w:ilvl="3" w:tplc="87846AA8">
      <w:numFmt w:val="bullet"/>
      <w:lvlText w:val="•"/>
      <w:lvlJc w:val="left"/>
      <w:pPr>
        <w:ind w:left="3481" w:hanging="129"/>
      </w:pPr>
      <w:rPr>
        <w:rFonts w:hint="default"/>
        <w:lang w:eastAsia="en-US" w:bidi="ar-SA"/>
      </w:rPr>
    </w:lvl>
    <w:lvl w:ilvl="4" w:tplc="5088C162">
      <w:numFmt w:val="bullet"/>
      <w:lvlText w:val="•"/>
      <w:lvlJc w:val="left"/>
      <w:pPr>
        <w:ind w:left="4442" w:hanging="129"/>
      </w:pPr>
      <w:rPr>
        <w:rFonts w:hint="default"/>
        <w:lang w:eastAsia="en-US" w:bidi="ar-SA"/>
      </w:rPr>
    </w:lvl>
    <w:lvl w:ilvl="5" w:tplc="6DF6CF42">
      <w:numFmt w:val="bullet"/>
      <w:lvlText w:val="•"/>
      <w:lvlJc w:val="left"/>
      <w:pPr>
        <w:ind w:left="5402" w:hanging="129"/>
      </w:pPr>
      <w:rPr>
        <w:rFonts w:hint="default"/>
        <w:lang w:eastAsia="en-US" w:bidi="ar-SA"/>
      </w:rPr>
    </w:lvl>
    <w:lvl w:ilvl="6" w:tplc="9AFA1240">
      <w:numFmt w:val="bullet"/>
      <w:lvlText w:val="•"/>
      <w:lvlJc w:val="left"/>
      <w:pPr>
        <w:ind w:left="6362" w:hanging="129"/>
      </w:pPr>
      <w:rPr>
        <w:rFonts w:hint="default"/>
        <w:lang w:eastAsia="en-US" w:bidi="ar-SA"/>
      </w:rPr>
    </w:lvl>
    <w:lvl w:ilvl="7" w:tplc="6A141AFE">
      <w:numFmt w:val="bullet"/>
      <w:lvlText w:val="•"/>
      <w:lvlJc w:val="left"/>
      <w:pPr>
        <w:ind w:left="7323" w:hanging="129"/>
      </w:pPr>
      <w:rPr>
        <w:rFonts w:hint="default"/>
        <w:lang w:eastAsia="en-US" w:bidi="ar-SA"/>
      </w:rPr>
    </w:lvl>
    <w:lvl w:ilvl="8" w:tplc="07D86722">
      <w:numFmt w:val="bullet"/>
      <w:lvlText w:val="•"/>
      <w:lvlJc w:val="left"/>
      <w:pPr>
        <w:ind w:left="8283" w:hanging="129"/>
      </w:pPr>
      <w:rPr>
        <w:rFonts w:hint="default"/>
        <w:lang w:eastAsia="en-US" w:bidi="ar-SA"/>
      </w:rPr>
    </w:lvl>
  </w:abstractNum>
  <w:abstractNum w:abstractNumId="9">
    <w:nsid w:val="7DD4110D"/>
    <w:multiLevelType w:val="hybridMultilevel"/>
    <w:tmpl w:val="9878C4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8"/>
  </w:num>
  <w:num w:numId="3">
    <w:abstractNumId w:val="7"/>
  </w:num>
  <w:num w:numId="4">
    <w:abstractNumId w:val="1"/>
  </w:num>
  <w:num w:numId="5">
    <w:abstractNumId w:val="6"/>
  </w:num>
  <w:num w:numId="6">
    <w:abstractNumId w:val="3"/>
  </w:num>
  <w:num w:numId="7">
    <w:abstractNumId w:val="2"/>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823"/>
    <w:rsid w:val="00004719"/>
    <w:rsid w:val="000161EA"/>
    <w:rsid w:val="00034993"/>
    <w:rsid w:val="00047809"/>
    <w:rsid w:val="00052463"/>
    <w:rsid w:val="00080E67"/>
    <w:rsid w:val="00082E7C"/>
    <w:rsid w:val="00090AD8"/>
    <w:rsid w:val="000927B9"/>
    <w:rsid w:val="00093AAE"/>
    <w:rsid w:val="0009549E"/>
    <w:rsid w:val="00095AD3"/>
    <w:rsid w:val="000A35A8"/>
    <w:rsid w:val="000A4CF6"/>
    <w:rsid w:val="000B33E9"/>
    <w:rsid w:val="000B68CD"/>
    <w:rsid w:val="000C58E3"/>
    <w:rsid w:val="000D0922"/>
    <w:rsid w:val="000D27F1"/>
    <w:rsid w:val="000E769B"/>
    <w:rsid w:val="001022F8"/>
    <w:rsid w:val="00117D1D"/>
    <w:rsid w:val="00126A24"/>
    <w:rsid w:val="00135322"/>
    <w:rsid w:val="00143792"/>
    <w:rsid w:val="00146E7B"/>
    <w:rsid w:val="001635B9"/>
    <w:rsid w:val="001716B5"/>
    <w:rsid w:val="0017205F"/>
    <w:rsid w:val="0018306E"/>
    <w:rsid w:val="00192211"/>
    <w:rsid w:val="00193239"/>
    <w:rsid w:val="001A1F69"/>
    <w:rsid w:val="001A6645"/>
    <w:rsid w:val="001B3E3E"/>
    <w:rsid w:val="001B3EEC"/>
    <w:rsid w:val="001C376D"/>
    <w:rsid w:val="001C684F"/>
    <w:rsid w:val="001C6E26"/>
    <w:rsid w:val="001D06FB"/>
    <w:rsid w:val="001D6C49"/>
    <w:rsid w:val="00206438"/>
    <w:rsid w:val="00224642"/>
    <w:rsid w:val="00243586"/>
    <w:rsid w:val="00244074"/>
    <w:rsid w:val="00247287"/>
    <w:rsid w:val="00250B01"/>
    <w:rsid w:val="0025470E"/>
    <w:rsid w:val="00273962"/>
    <w:rsid w:val="002833C4"/>
    <w:rsid w:val="00293A29"/>
    <w:rsid w:val="00296F08"/>
    <w:rsid w:val="002A2F1C"/>
    <w:rsid w:val="002A728F"/>
    <w:rsid w:val="002B1BD0"/>
    <w:rsid w:val="002C4183"/>
    <w:rsid w:val="002E4313"/>
    <w:rsid w:val="00300012"/>
    <w:rsid w:val="00304710"/>
    <w:rsid w:val="00307BA9"/>
    <w:rsid w:val="0032249F"/>
    <w:rsid w:val="00325110"/>
    <w:rsid w:val="003350B1"/>
    <w:rsid w:val="00351B2F"/>
    <w:rsid w:val="00355E3A"/>
    <w:rsid w:val="00371296"/>
    <w:rsid w:val="00374EA0"/>
    <w:rsid w:val="00390E68"/>
    <w:rsid w:val="003B6682"/>
    <w:rsid w:val="003C45BF"/>
    <w:rsid w:val="003D2823"/>
    <w:rsid w:val="003E739E"/>
    <w:rsid w:val="00402112"/>
    <w:rsid w:val="00405C3C"/>
    <w:rsid w:val="004155B1"/>
    <w:rsid w:val="00416569"/>
    <w:rsid w:val="004173D3"/>
    <w:rsid w:val="00422363"/>
    <w:rsid w:val="00436043"/>
    <w:rsid w:val="0043742E"/>
    <w:rsid w:val="00440CE0"/>
    <w:rsid w:val="004413EE"/>
    <w:rsid w:val="004575F7"/>
    <w:rsid w:val="00465767"/>
    <w:rsid w:val="00466692"/>
    <w:rsid w:val="0047281A"/>
    <w:rsid w:val="00482B3E"/>
    <w:rsid w:val="00487154"/>
    <w:rsid w:val="00496ED3"/>
    <w:rsid w:val="004B68D8"/>
    <w:rsid w:val="004B7829"/>
    <w:rsid w:val="004C22CD"/>
    <w:rsid w:val="004C4A1D"/>
    <w:rsid w:val="004C65C9"/>
    <w:rsid w:val="004D2427"/>
    <w:rsid w:val="004D6547"/>
    <w:rsid w:val="004D6D58"/>
    <w:rsid w:val="004D7A96"/>
    <w:rsid w:val="004E0692"/>
    <w:rsid w:val="004E4AFE"/>
    <w:rsid w:val="004E5961"/>
    <w:rsid w:val="004F1FFA"/>
    <w:rsid w:val="00511B19"/>
    <w:rsid w:val="00534C8F"/>
    <w:rsid w:val="00540D40"/>
    <w:rsid w:val="005554E8"/>
    <w:rsid w:val="005712DB"/>
    <w:rsid w:val="00573B09"/>
    <w:rsid w:val="0059398C"/>
    <w:rsid w:val="00595408"/>
    <w:rsid w:val="00596E63"/>
    <w:rsid w:val="005A3225"/>
    <w:rsid w:val="005B50D0"/>
    <w:rsid w:val="005C5976"/>
    <w:rsid w:val="005E1886"/>
    <w:rsid w:val="005E64D8"/>
    <w:rsid w:val="005F2CF6"/>
    <w:rsid w:val="005F5F85"/>
    <w:rsid w:val="005F70C0"/>
    <w:rsid w:val="00602787"/>
    <w:rsid w:val="00637514"/>
    <w:rsid w:val="00644B34"/>
    <w:rsid w:val="00673B4A"/>
    <w:rsid w:val="006828CE"/>
    <w:rsid w:val="00684363"/>
    <w:rsid w:val="0069190D"/>
    <w:rsid w:val="006925A8"/>
    <w:rsid w:val="00694E34"/>
    <w:rsid w:val="006A33BF"/>
    <w:rsid w:val="006B4689"/>
    <w:rsid w:val="006E5486"/>
    <w:rsid w:val="006E759E"/>
    <w:rsid w:val="006F641F"/>
    <w:rsid w:val="006F652A"/>
    <w:rsid w:val="006F7874"/>
    <w:rsid w:val="00703609"/>
    <w:rsid w:val="007125F5"/>
    <w:rsid w:val="00717858"/>
    <w:rsid w:val="0073179A"/>
    <w:rsid w:val="00732588"/>
    <w:rsid w:val="00733825"/>
    <w:rsid w:val="00740BC3"/>
    <w:rsid w:val="00741261"/>
    <w:rsid w:val="00754E2E"/>
    <w:rsid w:val="007608AF"/>
    <w:rsid w:val="007744CC"/>
    <w:rsid w:val="007815AC"/>
    <w:rsid w:val="00781BB1"/>
    <w:rsid w:val="0078207B"/>
    <w:rsid w:val="007868F2"/>
    <w:rsid w:val="007902B8"/>
    <w:rsid w:val="007A0B62"/>
    <w:rsid w:val="007A11D0"/>
    <w:rsid w:val="007B67BB"/>
    <w:rsid w:val="007B7645"/>
    <w:rsid w:val="007C272E"/>
    <w:rsid w:val="007D18C4"/>
    <w:rsid w:val="007E16B1"/>
    <w:rsid w:val="007E76FA"/>
    <w:rsid w:val="007F11DD"/>
    <w:rsid w:val="007F1459"/>
    <w:rsid w:val="007F40FE"/>
    <w:rsid w:val="00802880"/>
    <w:rsid w:val="00802B18"/>
    <w:rsid w:val="0080474B"/>
    <w:rsid w:val="00806A83"/>
    <w:rsid w:val="00812137"/>
    <w:rsid w:val="00814B45"/>
    <w:rsid w:val="00814C1D"/>
    <w:rsid w:val="00822F48"/>
    <w:rsid w:val="00825B8D"/>
    <w:rsid w:val="0083725D"/>
    <w:rsid w:val="008374BC"/>
    <w:rsid w:val="00840080"/>
    <w:rsid w:val="008414FF"/>
    <w:rsid w:val="00841ABF"/>
    <w:rsid w:val="008509EB"/>
    <w:rsid w:val="00852468"/>
    <w:rsid w:val="00857109"/>
    <w:rsid w:val="0086211E"/>
    <w:rsid w:val="008674D8"/>
    <w:rsid w:val="008741BB"/>
    <w:rsid w:val="00883C96"/>
    <w:rsid w:val="00884498"/>
    <w:rsid w:val="008A31B8"/>
    <w:rsid w:val="008A46DB"/>
    <w:rsid w:val="008C069E"/>
    <w:rsid w:val="008D3585"/>
    <w:rsid w:val="008E2FE5"/>
    <w:rsid w:val="008E413A"/>
    <w:rsid w:val="00901983"/>
    <w:rsid w:val="00903BA3"/>
    <w:rsid w:val="00917C5B"/>
    <w:rsid w:val="00932CE1"/>
    <w:rsid w:val="009331AE"/>
    <w:rsid w:val="00934C91"/>
    <w:rsid w:val="009403CD"/>
    <w:rsid w:val="009455E9"/>
    <w:rsid w:val="0095702F"/>
    <w:rsid w:val="009610FB"/>
    <w:rsid w:val="0096277E"/>
    <w:rsid w:val="00963ED3"/>
    <w:rsid w:val="00966DC7"/>
    <w:rsid w:val="009728BA"/>
    <w:rsid w:val="0097572B"/>
    <w:rsid w:val="00975C56"/>
    <w:rsid w:val="00980B47"/>
    <w:rsid w:val="00981472"/>
    <w:rsid w:val="009911C7"/>
    <w:rsid w:val="00995906"/>
    <w:rsid w:val="009970F0"/>
    <w:rsid w:val="009B1C0E"/>
    <w:rsid w:val="009B26F0"/>
    <w:rsid w:val="009B3FFE"/>
    <w:rsid w:val="009D07DF"/>
    <w:rsid w:val="00A164FE"/>
    <w:rsid w:val="00A16804"/>
    <w:rsid w:val="00A209EB"/>
    <w:rsid w:val="00A54041"/>
    <w:rsid w:val="00A5508F"/>
    <w:rsid w:val="00A60CFE"/>
    <w:rsid w:val="00A75948"/>
    <w:rsid w:val="00A90E5A"/>
    <w:rsid w:val="00A97F3E"/>
    <w:rsid w:val="00AA6D28"/>
    <w:rsid w:val="00AE4CC3"/>
    <w:rsid w:val="00AE70D1"/>
    <w:rsid w:val="00B15AF7"/>
    <w:rsid w:val="00B40E17"/>
    <w:rsid w:val="00B44E7D"/>
    <w:rsid w:val="00B601E0"/>
    <w:rsid w:val="00B63B1D"/>
    <w:rsid w:val="00B66036"/>
    <w:rsid w:val="00BC4A3C"/>
    <w:rsid w:val="00BE22C8"/>
    <w:rsid w:val="00BE47E4"/>
    <w:rsid w:val="00BF5428"/>
    <w:rsid w:val="00C003A6"/>
    <w:rsid w:val="00C05D87"/>
    <w:rsid w:val="00C1571A"/>
    <w:rsid w:val="00C161F4"/>
    <w:rsid w:val="00C16A3D"/>
    <w:rsid w:val="00C17B8A"/>
    <w:rsid w:val="00C23884"/>
    <w:rsid w:val="00C26E1C"/>
    <w:rsid w:val="00C30D7A"/>
    <w:rsid w:val="00C41F69"/>
    <w:rsid w:val="00C42FA6"/>
    <w:rsid w:val="00C63577"/>
    <w:rsid w:val="00C63E9D"/>
    <w:rsid w:val="00C7402D"/>
    <w:rsid w:val="00C75CEE"/>
    <w:rsid w:val="00C94FEE"/>
    <w:rsid w:val="00C975E9"/>
    <w:rsid w:val="00CA6032"/>
    <w:rsid w:val="00CB2969"/>
    <w:rsid w:val="00CB5CA0"/>
    <w:rsid w:val="00CB6DD6"/>
    <w:rsid w:val="00CD0639"/>
    <w:rsid w:val="00CE1829"/>
    <w:rsid w:val="00CE1BE3"/>
    <w:rsid w:val="00CE25D3"/>
    <w:rsid w:val="00CE367D"/>
    <w:rsid w:val="00CF277F"/>
    <w:rsid w:val="00CF51A5"/>
    <w:rsid w:val="00D35E29"/>
    <w:rsid w:val="00D36E0A"/>
    <w:rsid w:val="00D6629B"/>
    <w:rsid w:val="00D70043"/>
    <w:rsid w:val="00D72397"/>
    <w:rsid w:val="00D733FA"/>
    <w:rsid w:val="00D73848"/>
    <w:rsid w:val="00D801F3"/>
    <w:rsid w:val="00D83CE4"/>
    <w:rsid w:val="00DB5DEF"/>
    <w:rsid w:val="00DC554D"/>
    <w:rsid w:val="00DD7C81"/>
    <w:rsid w:val="00DF5D6C"/>
    <w:rsid w:val="00DF7828"/>
    <w:rsid w:val="00DF7AA5"/>
    <w:rsid w:val="00E0214D"/>
    <w:rsid w:val="00E12482"/>
    <w:rsid w:val="00E428A2"/>
    <w:rsid w:val="00E43F35"/>
    <w:rsid w:val="00E444BD"/>
    <w:rsid w:val="00E70B6C"/>
    <w:rsid w:val="00E90523"/>
    <w:rsid w:val="00E914F1"/>
    <w:rsid w:val="00EA706D"/>
    <w:rsid w:val="00EB6C1F"/>
    <w:rsid w:val="00EC5D65"/>
    <w:rsid w:val="00ED5058"/>
    <w:rsid w:val="00EE5530"/>
    <w:rsid w:val="00EF2F4E"/>
    <w:rsid w:val="00EF30B4"/>
    <w:rsid w:val="00EF3287"/>
    <w:rsid w:val="00F042CD"/>
    <w:rsid w:val="00F21978"/>
    <w:rsid w:val="00F32CD0"/>
    <w:rsid w:val="00F44371"/>
    <w:rsid w:val="00F50FED"/>
    <w:rsid w:val="00F57765"/>
    <w:rsid w:val="00F67D33"/>
    <w:rsid w:val="00F81C5D"/>
    <w:rsid w:val="00F8502A"/>
    <w:rsid w:val="00FB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3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ind w:left="711" w:right="246"/>
      <w:jc w:val="center"/>
      <w:outlineLvl w:val="0"/>
    </w:pPr>
    <w:rPr>
      <w:b/>
      <w:bCs/>
      <w:sz w:val="34"/>
      <w:szCs w:val="34"/>
    </w:rPr>
  </w:style>
  <w:style w:type="paragraph" w:styleId="Heading2">
    <w:name w:val="heading 2"/>
    <w:basedOn w:val="Normal"/>
    <w:uiPriority w:val="9"/>
    <w:unhideWhenUsed/>
    <w:qFormat/>
    <w:pPr>
      <w:ind w:left="566" w:right="148"/>
      <w:jc w:val="center"/>
      <w:outlineLvl w:val="1"/>
    </w:pPr>
    <w:rPr>
      <w:b/>
      <w:bCs/>
      <w:sz w:val="28"/>
      <w:szCs w:val="28"/>
    </w:rPr>
  </w:style>
  <w:style w:type="paragraph" w:styleId="Heading3">
    <w:name w:val="heading 3"/>
    <w:basedOn w:val="Normal"/>
    <w:link w:val="Heading3Char"/>
    <w:uiPriority w:val="9"/>
    <w:unhideWhenUsed/>
    <w:qFormat/>
    <w:pPr>
      <w:ind w:left="626"/>
      <w:outlineLvl w:val="2"/>
    </w:pPr>
    <w:rPr>
      <w:b/>
      <w:bCs/>
    </w:rPr>
  </w:style>
  <w:style w:type="paragraph" w:styleId="Heading4">
    <w:name w:val="heading 4"/>
    <w:basedOn w:val="Normal"/>
    <w:uiPriority w:val="9"/>
    <w:unhideWhenUsed/>
    <w:qFormat/>
    <w:pPr>
      <w:spacing w:before="130"/>
      <w:ind w:left="791" w:hanging="385"/>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91" w:hanging="12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C41F69"/>
    <w:pPr>
      <w:tabs>
        <w:tab w:val="center" w:pos="4680"/>
        <w:tab w:val="right" w:pos="9360"/>
      </w:tabs>
    </w:pPr>
  </w:style>
  <w:style w:type="character" w:customStyle="1" w:styleId="FooterChar">
    <w:name w:val="Footer Char"/>
    <w:basedOn w:val="DefaultParagraphFont"/>
    <w:link w:val="Footer"/>
    <w:uiPriority w:val="99"/>
    <w:rsid w:val="00C41F69"/>
    <w:rPr>
      <w:rFonts w:ascii="Times New Roman" w:eastAsia="Times New Roman" w:hAnsi="Times New Roman" w:cs="Times New Roman"/>
    </w:rPr>
  </w:style>
  <w:style w:type="paragraph" w:styleId="Header">
    <w:name w:val="header"/>
    <w:basedOn w:val="Normal"/>
    <w:link w:val="HeaderChar"/>
    <w:uiPriority w:val="99"/>
    <w:unhideWhenUsed/>
    <w:rsid w:val="00C41F69"/>
    <w:pPr>
      <w:tabs>
        <w:tab w:val="center" w:pos="4680"/>
        <w:tab w:val="right" w:pos="9360"/>
      </w:tabs>
    </w:pPr>
  </w:style>
  <w:style w:type="character" w:customStyle="1" w:styleId="HeaderChar">
    <w:name w:val="Header Char"/>
    <w:basedOn w:val="DefaultParagraphFont"/>
    <w:link w:val="Header"/>
    <w:uiPriority w:val="99"/>
    <w:rsid w:val="00C41F69"/>
    <w:rPr>
      <w:rFonts w:ascii="Times New Roman" w:eastAsia="Times New Roman" w:hAnsi="Times New Roman" w:cs="Times New Roman"/>
    </w:rPr>
  </w:style>
  <w:style w:type="character" w:styleId="Hyperlink">
    <w:name w:val="Hyperlink"/>
    <w:basedOn w:val="DefaultParagraphFont"/>
    <w:uiPriority w:val="99"/>
    <w:unhideWhenUsed/>
    <w:rsid w:val="00901983"/>
    <w:rPr>
      <w:color w:val="0000FF" w:themeColor="hyperlink"/>
      <w:u w:val="single"/>
    </w:rPr>
  </w:style>
  <w:style w:type="character" w:customStyle="1" w:styleId="UnresolvedMention">
    <w:name w:val="Unresolved Mention"/>
    <w:basedOn w:val="DefaultParagraphFont"/>
    <w:uiPriority w:val="99"/>
    <w:semiHidden/>
    <w:unhideWhenUsed/>
    <w:rsid w:val="00901983"/>
    <w:rPr>
      <w:color w:val="605E5C"/>
      <w:shd w:val="clear" w:color="auto" w:fill="E1DFDD"/>
    </w:rPr>
  </w:style>
  <w:style w:type="table" w:styleId="TableGrid">
    <w:name w:val="Table Grid"/>
    <w:basedOn w:val="TableNormal"/>
    <w:uiPriority w:val="39"/>
    <w:rsid w:val="0074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40BC3"/>
    <w:rPr>
      <w:rFonts w:ascii="Times New Roman" w:eastAsia="Times New Roman" w:hAnsi="Times New Roman" w:cs="Times New Roman"/>
      <w:b/>
      <w:bCs/>
    </w:rPr>
  </w:style>
  <w:style w:type="paragraph" w:styleId="Caption">
    <w:name w:val="caption"/>
    <w:aliases w:val="Hình,02 - Caption,Hinh Tai,Caption Char1 Char,Caption Char Char Char,Caption Char Char Char Char Char Char Char Char,Caption Char Char Char Char Char Char1 Char,Caption Char Char Char Char Char Char1 Char Char Char Char Char Char,Char16,Figure,F"/>
    <w:basedOn w:val="Normal"/>
    <w:next w:val="Normal"/>
    <w:link w:val="CaptionChar"/>
    <w:autoRedefine/>
    <w:unhideWhenUsed/>
    <w:qFormat/>
    <w:rsid w:val="00637514"/>
    <w:pPr>
      <w:spacing w:after="200"/>
      <w:jc w:val="center"/>
    </w:pPr>
    <w:rPr>
      <w:b/>
      <w:i/>
      <w:iCs/>
      <w:szCs w:val="18"/>
    </w:rPr>
  </w:style>
  <w:style w:type="character" w:styleId="CommentReference">
    <w:name w:val="annotation reference"/>
    <w:basedOn w:val="DefaultParagraphFont"/>
    <w:uiPriority w:val="99"/>
    <w:semiHidden/>
    <w:unhideWhenUsed/>
    <w:rsid w:val="00482B3E"/>
    <w:rPr>
      <w:sz w:val="16"/>
      <w:szCs w:val="16"/>
    </w:rPr>
  </w:style>
  <w:style w:type="paragraph" w:styleId="CommentText">
    <w:name w:val="annotation text"/>
    <w:basedOn w:val="Normal"/>
    <w:link w:val="CommentTextChar"/>
    <w:uiPriority w:val="99"/>
    <w:unhideWhenUsed/>
    <w:rsid w:val="00482B3E"/>
    <w:rPr>
      <w:sz w:val="20"/>
      <w:szCs w:val="20"/>
    </w:rPr>
  </w:style>
  <w:style w:type="character" w:customStyle="1" w:styleId="CommentTextChar">
    <w:name w:val="Comment Text Char"/>
    <w:basedOn w:val="DefaultParagraphFont"/>
    <w:link w:val="CommentText"/>
    <w:uiPriority w:val="99"/>
    <w:rsid w:val="00482B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2B3E"/>
    <w:rPr>
      <w:b/>
      <w:bCs/>
    </w:rPr>
  </w:style>
  <w:style w:type="character" w:customStyle="1" w:styleId="CommentSubjectChar">
    <w:name w:val="Comment Subject Char"/>
    <w:basedOn w:val="CommentTextChar"/>
    <w:link w:val="CommentSubject"/>
    <w:uiPriority w:val="99"/>
    <w:semiHidden/>
    <w:rsid w:val="00482B3E"/>
    <w:rPr>
      <w:rFonts w:ascii="Times New Roman" w:eastAsia="Times New Roman" w:hAnsi="Times New Roman" w:cs="Times New Roman"/>
      <w:b/>
      <w:bCs/>
      <w:sz w:val="20"/>
      <w:szCs w:val="20"/>
    </w:rPr>
  </w:style>
  <w:style w:type="character" w:customStyle="1" w:styleId="CaptionChar">
    <w:name w:val="Caption Char"/>
    <w:aliases w:val="Hình Char,02 - Caption Char,Hinh Tai Char,Caption Char1 Char Char,Caption Char Char Char Char,Caption Char Char Char Char Char Char Char Char Char,Caption Char Char Char Char Char Char1 Char Char,Char16 Char,Figure Char,F Char"/>
    <w:link w:val="Caption"/>
    <w:qFormat/>
    <w:rsid w:val="00193239"/>
    <w:rPr>
      <w:rFonts w:ascii="Times New Roman" w:eastAsia="Times New Roman" w:hAnsi="Times New Roman" w:cs="Times New Roman"/>
      <w:b/>
      <w:i/>
      <w:iCs/>
      <w:szCs w:val="18"/>
    </w:rPr>
  </w:style>
  <w:style w:type="character" w:customStyle="1" w:styleId="cf01">
    <w:name w:val="cf01"/>
    <w:basedOn w:val="DefaultParagraphFont"/>
    <w:rsid w:val="00981472"/>
    <w:rPr>
      <w:rFonts w:ascii="Segoe UI" w:hAnsi="Segoe UI" w:cs="Segoe UI" w:hint="default"/>
      <w:sz w:val="18"/>
      <w:szCs w:val="18"/>
    </w:rPr>
  </w:style>
  <w:style w:type="character" w:customStyle="1" w:styleId="cf11">
    <w:name w:val="cf11"/>
    <w:basedOn w:val="DefaultParagraphFont"/>
    <w:rsid w:val="00981472"/>
    <w:rPr>
      <w:rFonts w:ascii="Segoe UI" w:hAnsi="Segoe UI" w:cs="Segoe UI" w:hint="default"/>
      <w:i/>
      <w:iCs/>
      <w:sz w:val="18"/>
      <w:szCs w:val="18"/>
    </w:rPr>
  </w:style>
  <w:style w:type="paragraph" w:styleId="NormalWeb">
    <w:name w:val="Normal (Web)"/>
    <w:basedOn w:val="Normal"/>
    <w:uiPriority w:val="99"/>
    <w:unhideWhenUsed/>
    <w:rsid w:val="00840080"/>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390E68"/>
    <w:rPr>
      <w:rFonts w:ascii="Tahoma" w:hAnsi="Tahoma" w:cs="Tahoma"/>
      <w:sz w:val="16"/>
      <w:szCs w:val="16"/>
    </w:rPr>
  </w:style>
  <w:style w:type="character" w:customStyle="1" w:styleId="BalloonTextChar">
    <w:name w:val="Balloon Text Char"/>
    <w:basedOn w:val="DefaultParagraphFont"/>
    <w:link w:val="BalloonText"/>
    <w:uiPriority w:val="99"/>
    <w:semiHidden/>
    <w:rsid w:val="00390E6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ind w:left="711" w:right="246"/>
      <w:jc w:val="center"/>
      <w:outlineLvl w:val="0"/>
    </w:pPr>
    <w:rPr>
      <w:b/>
      <w:bCs/>
      <w:sz w:val="34"/>
      <w:szCs w:val="34"/>
    </w:rPr>
  </w:style>
  <w:style w:type="paragraph" w:styleId="Heading2">
    <w:name w:val="heading 2"/>
    <w:basedOn w:val="Normal"/>
    <w:uiPriority w:val="9"/>
    <w:unhideWhenUsed/>
    <w:qFormat/>
    <w:pPr>
      <w:ind w:left="566" w:right="148"/>
      <w:jc w:val="center"/>
      <w:outlineLvl w:val="1"/>
    </w:pPr>
    <w:rPr>
      <w:b/>
      <w:bCs/>
      <w:sz w:val="28"/>
      <w:szCs w:val="28"/>
    </w:rPr>
  </w:style>
  <w:style w:type="paragraph" w:styleId="Heading3">
    <w:name w:val="heading 3"/>
    <w:basedOn w:val="Normal"/>
    <w:link w:val="Heading3Char"/>
    <w:uiPriority w:val="9"/>
    <w:unhideWhenUsed/>
    <w:qFormat/>
    <w:pPr>
      <w:ind w:left="626"/>
      <w:outlineLvl w:val="2"/>
    </w:pPr>
    <w:rPr>
      <w:b/>
      <w:bCs/>
    </w:rPr>
  </w:style>
  <w:style w:type="paragraph" w:styleId="Heading4">
    <w:name w:val="heading 4"/>
    <w:basedOn w:val="Normal"/>
    <w:uiPriority w:val="9"/>
    <w:unhideWhenUsed/>
    <w:qFormat/>
    <w:pPr>
      <w:spacing w:before="130"/>
      <w:ind w:left="791" w:hanging="385"/>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91" w:hanging="12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C41F69"/>
    <w:pPr>
      <w:tabs>
        <w:tab w:val="center" w:pos="4680"/>
        <w:tab w:val="right" w:pos="9360"/>
      </w:tabs>
    </w:pPr>
  </w:style>
  <w:style w:type="character" w:customStyle="1" w:styleId="FooterChar">
    <w:name w:val="Footer Char"/>
    <w:basedOn w:val="DefaultParagraphFont"/>
    <w:link w:val="Footer"/>
    <w:uiPriority w:val="99"/>
    <w:rsid w:val="00C41F69"/>
    <w:rPr>
      <w:rFonts w:ascii="Times New Roman" w:eastAsia="Times New Roman" w:hAnsi="Times New Roman" w:cs="Times New Roman"/>
    </w:rPr>
  </w:style>
  <w:style w:type="paragraph" w:styleId="Header">
    <w:name w:val="header"/>
    <w:basedOn w:val="Normal"/>
    <w:link w:val="HeaderChar"/>
    <w:uiPriority w:val="99"/>
    <w:unhideWhenUsed/>
    <w:rsid w:val="00C41F69"/>
    <w:pPr>
      <w:tabs>
        <w:tab w:val="center" w:pos="4680"/>
        <w:tab w:val="right" w:pos="9360"/>
      </w:tabs>
    </w:pPr>
  </w:style>
  <w:style w:type="character" w:customStyle="1" w:styleId="HeaderChar">
    <w:name w:val="Header Char"/>
    <w:basedOn w:val="DefaultParagraphFont"/>
    <w:link w:val="Header"/>
    <w:uiPriority w:val="99"/>
    <w:rsid w:val="00C41F69"/>
    <w:rPr>
      <w:rFonts w:ascii="Times New Roman" w:eastAsia="Times New Roman" w:hAnsi="Times New Roman" w:cs="Times New Roman"/>
    </w:rPr>
  </w:style>
  <w:style w:type="character" w:styleId="Hyperlink">
    <w:name w:val="Hyperlink"/>
    <w:basedOn w:val="DefaultParagraphFont"/>
    <w:uiPriority w:val="99"/>
    <w:unhideWhenUsed/>
    <w:rsid w:val="00901983"/>
    <w:rPr>
      <w:color w:val="0000FF" w:themeColor="hyperlink"/>
      <w:u w:val="single"/>
    </w:rPr>
  </w:style>
  <w:style w:type="character" w:customStyle="1" w:styleId="UnresolvedMention">
    <w:name w:val="Unresolved Mention"/>
    <w:basedOn w:val="DefaultParagraphFont"/>
    <w:uiPriority w:val="99"/>
    <w:semiHidden/>
    <w:unhideWhenUsed/>
    <w:rsid w:val="00901983"/>
    <w:rPr>
      <w:color w:val="605E5C"/>
      <w:shd w:val="clear" w:color="auto" w:fill="E1DFDD"/>
    </w:rPr>
  </w:style>
  <w:style w:type="table" w:styleId="TableGrid">
    <w:name w:val="Table Grid"/>
    <w:basedOn w:val="TableNormal"/>
    <w:uiPriority w:val="39"/>
    <w:rsid w:val="0074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40BC3"/>
    <w:rPr>
      <w:rFonts w:ascii="Times New Roman" w:eastAsia="Times New Roman" w:hAnsi="Times New Roman" w:cs="Times New Roman"/>
      <w:b/>
      <w:bCs/>
    </w:rPr>
  </w:style>
  <w:style w:type="paragraph" w:styleId="Caption">
    <w:name w:val="caption"/>
    <w:aliases w:val="Hình,02 - Caption,Hinh Tai,Caption Char1 Char,Caption Char Char Char,Caption Char Char Char Char Char Char Char Char,Caption Char Char Char Char Char Char1 Char,Caption Char Char Char Char Char Char1 Char Char Char Char Char Char,Char16,Figure,F"/>
    <w:basedOn w:val="Normal"/>
    <w:next w:val="Normal"/>
    <w:link w:val="CaptionChar"/>
    <w:autoRedefine/>
    <w:unhideWhenUsed/>
    <w:qFormat/>
    <w:rsid w:val="00637514"/>
    <w:pPr>
      <w:spacing w:after="200"/>
      <w:jc w:val="center"/>
    </w:pPr>
    <w:rPr>
      <w:b/>
      <w:i/>
      <w:iCs/>
      <w:szCs w:val="18"/>
    </w:rPr>
  </w:style>
  <w:style w:type="character" w:styleId="CommentReference">
    <w:name w:val="annotation reference"/>
    <w:basedOn w:val="DefaultParagraphFont"/>
    <w:uiPriority w:val="99"/>
    <w:semiHidden/>
    <w:unhideWhenUsed/>
    <w:rsid w:val="00482B3E"/>
    <w:rPr>
      <w:sz w:val="16"/>
      <w:szCs w:val="16"/>
    </w:rPr>
  </w:style>
  <w:style w:type="paragraph" w:styleId="CommentText">
    <w:name w:val="annotation text"/>
    <w:basedOn w:val="Normal"/>
    <w:link w:val="CommentTextChar"/>
    <w:uiPriority w:val="99"/>
    <w:unhideWhenUsed/>
    <w:rsid w:val="00482B3E"/>
    <w:rPr>
      <w:sz w:val="20"/>
      <w:szCs w:val="20"/>
    </w:rPr>
  </w:style>
  <w:style w:type="character" w:customStyle="1" w:styleId="CommentTextChar">
    <w:name w:val="Comment Text Char"/>
    <w:basedOn w:val="DefaultParagraphFont"/>
    <w:link w:val="CommentText"/>
    <w:uiPriority w:val="99"/>
    <w:rsid w:val="00482B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2B3E"/>
    <w:rPr>
      <w:b/>
      <w:bCs/>
    </w:rPr>
  </w:style>
  <w:style w:type="character" w:customStyle="1" w:styleId="CommentSubjectChar">
    <w:name w:val="Comment Subject Char"/>
    <w:basedOn w:val="CommentTextChar"/>
    <w:link w:val="CommentSubject"/>
    <w:uiPriority w:val="99"/>
    <w:semiHidden/>
    <w:rsid w:val="00482B3E"/>
    <w:rPr>
      <w:rFonts w:ascii="Times New Roman" w:eastAsia="Times New Roman" w:hAnsi="Times New Roman" w:cs="Times New Roman"/>
      <w:b/>
      <w:bCs/>
      <w:sz w:val="20"/>
      <w:szCs w:val="20"/>
    </w:rPr>
  </w:style>
  <w:style w:type="character" w:customStyle="1" w:styleId="CaptionChar">
    <w:name w:val="Caption Char"/>
    <w:aliases w:val="Hình Char,02 - Caption Char,Hinh Tai Char,Caption Char1 Char Char,Caption Char Char Char Char,Caption Char Char Char Char Char Char Char Char Char,Caption Char Char Char Char Char Char1 Char Char,Char16 Char,Figure Char,F Char"/>
    <w:link w:val="Caption"/>
    <w:qFormat/>
    <w:rsid w:val="00193239"/>
    <w:rPr>
      <w:rFonts w:ascii="Times New Roman" w:eastAsia="Times New Roman" w:hAnsi="Times New Roman" w:cs="Times New Roman"/>
      <w:b/>
      <w:i/>
      <w:iCs/>
      <w:szCs w:val="18"/>
    </w:rPr>
  </w:style>
  <w:style w:type="character" w:customStyle="1" w:styleId="cf01">
    <w:name w:val="cf01"/>
    <w:basedOn w:val="DefaultParagraphFont"/>
    <w:rsid w:val="00981472"/>
    <w:rPr>
      <w:rFonts w:ascii="Segoe UI" w:hAnsi="Segoe UI" w:cs="Segoe UI" w:hint="default"/>
      <w:sz w:val="18"/>
      <w:szCs w:val="18"/>
    </w:rPr>
  </w:style>
  <w:style w:type="character" w:customStyle="1" w:styleId="cf11">
    <w:name w:val="cf11"/>
    <w:basedOn w:val="DefaultParagraphFont"/>
    <w:rsid w:val="00981472"/>
    <w:rPr>
      <w:rFonts w:ascii="Segoe UI" w:hAnsi="Segoe UI" w:cs="Segoe UI" w:hint="default"/>
      <w:i/>
      <w:iCs/>
      <w:sz w:val="18"/>
      <w:szCs w:val="18"/>
    </w:rPr>
  </w:style>
  <w:style w:type="paragraph" w:styleId="NormalWeb">
    <w:name w:val="Normal (Web)"/>
    <w:basedOn w:val="Normal"/>
    <w:uiPriority w:val="99"/>
    <w:unhideWhenUsed/>
    <w:rsid w:val="00840080"/>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390E68"/>
    <w:rPr>
      <w:rFonts w:ascii="Tahoma" w:hAnsi="Tahoma" w:cs="Tahoma"/>
      <w:sz w:val="16"/>
      <w:szCs w:val="16"/>
    </w:rPr>
  </w:style>
  <w:style w:type="character" w:customStyle="1" w:styleId="BalloonTextChar">
    <w:name w:val="Balloon Text Char"/>
    <w:basedOn w:val="DefaultParagraphFont"/>
    <w:link w:val="BalloonText"/>
    <w:uiPriority w:val="99"/>
    <w:semiHidden/>
    <w:rsid w:val="00390E6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hyperlink" Target="mailto:ntllien@hcmut.edu.vn" TargetMode="Externa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C2C-4FEF-9D94-BA74C92AA91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C2C-4FEF-9D94-BA74C92AA91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C2C-4FEF-9D94-BA74C92AA91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C2C-4FEF-9D94-BA74C92AA91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C2C-4FEF-9D94-BA74C92AA91E}"/>
              </c:ext>
            </c:extLst>
          </c:dPt>
          <c:dLbls>
            <c:dLbl>
              <c:idx val="0"/>
              <c:spPr>
                <a:solidFill>
                  <a:sysClr val="window" lastClr="FFFFFF"/>
                </a:solid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dLbl>
            <c:dLbl>
              <c:idx val="1"/>
              <c:layout>
                <c:manualLayout>
                  <c:x val="3.4934297628259905E-3"/>
                  <c:y val="0.33493428263995734"/>
                </c:manualLayout>
              </c:layout>
              <c:spPr>
                <a:solidFill>
                  <a:sysClr val="window" lastClr="FFFFFF"/>
                </a:solid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36732470898630304"/>
                      <c:h val="0.20550978163811998"/>
                    </c:manualLayout>
                  </c15:layout>
                </c:ext>
                <c:ext xmlns:c16="http://schemas.microsoft.com/office/drawing/2014/chart" uri="{C3380CC4-5D6E-409C-BE32-E72D297353CC}">
                  <c16:uniqueId val="{00000003-AC2C-4FEF-9D94-BA74C92AA91E}"/>
                </c:ext>
              </c:extLst>
            </c:dLbl>
            <c:dLbl>
              <c:idx val="2"/>
              <c:spPr>
                <a:solidFill>
                  <a:sysClr val="window" lastClr="FFFFFF"/>
                </a:solid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dLbl>
            <c:dLbl>
              <c:idx val="3"/>
              <c:layout>
                <c:manualLayout>
                  <c:x val="0.4804019626026404"/>
                  <c:y val="1.9547395089945605E-2"/>
                </c:manualLayout>
              </c:layout>
              <c:spPr>
                <a:solidFill>
                  <a:sysClr val="window" lastClr="FFFFFF"/>
                </a:solid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manualLayout>
                      <c:w val="0.30829385084894367"/>
                      <c:h val="0.21358386923475503"/>
                    </c:manualLayout>
                  </c15:layout>
                </c:ext>
                <c:ext xmlns:c16="http://schemas.microsoft.com/office/drawing/2014/chart" uri="{C3380CC4-5D6E-409C-BE32-E72D297353CC}">
                  <c16:uniqueId val="{00000007-AC2C-4FEF-9D94-BA74C92AA91E}"/>
                </c:ext>
              </c:extLst>
            </c:dLbl>
            <c:dLbl>
              <c:idx val="4"/>
              <c:spPr>
                <a:solidFill>
                  <a:sysClr val="window" lastClr="FFFFFF"/>
                </a:solid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dLbl>
            <c:spPr>
              <a:solidFill>
                <a:sysClr val="window" lastClr="FFFFFF"/>
              </a:solidFill>
              <a:ln>
                <a:noFill/>
              </a:ln>
              <a:effectLst/>
            </c:spPr>
            <c:txPr>
              <a:bodyPr rot="0" spcFirstLastPara="1" vertOverflow="overflow" horzOverflow="overflow" vert="horz" wrap="non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Sheet1!$B$62:$B$66</c:f>
              <c:strCache>
                <c:ptCount val="5"/>
                <c:pt idx="0">
                  <c:v>&lt; 20 triệu lít/năm</c:v>
                </c:pt>
                <c:pt idx="1">
                  <c:v>20 -  50 triệu lít/năm</c:v>
                </c:pt>
                <c:pt idx="2">
                  <c:v>50 - 100 triệu lít/năm</c:v>
                </c:pt>
                <c:pt idx="3">
                  <c:v>100 - 200 triệu lít/năm</c:v>
                </c:pt>
                <c:pt idx="4">
                  <c:v>&gt; 200 triệu lít/năm</c:v>
                </c:pt>
              </c:strCache>
            </c:strRef>
          </c:cat>
          <c:val>
            <c:numRef>
              <c:f>Sheet1!$C$62:$C$66</c:f>
              <c:numCache>
                <c:formatCode>0%</c:formatCode>
                <c:ptCount val="5"/>
                <c:pt idx="0">
                  <c:v>0.64500000000000002</c:v>
                </c:pt>
                <c:pt idx="1">
                  <c:v>0.187</c:v>
                </c:pt>
                <c:pt idx="2">
                  <c:v>0.10199999999999999</c:v>
                </c:pt>
                <c:pt idx="3">
                  <c:v>0.03</c:v>
                </c:pt>
                <c:pt idx="4">
                  <c:v>3.5999999999999997E-2</c:v>
                </c:pt>
              </c:numCache>
            </c:numRef>
          </c:val>
          <c:extLst xmlns:c16r2="http://schemas.microsoft.com/office/drawing/2015/06/chart">
            <c:ext xmlns:c16="http://schemas.microsoft.com/office/drawing/2014/chart" uri="{C3380CC4-5D6E-409C-BE32-E72D297353CC}">
              <c16:uniqueId val="{0000000A-AC2C-4FEF-9D94-BA74C92AA91E}"/>
            </c:ext>
          </c:extLst>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40902328557904"/>
          <c:y val="8.9759281925744588E-2"/>
          <c:w val="0.68732042658890513"/>
          <c:h val="0.56182564082794428"/>
        </c:manualLayout>
      </c:layout>
      <c:scatterChart>
        <c:scatterStyle val="smoothMarker"/>
        <c:varyColors val="0"/>
        <c:ser>
          <c:idx val="0"/>
          <c:order val="0"/>
          <c:spPr>
            <a:ln w="15875" cap="rnd">
              <a:solidFill>
                <a:schemeClr val="accent1"/>
              </a:solidFill>
              <a:round/>
            </a:ln>
            <a:effectLst/>
          </c:spPr>
          <c:marker>
            <c:symbol val="circle"/>
            <c:size val="3"/>
            <c:spPr>
              <a:solidFill>
                <a:schemeClr val="accent1"/>
              </a:solidFill>
              <a:ln w="0">
                <a:solidFill>
                  <a:schemeClr val="accent1"/>
                </a:solidFill>
              </a:ln>
              <a:effectLst/>
            </c:spPr>
          </c:marker>
          <c:xVal>
            <c:numRef>
              <c:f>Lien!$E$72:$E$100</c:f>
              <c:numCache>
                <c:formatCode>0%</c:formatCode>
                <c:ptCount val="29"/>
                <c:pt idx="0">
                  <c:v>3.4482758620689655E-2</c:v>
                </c:pt>
                <c:pt idx="1">
                  <c:v>6.8965517241379309E-2</c:v>
                </c:pt>
                <c:pt idx="2">
                  <c:v>0.10344827586206896</c:v>
                </c:pt>
                <c:pt idx="3">
                  <c:v>0.13793103448275862</c:v>
                </c:pt>
                <c:pt idx="4">
                  <c:v>0.17241379310344829</c:v>
                </c:pt>
                <c:pt idx="5">
                  <c:v>0.20689655172413793</c:v>
                </c:pt>
                <c:pt idx="6">
                  <c:v>0.2413793103448276</c:v>
                </c:pt>
                <c:pt idx="7">
                  <c:v>0.27586206896551724</c:v>
                </c:pt>
                <c:pt idx="8">
                  <c:v>0.31034482758620691</c:v>
                </c:pt>
                <c:pt idx="9">
                  <c:v>0.34482758620689657</c:v>
                </c:pt>
                <c:pt idx="10">
                  <c:v>0.37931034482758619</c:v>
                </c:pt>
                <c:pt idx="11">
                  <c:v>0.41379310344827586</c:v>
                </c:pt>
                <c:pt idx="12">
                  <c:v>0.44827586206896552</c:v>
                </c:pt>
                <c:pt idx="13">
                  <c:v>0.48275862068965519</c:v>
                </c:pt>
                <c:pt idx="14">
                  <c:v>0.51724137931034486</c:v>
                </c:pt>
                <c:pt idx="15">
                  <c:v>0.55172413793103448</c:v>
                </c:pt>
                <c:pt idx="16">
                  <c:v>0.58620689655172409</c:v>
                </c:pt>
                <c:pt idx="17">
                  <c:v>0.62068965517241381</c:v>
                </c:pt>
                <c:pt idx="18">
                  <c:v>0.65517241379310343</c:v>
                </c:pt>
                <c:pt idx="19">
                  <c:v>0.68965517241379315</c:v>
                </c:pt>
                <c:pt idx="20">
                  <c:v>0.72413793103448276</c:v>
                </c:pt>
                <c:pt idx="21">
                  <c:v>0.75862068965517238</c:v>
                </c:pt>
                <c:pt idx="22">
                  <c:v>0.7931034482758621</c:v>
                </c:pt>
                <c:pt idx="23">
                  <c:v>0.82758620689655171</c:v>
                </c:pt>
                <c:pt idx="24">
                  <c:v>0.86206896551724133</c:v>
                </c:pt>
                <c:pt idx="25">
                  <c:v>0.89655172413793105</c:v>
                </c:pt>
                <c:pt idx="26">
                  <c:v>0.93103448275862066</c:v>
                </c:pt>
                <c:pt idx="27">
                  <c:v>0.96551724137931039</c:v>
                </c:pt>
                <c:pt idx="28">
                  <c:v>1</c:v>
                </c:pt>
              </c:numCache>
            </c:numRef>
          </c:xVal>
          <c:yVal>
            <c:numRef>
              <c:f>Lien!$A$72:$A$100</c:f>
              <c:numCache>
                <c:formatCode>0.0</c:formatCode>
                <c:ptCount val="29"/>
                <c:pt idx="0">
                  <c:v>19.8</c:v>
                </c:pt>
                <c:pt idx="1">
                  <c:v>21.25</c:v>
                </c:pt>
                <c:pt idx="2">
                  <c:v>29.75</c:v>
                </c:pt>
                <c:pt idx="3">
                  <c:v>38.25</c:v>
                </c:pt>
                <c:pt idx="4">
                  <c:v>42</c:v>
                </c:pt>
                <c:pt idx="5">
                  <c:v>42.5</c:v>
                </c:pt>
                <c:pt idx="6">
                  <c:v>52.5</c:v>
                </c:pt>
                <c:pt idx="7">
                  <c:v>53.7</c:v>
                </c:pt>
                <c:pt idx="8">
                  <c:v>59</c:v>
                </c:pt>
                <c:pt idx="9">
                  <c:v>59.5</c:v>
                </c:pt>
                <c:pt idx="10">
                  <c:v>59.5</c:v>
                </c:pt>
                <c:pt idx="11">
                  <c:v>60</c:v>
                </c:pt>
                <c:pt idx="12">
                  <c:v>68</c:v>
                </c:pt>
                <c:pt idx="13">
                  <c:v>80</c:v>
                </c:pt>
                <c:pt idx="14">
                  <c:v>85</c:v>
                </c:pt>
                <c:pt idx="15">
                  <c:v>85</c:v>
                </c:pt>
                <c:pt idx="16">
                  <c:v>85</c:v>
                </c:pt>
                <c:pt idx="17">
                  <c:v>85</c:v>
                </c:pt>
                <c:pt idx="18">
                  <c:v>98</c:v>
                </c:pt>
                <c:pt idx="19">
                  <c:v>114.75</c:v>
                </c:pt>
                <c:pt idx="20">
                  <c:v>127.5</c:v>
                </c:pt>
                <c:pt idx="21">
                  <c:v>189</c:v>
                </c:pt>
                <c:pt idx="22">
                  <c:v>212.5</c:v>
                </c:pt>
                <c:pt idx="23">
                  <c:v>255</c:v>
                </c:pt>
                <c:pt idx="24">
                  <c:v>280.5</c:v>
                </c:pt>
                <c:pt idx="25">
                  <c:v>297.5</c:v>
                </c:pt>
                <c:pt idx="26">
                  <c:v>510</c:v>
                </c:pt>
                <c:pt idx="27">
                  <c:v>578</c:v>
                </c:pt>
                <c:pt idx="28">
                  <c:v>717.43510000000003</c:v>
                </c:pt>
              </c:numCache>
            </c:numRef>
          </c:yVal>
          <c:smooth val="1"/>
          <c:extLst xmlns:c16r2="http://schemas.microsoft.com/office/drawing/2015/06/chart">
            <c:ext xmlns:c16="http://schemas.microsoft.com/office/drawing/2014/chart" uri="{C3380CC4-5D6E-409C-BE32-E72D297353CC}">
              <c16:uniqueId val="{00000000-CD1F-4CC4-A164-DA09A5B352CC}"/>
            </c:ext>
          </c:extLst>
        </c:ser>
        <c:dLbls>
          <c:showLegendKey val="0"/>
          <c:showVal val="0"/>
          <c:showCatName val="0"/>
          <c:showSerName val="0"/>
          <c:showPercent val="0"/>
          <c:showBubbleSize val="0"/>
        </c:dLbls>
        <c:axId val="153836928"/>
        <c:axId val="155563904"/>
      </c:scatterChart>
      <c:valAx>
        <c:axId val="15383692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Phân bố nhà máy </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63904"/>
        <c:crosses val="autoZero"/>
        <c:crossBetween val="midCat"/>
      </c:valAx>
      <c:valAx>
        <c:axId val="15556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vi-VN">
                    <a:latin typeface="+mj-lt"/>
                  </a:rPr>
                  <a:t>Sản lượng  (triệu </a:t>
                </a:r>
                <a:r>
                  <a:rPr lang="en-US">
                    <a:latin typeface="+mj-lt"/>
                  </a:rPr>
                  <a:t>lit</a:t>
                </a:r>
                <a:r>
                  <a:rPr lang="vi-VN">
                    <a:latin typeface="+mj-lt"/>
                  </a:rPr>
                  <a:t>/năm)</a:t>
                </a:r>
              </a:p>
            </c:rich>
          </c:tx>
          <c:layout>
            <c:manualLayout>
              <c:xMode val="edge"/>
              <c:yMode val="edge"/>
              <c:x val="4.1893590280687055E-3"/>
              <c:y val="2.6443231992122881E-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8369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D2D-4402-BD03-8723DDC05C8B}"/>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D2D-4402-BD03-8723DDC05C8B}"/>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D2D-4402-BD03-8723DDC05C8B}"/>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D2D-4402-BD03-8723DDC05C8B}"/>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0D2D-4402-BD03-8723DDC05C8B}"/>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0D2D-4402-BD03-8723DDC05C8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0D2D-4402-BD03-8723DDC05C8B}"/>
              </c:ext>
            </c:extLst>
          </c:dPt>
          <c:dLbls>
            <c:dLbl>
              <c:idx val="0"/>
              <c:delete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0D2D-4402-BD03-8723DDC05C8B}"/>
                </c:ext>
              </c:extLst>
            </c:dLbl>
            <c:dLbl>
              <c:idx val="1"/>
              <c:delete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0D2D-4402-BD03-8723DDC05C8B}"/>
                </c:ext>
              </c:extLst>
            </c:dLbl>
            <c:dLbl>
              <c:idx val="2"/>
              <c:delete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0D2D-4402-BD03-8723DDC05C8B}"/>
                </c:ext>
              </c:extLst>
            </c:dLbl>
            <c:dLbl>
              <c:idx val="3"/>
              <c:delete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0D2D-4402-BD03-8723DDC05C8B}"/>
                </c:ext>
              </c:extLst>
            </c:dLbl>
            <c:dLbl>
              <c:idx val="4"/>
              <c:delete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0D2D-4402-BD03-8723DDC05C8B}"/>
                </c:ext>
              </c:extLst>
            </c:dLbl>
            <c:dLbl>
              <c:idx val="5"/>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0D2D-4402-BD03-8723DDC05C8B}"/>
                </c:ext>
              </c:extLst>
            </c:dLbl>
            <c:dLbl>
              <c:idx val="6"/>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D-0D2D-4402-BD03-8723DDC05C8B}"/>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Sheet1!$B$32:$B$38</c:f>
              <c:strCache>
                <c:ptCount val="7"/>
                <c:pt idx="0">
                  <c:v>Nguồn đốt cố định</c:v>
                </c:pt>
                <c:pt idx="1">
                  <c:v>Nguồn đốt di động</c:v>
                </c:pt>
                <c:pt idx="2">
                  <c:v>Môi chất lạnh</c:v>
                </c:pt>
                <c:pt idx="3">
                  <c:v>Bình CO₂</c:v>
                </c:pt>
                <c:pt idx="4">
                  <c:v>XLNT</c:v>
                </c:pt>
                <c:pt idx="5">
                  <c:v>Điện mua</c:v>
                </c:pt>
                <c:pt idx="6">
                  <c:v>Hơi mua</c:v>
                </c:pt>
              </c:strCache>
            </c:strRef>
          </c:cat>
          <c:val>
            <c:numRef>
              <c:f>Sheet1!$I$32:$I$38</c:f>
              <c:numCache>
                <c:formatCode>0.0%</c:formatCode>
                <c:ptCount val="7"/>
                <c:pt idx="0">
                  <c:v>1.1325214469955908E-2</c:v>
                </c:pt>
                <c:pt idx="1">
                  <c:v>3.7193657465311989E-3</c:v>
                </c:pt>
                <c:pt idx="2">
                  <c:v>8.0436807811210872E-3</c:v>
                </c:pt>
                <c:pt idx="3">
                  <c:v>4.7353676534924909E-5</c:v>
                </c:pt>
                <c:pt idx="4">
                  <c:v>1.5304757323464962E-2</c:v>
                </c:pt>
                <c:pt idx="5">
                  <c:v>0.93225866779158317</c:v>
                </c:pt>
                <c:pt idx="6">
                  <c:v>2.9300960210808778E-2</c:v>
                </c:pt>
              </c:numCache>
            </c:numRef>
          </c:val>
          <c:extLst xmlns:c16r2="http://schemas.microsoft.com/office/drawing/2015/06/chart">
            <c:ext xmlns:c16="http://schemas.microsoft.com/office/drawing/2014/chart" uri="{C3380CC4-5D6E-409C-BE32-E72D297353CC}">
              <c16:uniqueId val="{0000000E-0D2D-4402-BD03-8723DDC05C8B}"/>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2464885687738658"/>
          <c:y val="7.3860008899378979E-2"/>
          <c:w val="0.34951134984095983"/>
          <c:h val="0.895277525198785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56291966571664"/>
          <c:y val="7.4399729455529251E-2"/>
          <c:w val="0.70744730528315858"/>
          <c:h val="0.48462130431193573"/>
        </c:manualLayout>
      </c:layout>
      <c:barChart>
        <c:barDir val="col"/>
        <c:grouping val="stacked"/>
        <c:varyColors val="0"/>
        <c:ser>
          <c:idx val="0"/>
          <c:order val="0"/>
          <c:tx>
            <c:strRef>
              <c:f>Sheet1!$B$32</c:f>
              <c:strCache>
                <c:ptCount val="1"/>
                <c:pt idx="0">
                  <c:v>Nguồn đốt cố định</c:v>
                </c:pt>
              </c:strCache>
            </c:strRef>
          </c:tx>
          <c:spPr>
            <a:solidFill>
              <a:schemeClr val="accent1"/>
            </a:solidFill>
            <a:ln>
              <a:noFill/>
            </a:ln>
            <a:effectLst/>
          </c:spPr>
          <c:invertIfNegative val="0"/>
          <c:cat>
            <c:strRef>
              <c:f>Sheet1!$C$31:$G$31</c:f>
              <c:strCache>
                <c:ptCount val="5"/>
                <c:pt idx="0">
                  <c:v>F1</c:v>
                </c:pt>
                <c:pt idx="1">
                  <c:v>F2</c:v>
                </c:pt>
                <c:pt idx="2">
                  <c:v>F3</c:v>
                </c:pt>
                <c:pt idx="3">
                  <c:v>F4</c:v>
                </c:pt>
                <c:pt idx="4">
                  <c:v>F5</c:v>
                </c:pt>
              </c:strCache>
            </c:strRef>
          </c:cat>
          <c:val>
            <c:numRef>
              <c:f>Sheet1!$C$32:$G$32</c:f>
              <c:numCache>
                <c:formatCode>0.00</c:formatCode>
                <c:ptCount val="5"/>
                <c:pt idx="0">
                  <c:v>0.17417283792589103</c:v>
                </c:pt>
                <c:pt idx="1">
                  <c:v>7.9462037767541446E-2</c:v>
                </c:pt>
                <c:pt idx="2">
                  <c:v>0.63075531092590009</c:v>
                </c:pt>
                <c:pt idx="3">
                  <c:v>0.45921819469125214</c:v>
                </c:pt>
                <c:pt idx="4">
                  <c:v>1.5287332360503092</c:v>
                </c:pt>
              </c:numCache>
            </c:numRef>
          </c:val>
          <c:extLst xmlns:c16r2="http://schemas.microsoft.com/office/drawing/2015/06/chart">
            <c:ext xmlns:c16="http://schemas.microsoft.com/office/drawing/2014/chart" uri="{C3380CC4-5D6E-409C-BE32-E72D297353CC}">
              <c16:uniqueId val="{00000000-9C57-454C-8897-57F18571E663}"/>
            </c:ext>
          </c:extLst>
        </c:ser>
        <c:ser>
          <c:idx val="1"/>
          <c:order val="1"/>
          <c:tx>
            <c:strRef>
              <c:f>Sheet1!$B$33</c:f>
              <c:strCache>
                <c:ptCount val="1"/>
                <c:pt idx="0">
                  <c:v>Nguồn đốt di động</c:v>
                </c:pt>
              </c:strCache>
            </c:strRef>
          </c:tx>
          <c:spPr>
            <a:solidFill>
              <a:schemeClr val="accent2"/>
            </a:solidFill>
            <a:ln>
              <a:noFill/>
            </a:ln>
            <a:effectLst/>
          </c:spPr>
          <c:invertIfNegative val="0"/>
          <c:cat>
            <c:strRef>
              <c:f>Sheet1!$C$31:$G$31</c:f>
              <c:strCache>
                <c:ptCount val="5"/>
                <c:pt idx="0">
                  <c:v>F1</c:v>
                </c:pt>
                <c:pt idx="1">
                  <c:v>F2</c:v>
                </c:pt>
                <c:pt idx="2">
                  <c:v>F3</c:v>
                </c:pt>
                <c:pt idx="3">
                  <c:v>F4</c:v>
                </c:pt>
                <c:pt idx="4">
                  <c:v>F5</c:v>
                </c:pt>
              </c:strCache>
            </c:strRef>
          </c:cat>
          <c:val>
            <c:numRef>
              <c:f>Sheet1!$C$33:$G$33</c:f>
              <c:numCache>
                <c:formatCode>0.00</c:formatCode>
                <c:ptCount val="5"/>
                <c:pt idx="0">
                  <c:v>0.9433189148240233</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1-9C57-454C-8897-57F18571E663}"/>
            </c:ext>
          </c:extLst>
        </c:ser>
        <c:ser>
          <c:idx val="2"/>
          <c:order val="2"/>
          <c:tx>
            <c:strRef>
              <c:f>Sheet1!$B$34</c:f>
              <c:strCache>
                <c:ptCount val="1"/>
                <c:pt idx="0">
                  <c:v>Môi chất lạnh</c:v>
                </c:pt>
              </c:strCache>
            </c:strRef>
          </c:tx>
          <c:spPr>
            <a:solidFill>
              <a:schemeClr val="accent3"/>
            </a:solidFill>
            <a:ln>
              <a:noFill/>
            </a:ln>
            <a:effectLst/>
          </c:spPr>
          <c:invertIfNegative val="0"/>
          <c:cat>
            <c:strRef>
              <c:f>Sheet1!$C$31:$G$31</c:f>
              <c:strCache>
                <c:ptCount val="5"/>
                <c:pt idx="0">
                  <c:v>F1</c:v>
                </c:pt>
                <c:pt idx="1">
                  <c:v>F2</c:v>
                </c:pt>
                <c:pt idx="2">
                  <c:v>F3</c:v>
                </c:pt>
                <c:pt idx="3">
                  <c:v>F4</c:v>
                </c:pt>
                <c:pt idx="4">
                  <c:v>F5</c:v>
                </c:pt>
              </c:strCache>
            </c:strRef>
          </c:cat>
          <c:val>
            <c:numRef>
              <c:f>Sheet1!$C$34:$G$34</c:f>
              <c:numCache>
                <c:formatCode>0.00</c:formatCode>
                <c:ptCount val="5"/>
                <c:pt idx="0">
                  <c:v>1.6389098498015744</c:v>
                </c:pt>
                <c:pt idx="1">
                  <c:v>7.3274613259668497E-2</c:v>
                </c:pt>
                <c:pt idx="2">
                  <c:v>0.19783911999999998</c:v>
                </c:pt>
                <c:pt idx="3">
                  <c:v>7.966495140080046E-2</c:v>
                </c:pt>
                <c:pt idx="4">
                  <c:v>5.0378708915294279E-2</c:v>
                </c:pt>
              </c:numCache>
            </c:numRef>
          </c:val>
          <c:extLst xmlns:c16r2="http://schemas.microsoft.com/office/drawing/2015/06/chart">
            <c:ext xmlns:c16="http://schemas.microsoft.com/office/drawing/2014/chart" uri="{C3380CC4-5D6E-409C-BE32-E72D297353CC}">
              <c16:uniqueId val="{00000002-9C57-454C-8897-57F18571E663}"/>
            </c:ext>
          </c:extLst>
        </c:ser>
        <c:ser>
          <c:idx val="3"/>
          <c:order val="3"/>
          <c:tx>
            <c:strRef>
              <c:f>Sheet1!$B$35</c:f>
              <c:strCache>
                <c:ptCount val="1"/>
                <c:pt idx="0">
                  <c:v>Bình CO₂</c:v>
                </c:pt>
              </c:strCache>
            </c:strRef>
          </c:tx>
          <c:spPr>
            <a:solidFill>
              <a:schemeClr val="accent4"/>
            </a:solidFill>
            <a:ln>
              <a:noFill/>
            </a:ln>
            <a:effectLst/>
          </c:spPr>
          <c:invertIfNegative val="0"/>
          <c:cat>
            <c:strRef>
              <c:f>Sheet1!$C$31:$G$31</c:f>
              <c:strCache>
                <c:ptCount val="5"/>
                <c:pt idx="0">
                  <c:v>F1</c:v>
                </c:pt>
                <c:pt idx="1">
                  <c:v>F2</c:v>
                </c:pt>
                <c:pt idx="2">
                  <c:v>F3</c:v>
                </c:pt>
                <c:pt idx="3">
                  <c:v>F4</c:v>
                </c:pt>
                <c:pt idx="4">
                  <c:v>F5</c:v>
                </c:pt>
              </c:strCache>
            </c:strRef>
          </c:cat>
          <c:val>
            <c:numRef>
              <c:f>Sheet1!$C$35:$G$35</c:f>
              <c:numCache>
                <c:formatCode>0.00</c:formatCode>
                <c:ptCount val="5"/>
                <c:pt idx="0">
                  <c:v>2.1303455187372707E-3</c:v>
                </c:pt>
                <c:pt idx="1">
                  <c:v>1.1049723756906078E-3</c:v>
                </c:pt>
                <c:pt idx="2">
                  <c:v>5.0639999999999999E-3</c:v>
                </c:pt>
                <c:pt idx="3">
                  <c:v>3.7106918238993709E-3</c:v>
                </c:pt>
                <c:pt idx="4">
                  <c:v>0</c:v>
                </c:pt>
              </c:numCache>
            </c:numRef>
          </c:val>
          <c:extLst xmlns:c16r2="http://schemas.microsoft.com/office/drawing/2015/06/chart">
            <c:ext xmlns:c16="http://schemas.microsoft.com/office/drawing/2014/chart" uri="{C3380CC4-5D6E-409C-BE32-E72D297353CC}">
              <c16:uniqueId val="{00000003-9C57-454C-8897-57F18571E663}"/>
            </c:ext>
          </c:extLst>
        </c:ser>
        <c:ser>
          <c:idx val="4"/>
          <c:order val="4"/>
          <c:tx>
            <c:strRef>
              <c:f>Sheet1!$B$36</c:f>
              <c:strCache>
                <c:ptCount val="1"/>
                <c:pt idx="0">
                  <c:v>XLNT</c:v>
                </c:pt>
              </c:strCache>
            </c:strRef>
          </c:tx>
          <c:spPr>
            <a:solidFill>
              <a:schemeClr val="accent5"/>
            </a:solidFill>
            <a:ln>
              <a:noFill/>
            </a:ln>
            <a:effectLst/>
          </c:spPr>
          <c:invertIfNegative val="0"/>
          <c:cat>
            <c:strRef>
              <c:f>Sheet1!$C$31:$G$31</c:f>
              <c:strCache>
                <c:ptCount val="5"/>
                <c:pt idx="0">
                  <c:v>F1</c:v>
                </c:pt>
                <c:pt idx="1">
                  <c:v>F2</c:v>
                </c:pt>
                <c:pt idx="2">
                  <c:v>F3</c:v>
                </c:pt>
                <c:pt idx="3">
                  <c:v>F4</c:v>
                </c:pt>
                <c:pt idx="4">
                  <c:v>F5</c:v>
                </c:pt>
              </c:strCache>
            </c:strRef>
          </c:cat>
          <c:val>
            <c:numRef>
              <c:f>Sheet1!$C$36:$G$36</c:f>
              <c:numCache>
                <c:formatCode>0.00</c:formatCode>
                <c:ptCount val="5"/>
                <c:pt idx="0">
                  <c:v>1.6193675881578695</c:v>
                </c:pt>
                <c:pt idx="1">
                  <c:v>0.59366238285082884</c:v>
                </c:pt>
                <c:pt idx="2">
                  <c:v>0.15618118195200431</c:v>
                </c:pt>
                <c:pt idx="3">
                  <c:v>0.83319246072041597</c:v>
                </c:pt>
                <c:pt idx="4">
                  <c:v>0.67924397192689878</c:v>
                </c:pt>
              </c:numCache>
            </c:numRef>
          </c:val>
          <c:extLst xmlns:c16r2="http://schemas.microsoft.com/office/drawing/2015/06/chart">
            <c:ext xmlns:c16="http://schemas.microsoft.com/office/drawing/2014/chart" uri="{C3380CC4-5D6E-409C-BE32-E72D297353CC}">
              <c16:uniqueId val="{00000004-9C57-454C-8897-57F18571E663}"/>
            </c:ext>
          </c:extLst>
        </c:ser>
        <c:ser>
          <c:idx val="5"/>
          <c:order val="5"/>
          <c:tx>
            <c:strRef>
              <c:f>Sheet1!$B$37</c:f>
              <c:strCache>
                <c:ptCount val="1"/>
                <c:pt idx="0">
                  <c:v>Điện mua</c:v>
                </c:pt>
              </c:strCache>
            </c:strRef>
          </c:tx>
          <c:spPr>
            <a:solidFill>
              <a:schemeClr val="accent6"/>
            </a:solidFill>
            <a:ln>
              <a:noFill/>
            </a:ln>
            <a:effectLst/>
          </c:spPr>
          <c:invertIfNegative val="0"/>
          <c:cat>
            <c:strRef>
              <c:f>Sheet1!$C$31:$G$31</c:f>
              <c:strCache>
                <c:ptCount val="5"/>
                <c:pt idx="0">
                  <c:v>F1</c:v>
                </c:pt>
                <c:pt idx="1">
                  <c:v>F2</c:v>
                </c:pt>
                <c:pt idx="2">
                  <c:v>F3</c:v>
                </c:pt>
                <c:pt idx="3">
                  <c:v>F4</c:v>
                </c:pt>
                <c:pt idx="4">
                  <c:v>F5</c:v>
                </c:pt>
              </c:strCache>
            </c:strRef>
          </c:cat>
          <c:val>
            <c:numRef>
              <c:f>Sheet1!$C$37:$G$37</c:f>
              <c:numCache>
                <c:formatCode>0.00</c:formatCode>
                <c:ptCount val="5"/>
                <c:pt idx="0">
                  <c:v>49.348267133291309</c:v>
                </c:pt>
                <c:pt idx="1">
                  <c:v>43.764426395580109</c:v>
                </c:pt>
                <c:pt idx="2">
                  <c:v>42.027928832000001</c:v>
                </c:pt>
                <c:pt idx="3">
                  <c:v>52.491391194968543</c:v>
                </c:pt>
                <c:pt idx="4">
                  <c:v>48.810782008597045</c:v>
                </c:pt>
              </c:numCache>
            </c:numRef>
          </c:val>
          <c:extLst xmlns:c16r2="http://schemas.microsoft.com/office/drawing/2015/06/chart">
            <c:ext xmlns:c16="http://schemas.microsoft.com/office/drawing/2014/chart" uri="{C3380CC4-5D6E-409C-BE32-E72D297353CC}">
              <c16:uniqueId val="{00000005-9C57-454C-8897-57F18571E663}"/>
            </c:ext>
          </c:extLst>
        </c:ser>
        <c:ser>
          <c:idx val="6"/>
          <c:order val="6"/>
          <c:tx>
            <c:strRef>
              <c:f>Sheet1!$B$38</c:f>
              <c:strCache>
                <c:ptCount val="1"/>
                <c:pt idx="0">
                  <c:v>Hơi mua</c:v>
                </c:pt>
              </c:strCache>
            </c:strRef>
          </c:tx>
          <c:spPr>
            <a:solidFill>
              <a:schemeClr val="accent1">
                <a:lumMod val="60000"/>
              </a:schemeClr>
            </a:solidFill>
            <a:ln>
              <a:noFill/>
            </a:ln>
            <a:effectLst/>
          </c:spPr>
          <c:invertIfNegative val="0"/>
          <c:cat>
            <c:strRef>
              <c:f>Sheet1!$C$31:$G$31</c:f>
              <c:strCache>
                <c:ptCount val="5"/>
                <c:pt idx="0">
                  <c:v>F1</c:v>
                </c:pt>
                <c:pt idx="1">
                  <c:v>F2</c:v>
                </c:pt>
                <c:pt idx="2">
                  <c:v>F3</c:v>
                </c:pt>
                <c:pt idx="3">
                  <c:v>F4</c:v>
                </c:pt>
                <c:pt idx="4">
                  <c:v>F5</c:v>
                </c:pt>
              </c:strCache>
            </c:strRef>
          </c:cat>
          <c:val>
            <c:numRef>
              <c:f>Sheet1!$C$38:$G$38</c:f>
              <c:numCache>
                <c:formatCode>0.00</c:formatCode>
                <c:ptCount val="5"/>
                <c:pt idx="0">
                  <c:v>2.4765169348955656</c:v>
                </c:pt>
                <c:pt idx="1">
                  <c:v>1.8871172202132596</c:v>
                </c:pt>
                <c:pt idx="2">
                  <c:v>0.98899169719680013</c:v>
                </c:pt>
                <c:pt idx="3">
                  <c:v>1.2935760571535213</c:v>
                </c:pt>
                <c:pt idx="4">
                  <c:v>0.78521298033493148</c:v>
                </c:pt>
              </c:numCache>
            </c:numRef>
          </c:val>
          <c:extLst xmlns:c16r2="http://schemas.microsoft.com/office/drawing/2015/06/chart">
            <c:ext xmlns:c16="http://schemas.microsoft.com/office/drawing/2014/chart" uri="{C3380CC4-5D6E-409C-BE32-E72D297353CC}">
              <c16:uniqueId val="{00000006-9C57-454C-8897-57F18571E663}"/>
            </c:ext>
          </c:extLst>
        </c:ser>
        <c:dLbls>
          <c:showLegendKey val="0"/>
          <c:showVal val="0"/>
          <c:showCatName val="0"/>
          <c:showSerName val="0"/>
          <c:showPercent val="0"/>
          <c:showBubbleSize val="0"/>
        </c:dLbls>
        <c:gapWidth val="150"/>
        <c:overlap val="100"/>
        <c:axId val="157664384"/>
        <c:axId val="157665920"/>
      </c:barChart>
      <c:catAx>
        <c:axId val="15766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665920"/>
        <c:crosses val="autoZero"/>
        <c:auto val="1"/>
        <c:lblAlgn val="ctr"/>
        <c:lblOffset val="100"/>
        <c:noMultiLvlLbl val="0"/>
      </c:catAx>
      <c:valAx>
        <c:axId val="15766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vi-VN">
                    <a:latin typeface="+mj-lt"/>
                  </a:rPr>
                  <a:t>Cường độ phát thải KNK (gCO2tđ/l)</a:t>
                </a:r>
              </a:p>
            </c:rich>
          </c:tx>
          <c:layout>
            <c:manualLayout>
              <c:xMode val="edge"/>
              <c:yMode val="edge"/>
              <c:x val="3.4113971949825295E-2"/>
              <c:y val="3.63096211889503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664384"/>
        <c:crosses val="autoZero"/>
        <c:crossBetween val="between"/>
      </c:valAx>
      <c:spPr>
        <a:noFill/>
        <a:ln>
          <a:noFill/>
        </a:ln>
        <a:effectLst/>
      </c:spPr>
    </c:plotArea>
    <c:legend>
      <c:legendPos val="b"/>
      <c:layout>
        <c:manualLayout>
          <c:xMode val="edge"/>
          <c:yMode val="edge"/>
          <c:x val="0"/>
          <c:y val="0.72693453968660426"/>
          <c:w val="0.9997423634929069"/>
          <c:h val="0.232483812152207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31127591502604"/>
          <c:y val="7.1965979718678449E-2"/>
          <c:w val="0.73738734465420741"/>
          <c:h val="0.67341663253820461"/>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Lien!$A$2:$A$30</c:f>
              <c:numCache>
                <c:formatCode>General</c:formatCode>
                <c:ptCount val="29"/>
                <c:pt idx="0">
                  <c:v>19.8</c:v>
                </c:pt>
                <c:pt idx="1">
                  <c:v>21.25</c:v>
                </c:pt>
                <c:pt idx="2">
                  <c:v>29.75</c:v>
                </c:pt>
                <c:pt idx="3">
                  <c:v>38.25</c:v>
                </c:pt>
                <c:pt idx="4">
                  <c:v>42</c:v>
                </c:pt>
                <c:pt idx="5">
                  <c:v>42.5</c:v>
                </c:pt>
                <c:pt idx="6">
                  <c:v>52.5</c:v>
                </c:pt>
                <c:pt idx="7">
                  <c:v>53.7</c:v>
                </c:pt>
                <c:pt idx="8">
                  <c:v>59</c:v>
                </c:pt>
                <c:pt idx="9">
                  <c:v>59.5</c:v>
                </c:pt>
                <c:pt idx="10">
                  <c:v>59.5</c:v>
                </c:pt>
                <c:pt idx="11">
                  <c:v>60</c:v>
                </c:pt>
                <c:pt idx="12">
                  <c:v>68</c:v>
                </c:pt>
                <c:pt idx="13">
                  <c:v>80</c:v>
                </c:pt>
                <c:pt idx="14">
                  <c:v>85</c:v>
                </c:pt>
                <c:pt idx="15">
                  <c:v>85</c:v>
                </c:pt>
                <c:pt idx="16">
                  <c:v>85</c:v>
                </c:pt>
                <c:pt idx="17">
                  <c:v>85</c:v>
                </c:pt>
                <c:pt idx="18">
                  <c:v>98</c:v>
                </c:pt>
                <c:pt idx="19">
                  <c:v>114.75</c:v>
                </c:pt>
                <c:pt idx="20">
                  <c:v>127.5</c:v>
                </c:pt>
                <c:pt idx="21">
                  <c:v>189</c:v>
                </c:pt>
                <c:pt idx="22">
                  <c:v>212.5</c:v>
                </c:pt>
                <c:pt idx="23">
                  <c:v>255</c:v>
                </c:pt>
                <c:pt idx="24">
                  <c:v>280.5</c:v>
                </c:pt>
                <c:pt idx="25">
                  <c:v>297.5</c:v>
                </c:pt>
                <c:pt idx="26">
                  <c:v>510</c:v>
                </c:pt>
                <c:pt idx="27">
                  <c:v>578</c:v>
                </c:pt>
                <c:pt idx="28">
                  <c:v>717.43510000000003</c:v>
                </c:pt>
              </c:numCache>
            </c:numRef>
          </c:xVal>
          <c:yVal>
            <c:numRef>
              <c:f>Lien!$C$2:$C$30</c:f>
              <c:numCache>
                <c:formatCode>0.0</c:formatCode>
                <c:ptCount val="29"/>
                <c:pt idx="0">
                  <c:v>39.192829676909078</c:v>
                </c:pt>
                <c:pt idx="1">
                  <c:v>61.53904160447059</c:v>
                </c:pt>
                <c:pt idx="2">
                  <c:v>53.601775187455459</c:v>
                </c:pt>
                <c:pt idx="3">
                  <c:v>62.262049239288885</c:v>
                </c:pt>
                <c:pt idx="4">
                  <c:v>70.312234912523806</c:v>
                </c:pt>
                <c:pt idx="5">
                  <c:v>98.202278118635292</c:v>
                </c:pt>
                <c:pt idx="6">
                  <c:v>106.93063584008762</c:v>
                </c:pt>
                <c:pt idx="7">
                  <c:v>98.697463059880818</c:v>
                </c:pt>
                <c:pt idx="8">
                  <c:v>73.041303221640007</c:v>
                </c:pt>
                <c:pt idx="9">
                  <c:v>91.878094488353767</c:v>
                </c:pt>
                <c:pt idx="10">
                  <c:v>88.294083920147898</c:v>
                </c:pt>
                <c:pt idx="11">
                  <c:v>78.301002347670007</c:v>
                </c:pt>
                <c:pt idx="12">
                  <c:v>56.621003408505878</c:v>
                </c:pt>
                <c:pt idx="13">
                  <c:v>89.706617757819998</c:v>
                </c:pt>
                <c:pt idx="14">
                  <c:v>66.107171736828249</c:v>
                </c:pt>
                <c:pt idx="15">
                  <c:v>70.956685094400001</c:v>
                </c:pt>
                <c:pt idx="16">
                  <c:v>71.200878091156468</c:v>
                </c:pt>
                <c:pt idx="17">
                  <c:v>93.070286432578811</c:v>
                </c:pt>
                <c:pt idx="18">
                  <c:v>88.831647064155504</c:v>
                </c:pt>
                <c:pt idx="19">
                  <c:v>83.497014069279999</c:v>
                </c:pt>
                <c:pt idx="20">
                  <c:v>57.195191205656464</c:v>
                </c:pt>
                <c:pt idx="21">
                  <c:v>29.735115983153438</c:v>
                </c:pt>
                <c:pt idx="22">
                  <c:v>57.829739935520003</c:v>
                </c:pt>
                <c:pt idx="23">
                  <c:v>44.823670886425489</c:v>
                </c:pt>
                <c:pt idx="24">
                  <c:v>36.242953481882772</c:v>
                </c:pt>
                <c:pt idx="25">
                  <c:v>37.213805199304367</c:v>
                </c:pt>
                <c:pt idx="26">
                  <c:v>45.458936405656061</c:v>
                </c:pt>
                <c:pt idx="27">
                  <c:v>60.606509927691498</c:v>
                </c:pt>
                <c:pt idx="28">
                  <c:v>40.480225510408957</c:v>
                </c:pt>
              </c:numCache>
            </c:numRef>
          </c:yVal>
          <c:smooth val="0"/>
          <c:extLst xmlns:c16r2="http://schemas.microsoft.com/office/drawing/2015/06/chart">
            <c:ext xmlns:c16="http://schemas.microsoft.com/office/drawing/2014/chart" uri="{C3380CC4-5D6E-409C-BE32-E72D297353CC}">
              <c16:uniqueId val="{00000000-0FB4-4581-82AE-B86D9677B713}"/>
            </c:ext>
          </c:extLst>
        </c:ser>
        <c:dLbls>
          <c:showLegendKey val="0"/>
          <c:showVal val="0"/>
          <c:showCatName val="0"/>
          <c:showSerName val="0"/>
          <c:showPercent val="0"/>
          <c:showBubbleSize val="0"/>
        </c:dLbls>
        <c:axId val="156281856"/>
        <c:axId val="157791744"/>
      </c:scatterChart>
      <c:valAx>
        <c:axId val="156281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vi-VN">
                    <a:latin typeface="+mj-lt"/>
                  </a:rPr>
                  <a:t>Sản lượng nhà máy khảo sát (</a:t>
                </a:r>
                <a:r>
                  <a:rPr lang="en-US">
                    <a:latin typeface="+mj-lt"/>
                  </a:rPr>
                  <a:t>Triệu</a:t>
                </a:r>
                <a:r>
                  <a:rPr lang="en-US" baseline="0">
                    <a:latin typeface="+mj-lt"/>
                  </a:rPr>
                  <a:t> lit/năm)</a:t>
                </a:r>
                <a:endParaRPr lang="vi-VN">
                  <a:latin typeface="+mj-l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91744"/>
        <c:crosses val="autoZero"/>
        <c:crossBetween val="midCat"/>
      </c:valAx>
      <c:valAx>
        <c:axId val="15779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vi-VN">
                    <a:latin typeface="+mj-lt"/>
                  </a:rPr>
                  <a:t>Cường độ phát thải (gCO2tđ/l)</a:t>
                </a:r>
              </a:p>
            </c:rich>
          </c:tx>
          <c:overlay val="0"/>
          <c:spPr>
            <a:noFill/>
            <a:ln>
              <a:noFill/>
            </a:ln>
            <a:effectLst/>
          </c:sp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28185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6732328944057"/>
          <c:y val="7.0603337612323486E-2"/>
          <c:w val="0.74360179371109614"/>
          <c:h val="0.64891997614547214"/>
        </c:manualLayout>
      </c:layout>
      <c:scatterChart>
        <c:scatterStyle val="smoothMarker"/>
        <c:varyColors val="0"/>
        <c:ser>
          <c:idx val="0"/>
          <c:order val="0"/>
          <c:spPr>
            <a:ln w="19050" cap="rnd">
              <a:solidFill>
                <a:schemeClr val="accent1"/>
              </a:solidFill>
              <a:round/>
            </a:ln>
            <a:effectLst/>
          </c:spPr>
          <c:marker>
            <c:symbol val="circle"/>
            <c:size val="3"/>
            <c:spPr>
              <a:solidFill>
                <a:schemeClr val="accent1"/>
              </a:solidFill>
              <a:ln w="9525">
                <a:solidFill>
                  <a:schemeClr val="accent1"/>
                </a:solidFill>
              </a:ln>
              <a:effectLst/>
            </c:spPr>
          </c:marker>
          <c:xVal>
            <c:numRef>
              <c:f>Lien!$C$103:$C$131</c:f>
              <c:numCache>
                <c:formatCode>0%</c:formatCode>
                <c:ptCount val="29"/>
                <c:pt idx="0">
                  <c:v>3.4482758620689655E-2</c:v>
                </c:pt>
                <c:pt idx="1">
                  <c:v>6.8965517241379309E-2</c:v>
                </c:pt>
                <c:pt idx="2">
                  <c:v>0.10344827586206896</c:v>
                </c:pt>
                <c:pt idx="3">
                  <c:v>0.13793103448275862</c:v>
                </c:pt>
                <c:pt idx="4">
                  <c:v>0.17241379310344829</c:v>
                </c:pt>
                <c:pt idx="5">
                  <c:v>0.20689655172413793</c:v>
                </c:pt>
                <c:pt idx="6">
                  <c:v>0.2413793103448276</c:v>
                </c:pt>
                <c:pt idx="7">
                  <c:v>0.27586206896551724</c:v>
                </c:pt>
                <c:pt idx="8">
                  <c:v>0.31034482758620691</c:v>
                </c:pt>
                <c:pt idx="9">
                  <c:v>0.34482758620689657</c:v>
                </c:pt>
                <c:pt idx="10">
                  <c:v>0.37931034482758619</c:v>
                </c:pt>
                <c:pt idx="11">
                  <c:v>0.41379310344827586</c:v>
                </c:pt>
                <c:pt idx="12">
                  <c:v>0.44827586206896552</c:v>
                </c:pt>
                <c:pt idx="13">
                  <c:v>0.48275862068965519</c:v>
                </c:pt>
                <c:pt idx="14">
                  <c:v>0.51724137931034486</c:v>
                </c:pt>
                <c:pt idx="15">
                  <c:v>0.55172413793103448</c:v>
                </c:pt>
                <c:pt idx="16">
                  <c:v>0.58620689655172409</c:v>
                </c:pt>
                <c:pt idx="17">
                  <c:v>0.62068965517241381</c:v>
                </c:pt>
                <c:pt idx="18">
                  <c:v>0.65517241379310343</c:v>
                </c:pt>
                <c:pt idx="19">
                  <c:v>0.68965517241379315</c:v>
                </c:pt>
                <c:pt idx="20">
                  <c:v>0.72413793103448276</c:v>
                </c:pt>
                <c:pt idx="21">
                  <c:v>0.75862068965517238</c:v>
                </c:pt>
                <c:pt idx="22">
                  <c:v>0.7931034482758621</c:v>
                </c:pt>
                <c:pt idx="23">
                  <c:v>0.82758620689655171</c:v>
                </c:pt>
                <c:pt idx="24">
                  <c:v>0.86206896551724133</c:v>
                </c:pt>
                <c:pt idx="25">
                  <c:v>0.89655172413793105</c:v>
                </c:pt>
                <c:pt idx="26">
                  <c:v>0.93103448275862066</c:v>
                </c:pt>
                <c:pt idx="27">
                  <c:v>0.96551724137931039</c:v>
                </c:pt>
                <c:pt idx="28">
                  <c:v>1</c:v>
                </c:pt>
              </c:numCache>
            </c:numRef>
          </c:xVal>
          <c:yVal>
            <c:numRef>
              <c:f>Lien!$H$103:$H$131</c:f>
              <c:numCache>
                <c:formatCode>General</c:formatCode>
                <c:ptCount val="29"/>
                <c:pt idx="0">
                  <c:v>29.735115983153438</c:v>
                </c:pt>
                <c:pt idx="1">
                  <c:v>36.242953481882779</c:v>
                </c:pt>
                <c:pt idx="2">
                  <c:v>37.213805199304375</c:v>
                </c:pt>
                <c:pt idx="3">
                  <c:v>39.192829676909085</c:v>
                </c:pt>
                <c:pt idx="4">
                  <c:v>40.48022551040895</c:v>
                </c:pt>
                <c:pt idx="5">
                  <c:v>44.823670886425489</c:v>
                </c:pt>
                <c:pt idx="6">
                  <c:v>45.458936405656054</c:v>
                </c:pt>
                <c:pt idx="7">
                  <c:v>53.601775187455459</c:v>
                </c:pt>
                <c:pt idx="8">
                  <c:v>56.621003408505885</c:v>
                </c:pt>
                <c:pt idx="9">
                  <c:v>57.195191205656464</c:v>
                </c:pt>
                <c:pt idx="10">
                  <c:v>57.829739935519996</c:v>
                </c:pt>
                <c:pt idx="11">
                  <c:v>60.606509927691491</c:v>
                </c:pt>
                <c:pt idx="12">
                  <c:v>61.53904160447059</c:v>
                </c:pt>
                <c:pt idx="13">
                  <c:v>62.262049239288885</c:v>
                </c:pt>
                <c:pt idx="14">
                  <c:v>66.107171736828249</c:v>
                </c:pt>
                <c:pt idx="15">
                  <c:v>70.312234912523806</c:v>
                </c:pt>
                <c:pt idx="16">
                  <c:v>70.956685094400001</c:v>
                </c:pt>
                <c:pt idx="17">
                  <c:v>71.200878091156468</c:v>
                </c:pt>
                <c:pt idx="18">
                  <c:v>73.041303221640007</c:v>
                </c:pt>
                <c:pt idx="19">
                  <c:v>78.301002347669993</c:v>
                </c:pt>
                <c:pt idx="20">
                  <c:v>83.497014069279999</c:v>
                </c:pt>
                <c:pt idx="21">
                  <c:v>88.294083920147898</c:v>
                </c:pt>
                <c:pt idx="22">
                  <c:v>88.831647064155504</c:v>
                </c:pt>
                <c:pt idx="23">
                  <c:v>89.706617757819998</c:v>
                </c:pt>
                <c:pt idx="24">
                  <c:v>91.878094488353781</c:v>
                </c:pt>
                <c:pt idx="25">
                  <c:v>93.070286432578811</c:v>
                </c:pt>
                <c:pt idx="26">
                  <c:v>98.202278118635306</c:v>
                </c:pt>
                <c:pt idx="27">
                  <c:v>98.697463059880818</c:v>
                </c:pt>
                <c:pt idx="28">
                  <c:v>106.93063584008762</c:v>
                </c:pt>
              </c:numCache>
            </c:numRef>
          </c:yVal>
          <c:smooth val="1"/>
          <c:extLst xmlns:c16r2="http://schemas.microsoft.com/office/drawing/2015/06/chart">
            <c:ext xmlns:c16="http://schemas.microsoft.com/office/drawing/2014/chart" uri="{C3380CC4-5D6E-409C-BE32-E72D297353CC}">
              <c16:uniqueId val="{00000000-1949-4A7F-B072-83FFA4B37949}"/>
            </c:ext>
          </c:extLst>
        </c:ser>
        <c:dLbls>
          <c:showLegendKey val="0"/>
          <c:showVal val="0"/>
          <c:showCatName val="0"/>
          <c:showSerName val="0"/>
          <c:showPercent val="0"/>
          <c:showBubbleSize val="0"/>
        </c:dLbls>
        <c:axId val="157394432"/>
        <c:axId val="157396992"/>
      </c:scatterChart>
      <c:valAx>
        <c:axId val="15739443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Phân bố nhà máy</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96992"/>
        <c:crosses val="autoZero"/>
        <c:crossBetween val="midCat"/>
      </c:valAx>
      <c:valAx>
        <c:axId val="15739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vi-VN">
                    <a:latin typeface="+mj-lt"/>
                  </a:rPr>
                  <a:t>Cường độ phát thải (gCO2/lit)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39443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721D2-897E-4436-8A42-022EC8E8F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admin12</cp:lastModifiedBy>
  <cp:revision>3</cp:revision>
  <dcterms:created xsi:type="dcterms:W3CDTF">2026-07-23T08:34:00Z</dcterms:created>
  <dcterms:modified xsi:type="dcterms:W3CDTF">2026-07-27T08:17:00Z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2026-07-21T00:00:00Z</vt:filetime>
  </property>
  <property fmtid="{D5CDD505-2E9C-101B-9397-08002B2CF9AE}" pid="4" name="Creator">
    <vt:lpwstr>Adobe InDesign 16.2 (Windows)</vt:lpwstr>
  </property>
  <property fmtid="{D5CDD505-2E9C-101B-9397-08002B2CF9AE}" pid="5" name="LastSaved">
    <vt:filetime>2026-07-21T00:00:00Z</vt:filetime>
  </property>
  <property fmtid="{D5CDD505-2E9C-101B-9397-08002B2CF9AE}" pid="6" name="Producer">
    <vt:lpwstr>Adobe PDF Library 15.0</vt:lpwstr>
  </property>
</Properties>
</file>