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A261" w14:textId="77777777" w:rsidR="002B1C30" w:rsidRDefault="002B1C30" w:rsidP="005F6514">
      <w:pPr>
        <w:spacing w:after="0" w:line="240" w:lineRule="auto"/>
        <w:jc w:val="center"/>
        <w:rPr>
          <w:rFonts w:ascii="Times New Roman" w:eastAsia="source serif 4" w:hAnsi="Times New Roman" w:cs="Times New Roman"/>
          <w:b/>
          <w:bCs/>
          <w:color w:val="000000"/>
          <w:sz w:val="26"/>
          <w:szCs w:val="26"/>
        </w:rPr>
      </w:pPr>
      <w:bookmarkStart w:id="0" w:name="bm_2_tổng_quan_nghiên_cứu_và_cơ_s_a19bc6"/>
    </w:p>
    <w:p w14:paraId="2DE59EAB" w14:textId="7C0A833A" w:rsidR="002B1C30" w:rsidRDefault="002B1C30" w:rsidP="005F6514">
      <w:pPr>
        <w:spacing w:after="0" w:line="240" w:lineRule="auto"/>
        <w:jc w:val="center"/>
        <w:rPr>
          <w:rFonts w:ascii="Times New Roman" w:eastAsia="source serif 4" w:hAnsi="Times New Roman" w:cs="Times New Roman"/>
          <w:b/>
          <w:bCs/>
          <w:color w:val="000000"/>
          <w:sz w:val="26"/>
          <w:szCs w:val="26"/>
        </w:rPr>
      </w:pPr>
      <w:r w:rsidRPr="002B1C30">
        <w:rPr>
          <w:rFonts w:ascii="Times New Roman" w:eastAsia="source serif 4" w:hAnsi="Times New Roman" w:cs="Times New Roman"/>
          <w:b/>
          <w:bCs/>
          <w:color w:val="000000"/>
          <w:sz w:val="26"/>
          <w:szCs w:val="26"/>
        </w:rPr>
        <w:t xml:space="preserve">Chiến lược thích ứng với hiệu ứng Brussels trong ngành gia công phần mềm và dịch vụ công nghệ thông tin: Bài học từ Ấn Độ, Philippines và hàm ý </w:t>
      </w:r>
      <w:r>
        <w:rPr>
          <w:rFonts w:ascii="Times New Roman" w:eastAsia="source serif 4" w:hAnsi="Times New Roman" w:cs="Times New Roman"/>
          <w:b/>
          <w:bCs/>
          <w:color w:val="000000"/>
          <w:sz w:val="26"/>
          <w:szCs w:val="26"/>
        </w:rPr>
        <w:t xml:space="preserve">chính sách </w:t>
      </w:r>
      <w:r w:rsidRPr="002B1C30">
        <w:rPr>
          <w:rFonts w:ascii="Times New Roman" w:eastAsia="source serif 4" w:hAnsi="Times New Roman" w:cs="Times New Roman"/>
          <w:b/>
          <w:bCs/>
          <w:color w:val="000000"/>
          <w:sz w:val="26"/>
          <w:szCs w:val="26"/>
        </w:rPr>
        <w:t>cho Việt Nam</w:t>
      </w:r>
    </w:p>
    <w:p w14:paraId="21E81837" w14:textId="77777777" w:rsidR="002B1C30" w:rsidRDefault="002B1C30" w:rsidP="005F6514">
      <w:pPr>
        <w:spacing w:after="0" w:line="240" w:lineRule="auto"/>
        <w:jc w:val="center"/>
        <w:rPr>
          <w:rFonts w:ascii="Times New Roman" w:eastAsia="source serif 4" w:hAnsi="Times New Roman" w:cs="Times New Roman"/>
          <w:b/>
          <w:bCs/>
          <w:color w:val="000000"/>
          <w:sz w:val="26"/>
          <w:szCs w:val="26"/>
        </w:rPr>
      </w:pPr>
    </w:p>
    <w:p w14:paraId="0A60CD65" w14:textId="77777777" w:rsidR="002B1C30" w:rsidRPr="005F6514" w:rsidRDefault="002B1C30" w:rsidP="005F6514">
      <w:pPr>
        <w:spacing w:after="0" w:line="240" w:lineRule="auto"/>
        <w:jc w:val="center"/>
        <w:rPr>
          <w:rFonts w:ascii="Times New Roman" w:eastAsia="source serif 4" w:hAnsi="Times New Roman" w:cs="Times New Roman"/>
          <w:b/>
          <w:bCs/>
          <w:color w:val="000000"/>
          <w:sz w:val="26"/>
          <w:szCs w:val="26"/>
        </w:rPr>
      </w:pPr>
    </w:p>
    <w:p w14:paraId="4B16E043" w14:textId="77777777" w:rsidR="000A7317" w:rsidRPr="005F6514" w:rsidRDefault="000A7317" w:rsidP="005F6514">
      <w:pPr>
        <w:spacing w:after="0" w:line="240" w:lineRule="auto"/>
        <w:jc w:val="right"/>
        <w:rPr>
          <w:rFonts w:ascii="Times New Roman" w:eastAsia="source serif 4" w:hAnsi="Times New Roman" w:cs="Times New Roman"/>
          <w:b/>
          <w:bCs/>
          <w:color w:val="000000"/>
          <w:sz w:val="26"/>
          <w:szCs w:val="26"/>
        </w:rPr>
      </w:pPr>
      <w:r>
        <w:rPr>
          <w:rFonts w:ascii="Times New Roman" w:eastAsia="source serif 4" w:hAnsi="Times New Roman" w:cs="Times New Roman"/>
          <w:b/>
          <w:bCs/>
          <w:color w:val="000000"/>
          <w:sz w:val="26"/>
          <w:szCs w:val="26"/>
        </w:rPr>
        <w:t>Lê Hoàng Minh</w:t>
      </w:r>
    </w:p>
    <w:p w14:paraId="47A65629" w14:textId="77777777" w:rsidR="000A7317" w:rsidRPr="005F6514" w:rsidRDefault="000A7317" w:rsidP="005F6514">
      <w:pPr>
        <w:spacing w:after="0" w:line="240" w:lineRule="auto"/>
        <w:ind w:firstLine="567"/>
        <w:jc w:val="right"/>
        <w:rPr>
          <w:rFonts w:ascii="Times New Roman" w:eastAsia="source serif 4" w:hAnsi="Times New Roman" w:cs="Times New Roman"/>
          <w:b/>
          <w:bCs/>
          <w:color w:val="000000"/>
          <w:sz w:val="26"/>
          <w:szCs w:val="26"/>
        </w:rPr>
      </w:pPr>
      <w:r>
        <w:rPr>
          <w:rFonts w:ascii="Times New Roman" w:eastAsia="source serif 4" w:hAnsi="Times New Roman" w:cs="Times New Roman"/>
          <w:b/>
          <w:bCs/>
          <w:color w:val="000000"/>
          <w:sz w:val="26"/>
          <w:szCs w:val="26"/>
        </w:rPr>
        <w:t>Thương vụ Việt Nam tại Tây Ban Nha</w:t>
      </w:r>
    </w:p>
    <w:p w14:paraId="53444B58" w14:textId="77777777" w:rsidR="000A7317" w:rsidRPr="005F6514" w:rsidRDefault="000A7317" w:rsidP="005F6514">
      <w:pPr>
        <w:spacing w:after="0" w:line="240" w:lineRule="auto"/>
        <w:ind w:firstLine="567"/>
        <w:jc w:val="right"/>
        <w:rPr>
          <w:rFonts w:ascii="Times New Roman" w:eastAsia="source serif 4" w:hAnsi="Times New Roman" w:cs="Times New Roman"/>
          <w:b/>
          <w:bCs/>
          <w:color w:val="000000"/>
          <w:sz w:val="26"/>
          <w:szCs w:val="26"/>
        </w:rPr>
      </w:pPr>
      <w:r>
        <w:rPr>
          <w:rFonts w:ascii="Times New Roman" w:eastAsia="source serif 4" w:hAnsi="Times New Roman" w:cs="Times New Roman"/>
          <w:b/>
          <w:bCs/>
          <w:color w:val="000000"/>
          <w:sz w:val="26"/>
          <w:szCs w:val="26"/>
        </w:rPr>
        <w:t>Email: minhleh.moit@gmail.com</w:t>
      </w:r>
    </w:p>
    <w:p w14:paraId="5BAC2483" w14:textId="77777777" w:rsidR="001F73F3" w:rsidRDefault="001F73F3" w:rsidP="005F6514">
      <w:pPr>
        <w:spacing w:after="0" w:line="240" w:lineRule="auto"/>
        <w:ind w:firstLine="567"/>
        <w:jc w:val="both"/>
        <w:rPr>
          <w:rFonts w:ascii="Times New Roman" w:eastAsia="source serif 4" w:hAnsi="Times New Roman" w:cs="Times New Roman"/>
          <w:i/>
          <w:iCs/>
          <w:color w:val="000000"/>
          <w:sz w:val="26"/>
          <w:szCs w:val="26"/>
        </w:rPr>
      </w:pPr>
    </w:p>
    <w:p w14:paraId="7E0B50BF" w14:textId="6CA6F259" w:rsidR="000A7317" w:rsidRPr="005F6514" w:rsidRDefault="000A7317" w:rsidP="005F6514">
      <w:pPr>
        <w:spacing w:after="0" w:line="240" w:lineRule="auto"/>
        <w:ind w:firstLine="567"/>
        <w:jc w:val="both"/>
        <w:rPr>
          <w:rFonts w:ascii="Times New Roman" w:eastAsia="source serif 4" w:hAnsi="Times New Roman" w:cs="Times New Roman"/>
          <w:i/>
          <w:iCs/>
          <w:color w:val="000000"/>
          <w:sz w:val="26"/>
          <w:szCs w:val="26"/>
        </w:rPr>
      </w:pPr>
      <w:r>
        <w:rPr>
          <w:rFonts w:ascii="Times New Roman" w:eastAsia="source serif 4" w:hAnsi="Times New Roman" w:cs="Times New Roman"/>
          <w:i/>
          <w:iCs/>
          <w:color w:val="000000"/>
          <w:sz w:val="26"/>
          <w:szCs w:val="26"/>
        </w:rPr>
        <w:t>Tóm tắt:</w:t>
      </w:r>
    </w:p>
    <w:p w14:paraId="1325B12A" w14:textId="1F3DA5A5" w:rsidR="000A7317" w:rsidRPr="002B1C30" w:rsidRDefault="000A7317" w:rsidP="002B1C30">
      <w:pPr>
        <w:spacing w:after="0" w:line="240" w:lineRule="auto"/>
        <w:jc w:val="both"/>
        <w:rPr>
          <w:rFonts w:ascii="Times New Roman" w:eastAsia="source serif 4" w:hAnsi="Times New Roman" w:cs="Times New Roman"/>
          <w:color w:val="000000"/>
          <w:sz w:val="26"/>
          <w:szCs w:val="26"/>
        </w:rPr>
      </w:pPr>
      <w:r w:rsidRPr="002B1C30">
        <w:rPr>
          <w:rFonts w:ascii="Times New Roman" w:eastAsia="source serif 4" w:hAnsi="Times New Roman" w:cs="Times New Roman"/>
          <w:color w:val="000000"/>
          <w:sz w:val="26"/>
          <w:szCs w:val="26"/>
        </w:rPr>
        <w:t xml:space="preserve">Hiệu ứng Brussels chỉ khả năng của Liên minh Châu Âu (EU) trong việc lan tỏa các tiêu chuẩn pháp lý ra toàn cầu. Quy định chung về Bảo vệ dữ liệu của EU (GDPR) đã biến việc tuân thủ quy định quyền riêng tư thành điều kiện bắt buộc để tiếp cận thị trường. Đối với ngành gia công phần mềm và dịch vụ công nghệ thông tin (IT Outsourcing), Hiệu ứng Brussels không chỉ tạo ra chi phí thích ứng mà còn tái định hình lợi thế cạnh tranh: khả năng chứng minh tính tuân thủ minh bạch </w:t>
      </w:r>
      <w:r w:rsidR="00FE2696" w:rsidRPr="002B1C30">
        <w:rPr>
          <w:rFonts w:ascii="Times New Roman" w:eastAsia="source serif 4" w:hAnsi="Times New Roman" w:cs="Times New Roman"/>
          <w:color w:val="000000"/>
          <w:sz w:val="26"/>
          <w:szCs w:val="26"/>
        </w:rPr>
        <w:t>ngày</w:t>
      </w:r>
      <w:r w:rsidR="00FE2696" w:rsidRPr="002B1C30">
        <w:rPr>
          <w:rFonts w:ascii="Times New Roman" w:eastAsia="source serif 4" w:hAnsi="Times New Roman" w:cs="Times New Roman"/>
          <w:color w:val="000000"/>
          <w:sz w:val="26"/>
          <w:szCs w:val="26"/>
          <w:lang w:val="vi-VN"/>
        </w:rPr>
        <w:t xml:space="preserve"> càng được</w:t>
      </w:r>
      <w:r w:rsidR="00912CF7" w:rsidRPr="002B1C30">
        <w:rPr>
          <w:rFonts w:ascii="Times New Roman" w:eastAsia="source serif 4" w:hAnsi="Times New Roman" w:cs="Times New Roman"/>
          <w:color w:val="000000"/>
          <w:sz w:val="26"/>
          <w:szCs w:val="26"/>
          <w:lang w:val="vi-VN"/>
        </w:rPr>
        <w:t xml:space="preserve"> nhiều doanh nghiệp và tổ chức</w:t>
      </w:r>
      <w:r w:rsidR="00FE2696" w:rsidRPr="002B1C30">
        <w:rPr>
          <w:rFonts w:ascii="Times New Roman" w:eastAsia="source serif 4" w:hAnsi="Times New Roman" w:cs="Times New Roman"/>
          <w:color w:val="000000"/>
          <w:sz w:val="26"/>
          <w:szCs w:val="26"/>
          <w:lang w:val="vi-VN"/>
        </w:rPr>
        <w:t xml:space="preserve"> xem là một yếu tố hỗ trợ năng lực cạnh tranh</w:t>
      </w:r>
      <w:r w:rsidRPr="002B1C30">
        <w:rPr>
          <w:rFonts w:ascii="Times New Roman" w:eastAsia="source serif 4" w:hAnsi="Times New Roman" w:cs="Times New Roman"/>
          <w:color w:val="000000"/>
          <w:sz w:val="26"/>
          <w:szCs w:val="26"/>
        </w:rPr>
        <w:t xml:space="preserve">. Nghiên cứu này nhằm mục đích giải mã các cơ chế thích ứng với tiêu chuẩn dữ liệu châu Âu tại một số quốc gia đang phát triển. Bài viết khảo sát các chiến lược ứng phó trong ngành IT outsourcing tại hai quốc gia: Ấn Độ và Philippines. Từ đó, nghiên cứu rút ra hàm ý chính sách cho Việt Nam. </w:t>
      </w:r>
    </w:p>
    <w:p w14:paraId="280A62D0" w14:textId="77777777" w:rsidR="000A7317" w:rsidRPr="000A7317" w:rsidRDefault="000A7317" w:rsidP="005F6514">
      <w:pPr>
        <w:spacing w:after="0" w:line="240" w:lineRule="auto"/>
        <w:ind w:firstLine="567"/>
        <w:jc w:val="both"/>
        <w:rPr>
          <w:rFonts w:ascii="Times New Roman" w:eastAsia="source serif 4" w:hAnsi="Times New Roman" w:cs="Times New Roman"/>
          <w:color w:val="000000"/>
          <w:sz w:val="26"/>
          <w:szCs w:val="26"/>
        </w:rPr>
      </w:pPr>
      <w:r>
        <w:rPr>
          <w:rFonts w:ascii="Times New Roman" w:eastAsia="source serif 4" w:hAnsi="Times New Roman" w:cs="Times New Roman"/>
          <w:color w:val="000000"/>
          <w:sz w:val="26"/>
          <w:szCs w:val="26"/>
        </w:rPr>
        <w:t>Từ khóa: hiệu ứng Brussels, GDPR, IT Outsourcing, bảo vệ dữ liệu, EVFTA, Việt Nam.</w:t>
      </w:r>
    </w:p>
    <w:p w14:paraId="317D9523" w14:textId="77777777" w:rsidR="000A7317" w:rsidRPr="000A7317" w:rsidRDefault="000A7317" w:rsidP="005F6514">
      <w:pPr>
        <w:pStyle w:val="Heading2"/>
        <w:ind w:firstLine="567"/>
        <w:jc w:val="both"/>
      </w:pPr>
      <w:r>
        <w:t>1. Đặt vấn đề</w:t>
      </w:r>
    </w:p>
    <w:p w14:paraId="39CF35CF" w14:textId="78A468B3" w:rsidR="000A7317" w:rsidRPr="002B1C30" w:rsidRDefault="000A7317" w:rsidP="005F6514">
      <w:pPr>
        <w:spacing w:after="0" w:line="240" w:lineRule="auto"/>
        <w:ind w:firstLine="567"/>
        <w:jc w:val="both"/>
        <w:rPr>
          <w:rFonts w:ascii="Times New Roman" w:eastAsia="source serif 4" w:hAnsi="Times New Roman" w:cs="Times New Roman"/>
          <w:color w:val="000000"/>
          <w:sz w:val="26"/>
          <w:szCs w:val="26"/>
          <w:lang w:val="vi-VN"/>
        </w:rPr>
      </w:pPr>
      <w:r w:rsidRPr="002B1C30">
        <w:rPr>
          <w:rFonts w:ascii="Times New Roman" w:eastAsia="source serif 4" w:hAnsi="Times New Roman" w:cs="Times New Roman"/>
          <w:color w:val="000000"/>
          <w:sz w:val="26"/>
          <w:szCs w:val="26"/>
          <w:lang w:val="vi-VN"/>
        </w:rPr>
        <w:t xml:space="preserve">Sự phát triển của thương mại kỹ thuật số đang làm thay đổi mối quan hệ giữa chủ quyền pháp lý và năng lực cạnh tranh quốc gia. Trong bối cảnh đó, lợi thế cạnh tranh không còn chỉ được đo bằng chi phí lao động, quy mô thị trường hay nguồn nhân lực, mà còn </w:t>
      </w:r>
      <w:r w:rsidR="00912CF7" w:rsidRPr="002B1C30">
        <w:rPr>
          <w:rFonts w:ascii="Times New Roman" w:eastAsia="source serif 4" w:hAnsi="Times New Roman" w:cs="Times New Roman"/>
          <w:color w:val="000000"/>
          <w:sz w:val="26"/>
          <w:szCs w:val="26"/>
          <w:lang w:val="vi-VN"/>
        </w:rPr>
        <w:t>chịu</w:t>
      </w:r>
      <w:r w:rsidR="00912CF7">
        <w:rPr>
          <w:rFonts w:ascii="Times New Roman" w:eastAsia="source serif 4" w:hAnsi="Times New Roman" w:cs="Times New Roman"/>
          <w:color w:val="000000"/>
          <w:sz w:val="26"/>
          <w:szCs w:val="26"/>
          <w:lang w:val="vi-VN"/>
        </w:rPr>
        <w:t xml:space="preserve"> ảnh hưởng bởi</w:t>
      </w:r>
      <w:r w:rsidRPr="002B1C30">
        <w:rPr>
          <w:rFonts w:ascii="Times New Roman" w:eastAsia="source serif 4" w:hAnsi="Times New Roman" w:cs="Times New Roman"/>
          <w:color w:val="000000"/>
          <w:sz w:val="26"/>
          <w:szCs w:val="26"/>
          <w:lang w:val="vi-VN"/>
        </w:rPr>
        <w:t xml:space="preserve"> khả năng kiến tạo một môi trường pháp lý an toàn, minh bạch và tương thích với các chuẩn mực quản trị dữ liệu ngày càng khắt khe của thị trường quốc tế. Đối với Liên minh châu Âu, ảnh hưởng quy phạm này thể hiện rõ qua việc các quy định được ban hành cho thị trường nội khối có thể tác động đến quyết định chiến lược của doanh nghiệp tại các nước thứ ba đang muốn duy trì hiện diện thương mại hoặc tham gia vào chuỗi cung ứng số gắn với EU.</w:t>
      </w:r>
    </w:p>
    <w:p w14:paraId="5D5014B9" w14:textId="77777777" w:rsidR="000A7317" w:rsidRPr="002B1C30" w:rsidRDefault="000A7317" w:rsidP="005F6514">
      <w:pPr>
        <w:spacing w:after="0" w:line="240" w:lineRule="auto"/>
        <w:ind w:firstLine="567"/>
        <w:jc w:val="both"/>
        <w:rPr>
          <w:rFonts w:ascii="Times New Roman" w:eastAsia="source serif 4" w:hAnsi="Times New Roman" w:cs="Times New Roman"/>
          <w:color w:val="000000"/>
          <w:sz w:val="26"/>
          <w:szCs w:val="26"/>
          <w:lang w:val="vi-VN"/>
        </w:rPr>
      </w:pPr>
      <w:r w:rsidRPr="002B1C30">
        <w:rPr>
          <w:rFonts w:ascii="Times New Roman" w:eastAsia="source serif 4" w:hAnsi="Times New Roman" w:cs="Times New Roman"/>
          <w:color w:val="000000"/>
          <w:sz w:val="26"/>
          <w:szCs w:val="26"/>
          <w:lang w:val="vi-VN"/>
        </w:rPr>
        <w:t>Xu hướng này thể hiện đặc biệt rõ trong ngành gia công phần mềm và dịch vụ công nghệ thông tin. Khi các doanh nghiệp ngoài EU cung cấp dịch vụ như xử lý dữ liệu, phát triển phần mềm, quản trị hạ tầng số hoặc hỗ trợ vận hành từ xa cho khách hàng châu Âu, câu hỏi trọng tâm không còn chỉ là giá thành hay chất lượng kỹ thuật, mà là khả năng thiết lập một hệ thống vận hành phù hợp với các yêu cầu của GDPR và các chuẩn bảo vệ dữ liệu liên quan. Điều đó buộc doanh nghiệp phải chứng minh năng lực thông qua hợp đồng xử lý dữ liệu, cơ chế kiểm soát nội bộ, biện pháp bảo mật kỹ thuật và khả năng giải trình trong toàn bộ vòng đời cung ứng dịch vụ.</w:t>
      </w:r>
    </w:p>
    <w:p w14:paraId="629E4963" w14:textId="7C0C64A4" w:rsidR="000A7317" w:rsidRPr="002B1C30" w:rsidRDefault="000A7317" w:rsidP="005F6514">
      <w:pPr>
        <w:spacing w:after="0" w:line="240" w:lineRule="auto"/>
        <w:ind w:firstLine="567"/>
        <w:jc w:val="both"/>
        <w:rPr>
          <w:rFonts w:ascii="Times New Roman" w:eastAsia="source serif 4" w:hAnsi="Times New Roman" w:cs="Times New Roman"/>
          <w:color w:val="000000"/>
          <w:sz w:val="26"/>
          <w:szCs w:val="26"/>
          <w:lang w:val="vi-VN"/>
        </w:rPr>
      </w:pPr>
      <w:r w:rsidRPr="002B1C30">
        <w:rPr>
          <w:rFonts w:ascii="Times New Roman" w:eastAsia="source serif 4" w:hAnsi="Times New Roman" w:cs="Times New Roman"/>
          <w:color w:val="000000"/>
          <w:sz w:val="26"/>
          <w:szCs w:val="26"/>
          <w:lang w:val="vi-VN"/>
        </w:rPr>
        <w:t xml:space="preserve">Trong bối cảnh đó, Việt Nam đang theo đuổi mục tiêu mở rộng vị thế trong lĩnh vực dịch vụ số và công nghệ, đồng thời thúc đẩy hội nhập sâu hơn với EU thông qua EVFTA và </w:t>
      </w:r>
      <w:r w:rsidRPr="002B1C30">
        <w:rPr>
          <w:rFonts w:ascii="Times New Roman" w:eastAsia="source serif 4" w:hAnsi="Times New Roman" w:cs="Times New Roman"/>
          <w:color w:val="000000"/>
          <w:sz w:val="26"/>
          <w:szCs w:val="26"/>
          <w:lang w:val="vi-VN"/>
        </w:rPr>
        <w:lastRenderedPageBreak/>
        <w:t xml:space="preserve">quá trình hoàn thiện khung pháp lý về dữ liệu trong nước. Vì vậy, việc nghiên cứu kinh nghiệm thích ứng của các quốc gia đi trước như Ấn Độ và Philippines không chỉ có ý nghĩa đối sánh học thuật, mà còn có giá trị thực tiễn đối với việc xác định mô hình hội tụ pháp lý và thể chế phù hợp để chuyển áp lực tuân thủ thành </w:t>
      </w:r>
      <w:r w:rsidR="00FE2696" w:rsidRPr="002B1C30">
        <w:rPr>
          <w:rFonts w:ascii="Times New Roman" w:eastAsia="source serif 4" w:hAnsi="Times New Roman" w:cs="Times New Roman"/>
          <w:color w:val="000000"/>
          <w:sz w:val="26"/>
          <w:szCs w:val="26"/>
          <w:lang w:val="vi-VN"/>
        </w:rPr>
        <w:t>một</w:t>
      </w:r>
      <w:r w:rsidR="00FE2696">
        <w:rPr>
          <w:rFonts w:ascii="Times New Roman" w:eastAsia="source serif 4" w:hAnsi="Times New Roman" w:cs="Times New Roman"/>
          <w:color w:val="000000"/>
          <w:sz w:val="26"/>
          <w:szCs w:val="26"/>
          <w:lang w:val="vi-VN"/>
        </w:rPr>
        <w:t xml:space="preserve"> yếu tố hỗ trợ </w:t>
      </w:r>
      <w:r w:rsidR="00FE2696" w:rsidRPr="002B1C30">
        <w:rPr>
          <w:rFonts w:ascii="Times New Roman" w:eastAsia="source serif 4" w:hAnsi="Times New Roman" w:cs="Times New Roman"/>
          <w:color w:val="000000"/>
          <w:sz w:val="26"/>
          <w:szCs w:val="26"/>
          <w:lang w:val="vi-VN"/>
        </w:rPr>
        <w:t>năng</w:t>
      </w:r>
      <w:r w:rsidR="00FE2696">
        <w:rPr>
          <w:rFonts w:ascii="Times New Roman" w:eastAsia="source serif 4" w:hAnsi="Times New Roman" w:cs="Times New Roman"/>
          <w:color w:val="000000"/>
          <w:sz w:val="26"/>
          <w:szCs w:val="26"/>
          <w:lang w:val="vi-VN"/>
        </w:rPr>
        <w:t xml:space="preserve"> lực </w:t>
      </w:r>
      <w:r w:rsidRPr="002B1C30">
        <w:rPr>
          <w:rFonts w:ascii="Times New Roman" w:eastAsia="source serif 4" w:hAnsi="Times New Roman" w:cs="Times New Roman"/>
          <w:color w:val="000000"/>
          <w:sz w:val="26"/>
          <w:szCs w:val="26"/>
          <w:lang w:val="vi-VN"/>
        </w:rPr>
        <w:t xml:space="preserve">cạnh tranh bền vững </w:t>
      </w:r>
      <w:r w:rsidR="00FE2696" w:rsidRPr="002B1C30">
        <w:rPr>
          <w:rFonts w:ascii="Times New Roman" w:eastAsia="source serif 4" w:hAnsi="Times New Roman" w:cs="Times New Roman"/>
          <w:color w:val="000000"/>
          <w:sz w:val="26"/>
          <w:szCs w:val="26"/>
          <w:lang w:val="vi-VN"/>
        </w:rPr>
        <w:t>của</w:t>
      </w:r>
      <w:r w:rsidR="00FE2696">
        <w:rPr>
          <w:rFonts w:ascii="Times New Roman" w:eastAsia="source serif 4" w:hAnsi="Times New Roman" w:cs="Times New Roman"/>
          <w:color w:val="000000"/>
          <w:sz w:val="26"/>
          <w:szCs w:val="26"/>
          <w:lang w:val="vi-VN"/>
        </w:rPr>
        <w:t xml:space="preserve"> </w:t>
      </w:r>
      <w:r w:rsidRPr="002B1C30">
        <w:rPr>
          <w:rFonts w:ascii="Times New Roman" w:eastAsia="source serif 4" w:hAnsi="Times New Roman" w:cs="Times New Roman"/>
          <w:color w:val="000000"/>
          <w:sz w:val="26"/>
          <w:szCs w:val="26"/>
          <w:lang w:val="vi-VN"/>
        </w:rPr>
        <w:t>Việt Nam.</w:t>
      </w:r>
    </w:p>
    <w:p w14:paraId="02B152DD" w14:textId="77777777" w:rsidR="000A7317" w:rsidRPr="000A7317" w:rsidRDefault="000A7317" w:rsidP="005F6514">
      <w:pPr>
        <w:pStyle w:val="Heading2"/>
        <w:ind w:firstLine="567"/>
        <w:jc w:val="both"/>
      </w:pPr>
      <w:bookmarkStart w:id="1" w:name="bm_2_2_cơ_sở_lý_thuyết"/>
      <w:bookmarkEnd w:id="0"/>
      <w:r>
        <w:t>2. Tổng quan nghiên cứu và cơ sở lý thuyết</w:t>
      </w:r>
    </w:p>
    <w:p w14:paraId="67C4ABF1" w14:textId="1754063D" w:rsidR="000A7317" w:rsidRPr="002B1C30" w:rsidRDefault="008012D2" w:rsidP="005F6514">
      <w:pPr>
        <w:spacing w:after="0" w:line="240" w:lineRule="auto"/>
        <w:ind w:left="-30" w:firstLine="567"/>
        <w:jc w:val="both"/>
        <w:rPr>
          <w:rFonts w:ascii="Times New Roman" w:hAnsi="Times New Roman" w:cs="Times New Roman"/>
          <w:b/>
          <w:bCs/>
          <w:i/>
          <w:iCs/>
          <w:sz w:val="26"/>
          <w:szCs w:val="26"/>
          <w:lang w:val="vi-VN"/>
        </w:rPr>
      </w:pPr>
      <w:bookmarkStart w:id="2" w:name="bm_2_1_tổng_quan_nghiên_cứu"/>
      <w:r w:rsidRPr="002B1C30">
        <w:rPr>
          <w:rFonts w:ascii="Times New Roman" w:eastAsia="source serif 4" w:hAnsi="Times New Roman" w:cs="Times New Roman"/>
          <w:b/>
          <w:bCs/>
          <w:i/>
          <w:iCs/>
          <w:color w:val="000000"/>
          <w:sz w:val="26"/>
          <w:szCs w:val="26"/>
          <w:lang w:val="vi-VN"/>
        </w:rPr>
        <w:t xml:space="preserve">2.1. </w:t>
      </w:r>
      <w:r w:rsidR="000A7317" w:rsidRPr="002B1C30">
        <w:rPr>
          <w:rFonts w:ascii="Times New Roman" w:eastAsia="source serif 4" w:hAnsi="Times New Roman" w:cs="Times New Roman"/>
          <w:b/>
          <w:bCs/>
          <w:i/>
          <w:iCs/>
          <w:color w:val="000000"/>
          <w:sz w:val="26"/>
          <w:szCs w:val="26"/>
          <w:lang w:val="vi-VN"/>
        </w:rPr>
        <w:t>Tổng quan nghiên cứu</w:t>
      </w:r>
      <w:bookmarkEnd w:id="2"/>
    </w:p>
    <w:p w14:paraId="7F053D93" w14:textId="77777777" w:rsidR="000A7317" w:rsidRPr="002B1C30" w:rsidRDefault="000A7317" w:rsidP="005F6514">
      <w:pPr>
        <w:spacing w:after="0" w:line="240" w:lineRule="auto"/>
        <w:ind w:firstLine="567"/>
        <w:jc w:val="both"/>
        <w:rPr>
          <w:rFonts w:ascii="Times New Roman" w:hAnsi="Times New Roman" w:cs="Times New Roman"/>
          <w:sz w:val="26"/>
          <w:szCs w:val="26"/>
          <w:lang w:val="vi-VN"/>
        </w:rPr>
      </w:pPr>
      <w:r w:rsidRPr="002B1C30">
        <w:rPr>
          <w:rFonts w:ascii="Times New Roman" w:eastAsia="source serif 4" w:hAnsi="Times New Roman" w:cs="Times New Roman"/>
          <w:color w:val="000000"/>
          <w:sz w:val="26"/>
          <w:szCs w:val="26"/>
          <w:lang w:val="vi-VN"/>
        </w:rPr>
        <w:t>Trong những năm gần đây, hiệu ứng Brussels đã trở thành một khung phân tích quan trọng để lý giải sự lan tỏa của các chuẩn mực pháp lý của EU ra ngoài phạm vi lãnh thổ của khối, nhất là trong các lĩnh vực có mức độ hội nhập thị trường cao như bảo vệ dữ liệu, dịch vụ số và công nghệ nền tảng. Theo Bradford</w:t>
      </w:r>
      <w:r>
        <w:rPr>
          <w:rStyle w:val="EndnoteReference"/>
          <w:rFonts w:ascii="Times New Roman" w:eastAsia="source serif 4" w:hAnsi="Times New Roman" w:cs="Times New Roman"/>
          <w:color w:val="000000"/>
          <w:sz w:val="26"/>
          <w:szCs w:val="26"/>
        </w:rPr>
        <w:endnoteReference w:id="1"/>
      </w:r>
      <w:r w:rsidRPr="002B1C30">
        <w:rPr>
          <w:rFonts w:ascii="Times New Roman" w:eastAsia="source serif 4" w:hAnsi="Times New Roman" w:cs="Times New Roman"/>
          <w:color w:val="000000"/>
          <w:sz w:val="26"/>
          <w:szCs w:val="26"/>
          <w:lang w:val="vi-VN"/>
        </w:rPr>
        <w:t>, hiện tượng này xuất hiện khi EU sở hữu thị trường đủ lớn để doanh nghiệp toàn cầu khó có thể bỏ qua, đồng thời có năng lực thể chế đủ mạnh để xây dựng và duy trì các tiêu chuẩn quản lý nghiêm ngặt.</w:t>
      </w:r>
    </w:p>
    <w:p w14:paraId="07183F5F" w14:textId="77777777" w:rsidR="000A7317" w:rsidRPr="002B1C30" w:rsidRDefault="000A7317" w:rsidP="005F6514">
      <w:pPr>
        <w:spacing w:after="0" w:line="240" w:lineRule="auto"/>
        <w:ind w:firstLine="567"/>
        <w:jc w:val="both"/>
        <w:rPr>
          <w:rFonts w:ascii="Times New Roman" w:hAnsi="Times New Roman" w:cs="Times New Roman"/>
          <w:sz w:val="26"/>
          <w:szCs w:val="26"/>
          <w:lang w:val="vi-VN"/>
        </w:rPr>
      </w:pPr>
      <w:r w:rsidRPr="002B1C30">
        <w:rPr>
          <w:rFonts w:ascii="Times New Roman" w:eastAsia="source serif 4" w:hAnsi="Times New Roman" w:cs="Times New Roman"/>
          <w:color w:val="000000"/>
          <w:sz w:val="26"/>
          <w:szCs w:val="26"/>
          <w:lang w:val="vi-VN"/>
        </w:rPr>
        <w:t>Trên nền tảng đó, nhiều công trình tiếp theo xem GDPR là một biểu hiện tiêu biểu của hiệu ứng Brussels trong kỷ nguyên số</w:t>
      </w:r>
      <w:r>
        <w:rPr>
          <w:rStyle w:val="EndnoteReference"/>
          <w:rFonts w:ascii="Times New Roman" w:eastAsia="source serif 4" w:hAnsi="Times New Roman" w:cs="Times New Roman"/>
          <w:color w:val="000000"/>
          <w:sz w:val="26"/>
          <w:szCs w:val="26"/>
        </w:rPr>
        <w:endnoteReference w:id="2"/>
      </w:r>
      <w:r w:rsidRPr="002B1C30">
        <w:rPr>
          <w:rFonts w:ascii="Times New Roman" w:eastAsia="source serif 4" w:hAnsi="Times New Roman" w:cs="Times New Roman"/>
          <w:color w:val="000000"/>
          <w:sz w:val="26"/>
          <w:szCs w:val="26"/>
          <w:lang w:val="vi-VN"/>
        </w:rPr>
        <w:t>. Các nghiên cứu này chỉ ra rằng GDPR không chỉ điều chỉnh các tổ chức đặt tại EU, mà còn tạo áp lực tuân thủ đối với doanh nghiệp ngoài EU nếu doanh nghiệp đó xử lý dữ liệu cá nhân của chủ thể dữ liệu tại châu Âu. Một số nghiên cứu thực chứng còn cho thấy tác động của GDPR có thể được quan sát qua sự thay đổi trong hành vi tuân thủ của tổ chức, chẳng hạn trong việc đáp ứng yêu cầu truy cập dữ liệu của chủ thể dữ liệu.</w:t>
      </w:r>
    </w:p>
    <w:p w14:paraId="4843C281" w14:textId="77777777" w:rsidR="000A7317" w:rsidRPr="002B1C30" w:rsidRDefault="000A7317" w:rsidP="005F6514">
      <w:pPr>
        <w:spacing w:after="0" w:line="240" w:lineRule="auto"/>
        <w:ind w:firstLine="567"/>
        <w:jc w:val="both"/>
        <w:rPr>
          <w:rFonts w:ascii="Times New Roman" w:hAnsi="Times New Roman" w:cs="Times New Roman"/>
          <w:sz w:val="26"/>
          <w:szCs w:val="26"/>
          <w:lang w:val="vi-VN"/>
        </w:rPr>
      </w:pPr>
      <w:r w:rsidRPr="002B1C30">
        <w:rPr>
          <w:rFonts w:ascii="Times New Roman" w:eastAsia="source serif 4" w:hAnsi="Times New Roman" w:cs="Times New Roman"/>
          <w:color w:val="000000"/>
          <w:sz w:val="26"/>
          <w:szCs w:val="26"/>
          <w:lang w:val="vi-VN"/>
        </w:rPr>
        <w:t>Đối với ngành gia công phần mềm và dịch vụ công nghệ thông tin, tài liệu hiện có chưa hình thành một hướng nghiên cứu độc lập và hoàn chỉnh về chiến lược thích ứng với hiệu ứng Brussels, nhưng đã cung cấp những nền tảng phân tích quan trọng</w:t>
      </w:r>
      <w:r>
        <w:rPr>
          <w:rStyle w:val="EndnoteReference"/>
          <w:rFonts w:ascii="Times New Roman" w:eastAsia="source serif 4" w:hAnsi="Times New Roman" w:cs="Times New Roman"/>
          <w:color w:val="000000"/>
          <w:sz w:val="26"/>
          <w:szCs w:val="26"/>
        </w:rPr>
        <w:endnoteReference w:id="3"/>
      </w:r>
      <w:r w:rsidRPr="002B1C30">
        <w:rPr>
          <w:rFonts w:ascii="Times New Roman" w:eastAsia="source serif 4" w:hAnsi="Times New Roman" w:cs="Times New Roman"/>
          <w:color w:val="000000"/>
          <w:sz w:val="26"/>
          <w:szCs w:val="26"/>
          <w:lang w:val="vi-VN"/>
        </w:rPr>
        <w:t>. Các nghiên cứu về outsourcing và tuân thủ GDPR cho thấy doanh nghiệp cung ứng dịch vụ CNTT phải xử lý đồng thời nhiều yêu cầu như hợp đồng xử lý dữ liệu, chuyển dữ liệu xuyên biên giới, an ninh dữ liệu, quản trị nhà cung cấp phụ và trách nhiệm của bên xử lý dữ liệu. Điều này cho thấy hiệu ứng Brussels không chỉ tác động ở cấp quy định pháp lý, mà còn làm thay đổi quy trình vận hành, cấu trúc hợp đồng và mô hình quản trị rủi ro của doanh nghiệp.</w:t>
      </w:r>
    </w:p>
    <w:p w14:paraId="6A89A208" w14:textId="5E132B9D" w:rsidR="000A7317" w:rsidRPr="000A7317" w:rsidRDefault="000A7317" w:rsidP="005F6514">
      <w:pPr>
        <w:spacing w:after="0" w:line="240" w:lineRule="auto"/>
        <w:ind w:firstLine="567"/>
        <w:jc w:val="both"/>
        <w:rPr>
          <w:rFonts w:ascii="Times New Roman" w:hAnsi="Times New Roman" w:cs="Times New Roman"/>
          <w:sz w:val="26"/>
          <w:szCs w:val="26"/>
          <w:lang w:val="vi-VN"/>
        </w:rPr>
      </w:pPr>
      <w:r w:rsidRPr="002B1C30">
        <w:rPr>
          <w:rFonts w:ascii="Times New Roman" w:eastAsia="source serif 4" w:hAnsi="Times New Roman" w:cs="Times New Roman"/>
          <w:color w:val="000000"/>
          <w:sz w:val="26"/>
          <w:szCs w:val="26"/>
          <w:lang w:val="vi-VN"/>
        </w:rPr>
        <w:t xml:space="preserve">Tổng hợp các nghiên cứu cho thấy vẫn còn một khoảng trống </w:t>
      </w:r>
      <w:r w:rsidR="00676412">
        <w:rPr>
          <w:rFonts w:ascii="Times New Roman" w:eastAsia="source serif 4" w:hAnsi="Times New Roman" w:cs="Times New Roman"/>
          <w:color w:val="000000"/>
          <w:sz w:val="26"/>
          <w:szCs w:val="26"/>
          <w:lang w:val="vi-VN"/>
        </w:rPr>
        <w:t>đó là p</w:t>
      </w:r>
      <w:r w:rsidRPr="002B1C30">
        <w:rPr>
          <w:rFonts w:ascii="Times New Roman" w:eastAsia="source serif 4" w:hAnsi="Times New Roman" w:cs="Times New Roman"/>
          <w:color w:val="000000"/>
          <w:sz w:val="26"/>
          <w:szCs w:val="26"/>
          <w:lang w:val="vi-VN"/>
        </w:rPr>
        <w:t>hần lớn công trình hiện mới dừng ở việc mô tả tác động của GDPR hoặc lý giải hiệu ứng Brussels trên bình diện chung, trong khi chưa đi sâu vào chiến lược thích ứng của doanh nghiệp trong ngành gia công phần mềm và dịch vụ CNTT dưới góc nhìn so sánh và định hướng chính sách cho các nước đang phát triển như Việt Nam</w:t>
      </w:r>
      <w:r>
        <w:rPr>
          <w:rFonts w:ascii="Times New Roman" w:eastAsia="source serif 4" w:hAnsi="Times New Roman" w:cs="Times New Roman"/>
          <w:color w:val="000000"/>
          <w:sz w:val="26"/>
          <w:szCs w:val="26"/>
          <w:lang w:val="vi-VN"/>
        </w:rPr>
        <w:t>.</w:t>
      </w:r>
    </w:p>
    <w:p w14:paraId="3D19FE93" w14:textId="1F2ED2BC" w:rsidR="000A7317" w:rsidRPr="002B1C30" w:rsidRDefault="008012D2" w:rsidP="008012D2">
      <w:pPr>
        <w:spacing w:after="0" w:line="240" w:lineRule="auto"/>
        <w:ind w:left="-30" w:firstLine="567"/>
        <w:jc w:val="both"/>
        <w:rPr>
          <w:rFonts w:ascii="Times New Roman" w:hAnsi="Times New Roman" w:cs="Times New Roman"/>
          <w:b/>
          <w:bCs/>
          <w:i/>
          <w:iCs/>
          <w:sz w:val="26"/>
          <w:szCs w:val="26"/>
          <w:lang w:val="vi-VN"/>
        </w:rPr>
      </w:pPr>
      <w:r w:rsidRPr="00597720">
        <w:rPr>
          <w:rFonts w:ascii="Times New Roman" w:eastAsia="source serif 4" w:hAnsi="Times New Roman" w:cs="Times New Roman"/>
          <w:b/>
          <w:bCs/>
          <w:i/>
          <w:iCs/>
          <w:color w:val="000000"/>
          <w:sz w:val="26"/>
          <w:szCs w:val="26"/>
          <w:lang w:val="vi-VN"/>
        </w:rPr>
        <w:t>2.</w:t>
      </w:r>
      <w:r>
        <w:rPr>
          <w:rFonts w:ascii="Times New Roman" w:eastAsia="source serif 4" w:hAnsi="Times New Roman" w:cs="Times New Roman"/>
          <w:b/>
          <w:bCs/>
          <w:i/>
          <w:iCs/>
          <w:color w:val="000000"/>
          <w:sz w:val="26"/>
          <w:szCs w:val="26"/>
          <w:lang w:val="vi-VN"/>
        </w:rPr>
        <w:t>2</w:t>
      </w:r>
      <w:r w:rsidRPr="00597720">
        <w:rPr>
          <w:rFonts w:ascii="Times New Roman" w:eastAsia="source serif 4" w:hAnsi="Times New Roman" w:cs="Times New Roman"/>
          <w:b/>
          <w:bCs/>
          <w:i/>
          <w:iCs/>
          <w:color w:val="000000"/>
          <w:sz w:val="26"/>
          <w:szCs w:val="26"/>
          <w:lang w:val="vi-VN"/>
        </w:rPr>
        <w:t>.</w:t>
      </w:r>
      <w:r>
        <w:rPr>
          <w:rFonts w:ascii="Times New Roman" w:eastAsia="source serif 4" w:hAnsi="Times New Roman" w:cs="Times New Roman"/>
          <w:b/>
          <w:bCs/>
          <w:i/>
          <w:iCs/>
          <w:color w:val="000000"/>
          <w:sz w:val="26"/>
          <w:szCs w:val="26"/>
          <w:lang w:val="vi-VN"/>
        </w:rPr>
        <w:t xml:space="preserve"> Cơ sở lý thuyết</w:t>
      </w:r>
    </w:p>
    <w:p w14:paraId="294815EF" w14:textId="77777777" w:rsidR="000A7317" w:rsidRPr="000A7317" w:rsidRDefault="000A7317" w:rsidP="005F6514">
      <w:pPr>
        <w:spacing w:after="0" w:line="240" w:lineRule="auto"/>
        <w:ind w:firstLine="567"/>
        <w:jc w:val="both"/>
        <w:rPr>
          <w:rFonts w:ascii="Times New Roman" w:hAnsi="Times New Roman" w:cs="Times New Roman"/>
          <w:sz w:val="26"/>
          <w:szCs w:val="26"/>
          <w:lang w:val="vi-VN"/>
        </w:rPr>
      </w:pPr>
      <w:r>
        <w:rPr>
          <w:rFonts w:ascii="Times New Roman" w:eastAsia="source serif 4" w:hAnsi="Times New Roman" w:cs="Times New Roman"/>
          <w:color w:val="000000"/>
          <w:sz w:val="26"/>
          <w:szCs w:val="26"/>
          <w:lang w:val="vi-VN"/>
        </w:rPr>
        <w:t>Cơ sở lý thuyết của nghiên cứu được xây dựng trên sự kết hợp giữa lý thuyết hiệu ứng Brussels, lý thuyết điều tiết xuyên biên giới và lý thuyết thích ứng thể chế trong chuỗi giá trị toàn cầu. Trước hết, hiệu ứng Brussels là khái niệm trung tâm, dùng để chỉ khả năng EU mở rộng ảnh hưởng quy phạm ra ngoài lãnh thổ thông qua sức hút thị trường và tính nghiêm ngặt của tiêu chuẩn pháp lý. Trong lĩnh vực dữ liệu và dịch vụ số, hiệu ứng này thể hiện ở việc doanh nghiệp ngoài EU phải điều chỉnh sản phẩm, hợp đồng, hạ tầng và quy trình xử lý dữ liệu theo chuẩn châu Âu nếu muốn tiếp cận khách hàng EU.</w:t>
      </w:r>
    </w:p>
    <w:p w14:paraId="4D7E4512" w14:textId="77777777" w:rsidR="000A7317" w:rsidRPr="000A7317" w:rsidRDefault="000A7317" w:rsidP="005F6514">
      <w:pPr>
        <w:spacing w:after="0" w:line="240" w:lineRule="auto"/>
        <w:ind w:firstLine="567"/>
        <w:jc w:val="both"/>
        <w:rPr>
          <w:rFonts w:ascii="Times New Roman" w:hAnsi="Times New Roman" w:cs="Times New Roman"/>
          <w:sz w:val="26"/>
          <w:szCs w:val="26"/>
          <w:lang w:val="vi-VN"/>
        </w:rPr>
      </w:pPr>
      <w:r w:rsidRPr="002B1C30">
        <w:rPr>
          <w:rFonts w:ascii="Times New Roman" w:eastAsia="source serif 4" w:hAnsi="Times New Roman" w:cs="Times New Roman"/>
          <w:i/>
          <w:color w:val="000000"/>
          <w:sz w:val="26"/>
          <w:szCs w:val="26"/>
          <w:lang w:val="vi-VN"/>
        </w:rPr>
        <w:t>Tính ngoài lãnh thổ của quy định:</w:t>
      </w:r>
      <w:r>
        <w:rPr>
          <w:rFonts w:ascii="Times New Roman" w:eastAsia="source serif 4" w:hAnsi="Times New Roman" w:cs="Times New Roman"/>
          <w:color w:val="000000"/>
          <w:sz w:val="26"/>
          <w:szCs w:val="26"/>
          <w:lang w:val="vi-VN"/>
        </w:rPr>
        <w:t xml:space="preserve"> Là khả năng một quy phạm pháp luật có thể tạo tác động đối với chủ thể hoặc hoạt động diễn ra ngoài lãnh thổ truyền thống của nhà nước ban </w:t>
      </w:r>
      <w:r>
        <w:rPr>
          <w:rFonts w:ascii="Times New Roman" w:eastAsia="source serif 4" w:hAnsi="Times New Roman" w:cs="Times New Roman"/>
          <w:color w:val="000000"/>
          <w:sz w:val="26"/>
          <w:szCs w:val="26"/>
          <w:lang w:val="vi-VN"/>
        </w:rPr>
        <w:lastRenderedPageBreak/>
        <w:t>hành. Trong trường hợp GDPR, tính ngoài lãnh thổ thể hiện ở việc quy định có thể áp dụng đối với tổ chức không đặt tại EU nhưng vẫn xử lý dữ liệu cá nhân của chủ thể dữ liệu trong EU hoặc cung cấp dịch vụ cho thị trường này</w:t>
      </w:r>
      <w:r>
        <w:rPr>
          <w:rStyle w:val="EndnoteReference"/>
          <w:rFonts w:ascii="Times New Roman" w:eastAsia="source serif 4" w:hAnsi="Times New Roman" w:cs="Times New Roman"/>
          <w:color w:val="000000"/>
          <w:sz w:val="26"/>
          <w:szCs w:val="26"/>
        </w:rPr>
        <w:endnoteReference w:id="4"/>
      </w:r>
      <w:r>
        <w:rPr>
          <w:rFonts w:ascii="Times New Roman" w:eastAsia="source serif 4" w:hAnsi="Times New Roman" w:cs="Times New Roman"/>
          <w:color w:val="000000"/>
          <w:sz w:val="26"/>
          <w:szCs w:val="26"/>
          <w:lang w:val="vi-VN"/>
        </w:rPr>
        <w:t>. Khái niệm này đặc biệt quan trọng với ngành gia công phần mềm và dịch vụ CNTT vì hoạt động của doanh nghiệp thường gắn với xử lý dữ liệu từ xa, cung ứng dịch vụ số xuyên biên giới và các quan hệ hợp đồng quốc tế nhiều tầng nấc.</w:t>
      </w:r>
    </w:p>
    <w:p w14:paraId="002C95D1" w14:textId="77777777" w:rsidR="000A7317" w:rsidRPr="000A7317" w:rsidRDefault="000A7317" w:rsidP="005F6514">
      <w:pPr>
        <w:spacing w:after="0" w:line="240" w:lineRule="auto"/>
        <w:ind w:firstLine="567"/>
        <w:jc w:val="both"/>
        <w:rPr>
          <w:rFonts w:ascii="Times New Roman" w:hAnsi="Times New Roman" w:cs="Times New Roman"/>
          <w:sz w:val="26"/>
          <w:szCs w:val="26"/>
          <w:lang w:val="vi-VN"/>
        </w:rPr>
      </w:pPr>
      <w:r w:rsidRPr="002B1C30">
        <w:rPr>
          <w:rFonts w:ascii="Times New Roman" w:eastAsia="source serif 4" w:hAnsi="Times New Roman" w:cs="Times New Roman"/>
          <w:i/>
          <w:color w:val="000000"/>
          <w:sz w:val="26"/>
          <w:szCs w:val="26"/>
          <w:lang w:val="vi-VN"/>
        </w:rPr>
        <w:t xml:space="preserve">Quản trị dữ liệu xuyên biên giới: </w:t>
      </w:r>
      <w:r>
        <w:rPr>
          <w:rFonts w:ascii="Times New Roman" w:eastAsia="source serif 4" w:hAnsi="Times New Roman" w:cs="Times New Roman"/>
          <w:color w:val="000000"/>
          <w:sz w:val="26"/>
          <w:szCs w:val="26"/>
          <w:lang w:val="vi-VN"/>
        </w:rPr>
        <w:t>Khái niệm này bao gồm cơ chế chuyển dữ liệu, hợp đồng xử lý dữ liệu, biện pháp an ninh thông tin, đánh giá tác động, cơ chế kiểm soát nhà cung cấp phụ và trách nhiệm giải trình trong toàn bộ quá trình xử lý dữ liệu</w:t>
      </w:r>
      <w:r>
        <w:rPr>
          <w:rStyle w:val="EndnoteReference"/>
          <w:rFonts w:ascii="Times New Roman" w:eastAsia="source serif 4" w:hAnsi="Times New Roman" w:cs="Times New Roman"/>
          <w:color w:val="000000"/>
          <w:sz w:val="26"/>
          <w:szCs w:val="26"/>
        </w:rPr>
        <w:endnoteReference w:id="5"/>
      </w:r>
      <w:r>
        <w:rPr>
          <w:rFonts w:ascii="Times New Roman" w:eastAsia="source serif 4" w:hAnsi="Times New Roman" w:cs="Times New Roman"/>
          <w:color w:val="000000"/>
          <w:sz w:val="26"/>
          <w:szCs w:val="26"/>
          <w:lang w:val="vi-VN"/>
        </w:rPr>
        <w:t>. Trong nghiên cứu này, khái niệm đó giúp giải thích vì sao doanh nghiệp outsourcing phải điều chỉnh đồng thời cả quy trình kỹ thuật lẫn khung quản trị pháp lý khi phục vụ khách hàng EU. Đây cũng là cầu nối để đánh giá năng lực thích ứng của Việt Nam trong bối cảnh thị trường EU ngày càng coi trọng chuẩn tuân thủ như một điều kiện tiếp cận thị trường.</w:t>
      </w:r>
    </w:p>
    <w:p w14:paraId="497C10F9" w14:textId="5AD7B5D7" w:rsidR="000A7317" w:rsidRPr="000A7317" w:rsidRDefault="000A7317" w:rsidP="005F6514">
      <w:pPr>
        <w:spacing w:after="0" w:line="240" w:lineRule="auto"/>
        <w:ind w:firstLine="567"/>
        <w:jc w:val="both"/>
        <w:rPr>
          <w:rFonts w:ascii="Times New Roman" w:hAnsi="Times New Roman" w:cs="Times New Roman"/>
          <w:sz w:val="26"/>
          <w:szCs w:val="26"/>
          <w:lang w:val="vi-VN"/>
        </w:rPr>
      </w:pPr>
      <w:r w:rsidRPr="002B1C30">
        <w:rPr>
          <w:rFonts w:ascii="Times New Roman" w:eastAsia="source serif 4" w:hAnsi="Times New Roman" w:cs="Times New Roman"/>
          <w:i/>
          <w:color w:val="000000"/>
          <w:sz w:val="26"/>
          <w:szCs w:val="26"/>
          <w:lang w:val="vi-VN"/>
        </w:rPr>
        <w:t>Chiến lược tuân thủ:</w:t>
      </w:r>
      <w:r>
        <w:rPr>
          <w:rFonts w:ascii="Times New Roman" w:eastAsia="source serif 4" w:hAnsi="Times New Roman" w:cs="Times New Roman"/>
          <w:color w:val="000000"/>
          <w:sz w:val="26"/>
          <w:szCs w:val="26"/>
          <w:lang w:val="vi-VN"/>
        </w:rPr>
        <w:t xml:space="preserve"> Là cách doanh nghiệp tổ chức nguồn lực, quy trình và hệ thống quản trị để đáp ứng yêu cầu pháp lý và giảm thiểu rủi ro trong quá trình cung ứng dịch vụ. Trong bối cảnh hiệu ứng Brussels, chiến lược tuân thủ có thể bao gồm tuân thủ toàn phần theo chuẩn EU, tuân thủ theo từng thị trường, thiết lập mô hình vận hành kép hoặc chủ động nội luật hóa chuẩn EU vào toàn bộ hệ thống quản trị của doanh nghiệp. Đối với ngành phần mềm và dịch vụ CNTT, chiến lược này không chỉ là vấn đề pháp lý mà còn là quyết định kinh doanh liên quan trực tiếp đến chi phí, niềm tin khách hàng,</w:t>
      </w:r>
      <w:r w:rsidR="00FE2696">
        <w:rPr>
          <w:rFonts w:ascii="Times New Roman" w:eastAsia="source serif 4" w:hAnsi="Times New Roman" w:cs="Times New Roman"/>
          <w:color w:val="000000"/>
          <w:sz w:val="26"/>
          <w:szCs w:val="26"/>
          <w:lang w:val="vi-VN"/>
        </w:rPr>
        <w:t xml:space="preserve"> có thể ảnh hưởng tới</w:t>
      </w:r>
      <w:r>
        <w:rPr>
          <w:rFonts w:ascii="Times New Roman" w:eastAsia="source serif 4" w:hAnsi="Times New Roman" w:cs="Times New Roman"/>
          <w:color w:val="000000"/>
          <w:sz w:val="26"/>
          <w:szCs w:val="26"/>
          <w:lang w:val="vi-VN"/>
        </w:rPr>
        <w:t xml:space="preserve"> khả năng ký kết hợp đồng và </w:t>
      </w:r>
      <w:r w:rsidR="00FE2696">
        <w:rPr>
          <w:rFonts w:ascii="Times New Roman" w:eastAsia="source serif 4" w:hAnsi="Times New Roman" w:cs="Times New Roman"/>
          <w:color w:val="000000"/>
          <w:sz w:val="26"/>
          <w:szCs w:val="26"/>
          <w:lang w:val="vi-VN"/>
        </w:rPr>
        <w:t>mức độ tham gia</w:t>
      </w:r>
      <w:r>
        <w:rPr>
          <w:rFonts w:ascii="Times New Roman" w:eastAsia="source serif 4" w:hAnsi="Times New Roman" w:cs="Times New Roman"/>
          <w:color w:val="000000"/>
          <w:sz w:val="26"/>
          <w:szCs w:val="26"/>
          <w:lang w:val="vi-VN"/>
        </w:rPr>
        <w:t xml:space="preserve"> của doanh nghiệp trong chuỗi cung ứng toàn cầu.</w:t>
      </w:r>
    </w:p>
    <w:p w14:paraId="37A3F414" w14:textId="12DD21E3" w:rsidR="000A7317" w:rsidRPr="000A7317" w:rsidRDefault="000A7317" w:rsidP="005F6514">
      <w:pPr>
        <w:spacing w:after="0" w:line="240" w:lineRule="auto"/>
        <w:ind w:firstLine="567"/>
        <w:jc w:val="both"/>
        <w:rPr>
          <w:rFonts w:ascii="Times New Roman" w:hAnsi="Times New Roman" w:cs="Times New Roman"/>
          <w:sz w:val="26"/>
          <w:szCs w:val="26"/>
          <w:lang w:val="vi-VN"/>
        </w:rPr>
      </w:pPr>
      <w:r w:rsidRPr="002B1C30">
        <w:rPr>
          <w:rFonts w:ascii="Times New Roman" w:eastAsia="source serif 4" w:hAnsi="Times New Roman" w:cs="Times New Roman"/>
          <w:i/>
          <w:color w:val="000000"/>
          <w:sz w:val="26"/>
          <w:szCs w:val="26"/>
          <w:lang w:val="vi-VN"/>
        </w:rPr>
        <w:t>Thích ứng thể chế:</w:t>
      </w:r>
      <w:r>
        <w:rPr>
          <w:rFonts w:ascii="Times New Roman" w:eastAsia="source serif 4" w:hAnsi="Times New Roman" w:cs="Times New Roman"/>
          <w:color w:val="000000"/>
          <w:sz w:val="26"/>
          <w:szCs w:val="26"/>
          <w:lang w:val="vi-VN"/>
        </w:rPr>
        <w:t xml:space="preserve"> Là quá trình nhà nước, doanh nghiệp hoặc toàn ngành điều chỉnh khuôn khổ quản trị, quy tắc nội bộ và cấu trúc vận hành nhằm tương thích với môi trường điều tiết mới. Thích ứng thể chế không đồng nghĩa với sao chép hoàn toàn mô hình EU, mà là lựa chọn mức độ điều chỉnh phù hợp với năng lực pháp lý, công nghệ và mục tiêu phát triển của từng quốc gia. Đối với Việt Nam, cách tiếp cận này có ý nghĩa đặc biệt vì ngành gia công phần mềm và dịch vụ CNTT vừa cần tận dụng cơ hội từ thị trường EU, vừa cần tránh </w:t>
      </w:r>
      <w:r w:rsidR="008B0D97">
        <w:rPr>
          <w:rFonts w:ascii="Times New Roman" w:eastAsia="source serif 4" w:hAnsi="Times New Roman" w:cs="Times New Roman"/>
          <w:color w:val="000000"/>
          <w:sz w:val="26"/>
          <w:szCs w:val="26"/>
          <w:lang w:val="vi-VN"/>
        </w:rPr>
        <w:t xml:space="preserve">phát sinh </w:t>
      </w:r>
      <w:r>
        <w:rPr>
          <w:rFonts w:ascii="Times New Roman" w:eastAsia="source serif 4" w:hAnsi="Times New Roman" w:cs="Times New Roman"/>
          <w:color w:val="000000"/>
          <w:sz w:val="26"/>
          <w:szCs w:val="26"/>
          <w:lang w:val="vi-VN"/>
        </w:rPr>
        <w:t xml:space="preserve">chi phí tuân thủ </w:t>
      </w:r>
      <w:r w:rsidR="008B0D97">
        <w:rPr>
          <w:rFonts w:ascii="Times New Roman" w:eastAsia="source serif 4" w:hAnsi="Times New Roman" w:cs="Times New Roman"/>
          <w:color w:val="000000"/>
          <w:sz w:val="26"/>
          <w:szCs w:val="26"/>
          <w:lang w:val="vi-VN"/>
        </w:rPr>
        <w:t xml:space="preserve">ở mức có thể ảnh hưởng đến </w:t>
      </w:r>
      <w:r>
        <w:rPr>
          <w:rFonts w:ascii="Times New Roman" w:eastAsia="source serif 4" w:hAnsi="Times New Roman" w:cs="Times New Roman"/>
          <w:color w:val="000000"/>
          <w:sz w:val="26"/>
          <w:szCs w:val="26"/>
          <w:lang w:val="vi-VN"/>
        </w:rPr>
        <w:t>lợi thế cạnh tranh hiện có.</w:t>
      </w:r>
    </w:p>
    <w:p w14:paraId="27D78067" w14:textId="77777777" w:rsidR="000A7317" w:rsidRPr="000A7317" w:rsidRDefault="000A7317" w:rsidP="005F6514">
      <w:pPr>
        <w:spacing w:after="0" w:line="240" w:lineRule="auto"/>
        <w:ind w:firstLine="567"/>
        <w:jc w:val="both"/>
        <w:rPr>
          <w:rFonts w:ascii="Times New Roman" w:hAnsi="Times New Roman" w:cs="Times New Roman"/>
          <w:sz w:val="26"/>
          <w:szCs w:val="26"/>
          <w:lang w:val="vi-VN"/>
        </w:rPr>
      </w:pPr>
      <w:r>
        <w:rPr>
          <w:rFonts w:ascii="Times New Roman" w:eastAsia="source serif 4" w:hAnsi="Times New Roman" w:cs="Times New Roman"/>
          <w:color w:val="000000"/>
          <w:sz w:val="26"/>
          <w:szCs w:val="26"/>
          <w:lang w:val="vi-VN"/>
        </w:rPr>
        <w:t>Từ các khái niệm trên, nghiên cứu có thể vận dụng một khung phân tích gồm 3 lớp. Lớp thứ nhất là áp lực quy phạm từ EU thông qua hiệu ứng Brussels và tính ngoài lãnh thổ của quy định. Lớp thứ hai là phản ứng của doanh nghiệp thông qua chiến lược tuân thủ và quản trị dữ liệu xuyên biên giới. Lớp thứ ba là năng lực thích ứng thể chế ở cấp ngành và cấp quốc gia nhằm duy trì năng lực cạnh tranh trong môi trường dịch vụ số toàn cầu đang được tái cấu trúc bởi các chuẩn pháp lý dữ liệu.</w:t>
      </w:r>
    </w:p>
    <w:p w14:paraId="1165C0CB" w14:textId="0F7B23F9" w:rsidR="000A7317" w:rsidRPr="005F6514" w:rsidRDefault="000A7317" w:rsidP="005F6514">
      <w:pPr>
        <w:spacing w:after="0" w:line="240" w:lineRule="auto"/>
        <w:ind w:left="-30" w:firstLine="567"/>
        <w:jc w:val="both"/>
        <w:rPr>
          <w:rFonts w:ascii="Times New Roman" w:hAnsi="Times New Roman" w:cs="Times New Roman"/>
          <w:i/>
          <w:iCs/>
          <w:sz w:val="26"/>
          <w:szCs w:val="26"/>
          <w:lang w:val="vi-VN"/>
        </w:rPr>
      </w:pPr>
      <w:r>
        <w:rPr>
          <w:rFonts w:ascii="Times New Roman" w:eastAsia="source serif 4" w:hAnsi="Times New Roman" w:cs="Times New Roman"/>
          <w:i/>
          <w:iCs/>
          <w:color w:val="000000"/>
          <w:sz w:val="26"/>
          <w:szCs w:val="26"/>
          <w:lang w:val="vi-VN"/>
        </w:rPr>
        <w:t>Cách hiệu ứng Brussels tái định hình lĩnh vực gia công CNTT</w:t>
      </w:r>
    </w:p>
    <w:p w14:paraId="07A1E944" w14:textId="2CAB63F3" w:rsidR="000A7317" w:rsidRPr="000A7317" w:rsidRDefault="000A7317" w:rsidP="005F6514">
      <w:pPr>
        <w:spacing w:after="0" w:line="240" w:lineRule="auto"/>
        <w:ind w:left="-30" w:firstLine="567"/>
        <w:jc w:val="both"/>
        <w:rPr>
          <w:rFonts w:ascii="Times New Roman" w:hAnsi="Times New Roman" w:cs="Times New Roman"/>
          <w:sz w:val="26"/>
          <w:szCs w:val="26"/>
          <w:lang w:val="vi-VN"/>
        </w:rPr>
      </w:pPr>
      <w:r>
        <w:rPr>
          <w:rFonts w:ascii="Times New Roman" w:eastAsia="source serif 4" w:hAnsi="Times New Roman" w:cs="Times New Roman"/>
          <w:color w:val="000000"/>
          <w:sz w:val="26"/>
          <w:szCs w:val="26"/>
          <w:lang w:val="vi-VN"/>
        </w:rPr>
        <w:t xml:space="preserve">Hiệu ứng Brussels đang </w:t>
      </w:r>
      <w:r w:rsidR="008B0D97">
        <w:rPr>
          <w:rFonts w:ascii="Times New Roman" w:eastAsia="source serif 4" w:hAnsi="Times New Roman" w:cs="Times New Roman"/>
          <w:color w:val="000000"/>
          <w:sz w:val="26"/>
          <w:szCs w:val="26"/>
          <w:lang w:val="vi-VN"/>
        </w:rPr>
        <w:t xml:space="preserve">góp phần làm gia tăng vai trò của yếu tố tuân thủ trong năng lực cạnh tranh của doanh nghiệp </w:t>
      </w:r>
      <w:r>
        <w:rPr>
          <w:rFonts w:ascii="Times New Roman" w:eastAsia="source serif 4" w:hAnsi="Times New Roman" w:cs="Times New Roman"/>
          <w:color w:val="000000"/>
          <w:sz w:val="26"/>
          <w:szCs w:val="26"/>
          <w:lang w:val="vi-VN"/>
        </w:rPr>
        <w:t>lĩnh vực gia công. Theo Bradford</w:t>
      </w:r>
      <w:r w:rsidR="00676412">
        <w:rPr>
          <w:rFonts w:ascii="Times New Roman" w:eastAsia="source serif 4" w:hAnsi="Times New Roman" w:cs="Times New Roman"/>
          <w:color w:val="000000"/>
          <w:sz w:val="26"/>
          <w:szCs w:val="26"/>
          <w:lang w:val="vi-VN"/>
        </w:rPr>
        <w:t>. A, (2025)</w:t>
      </w:r>
      <w:r>
        <w:rPr>
          <w:rFonts w:ascii="Times New Roman" w:eastAsia="source serif 4" w:hAnsi="Times New Roman" w:cs="Times New Roman"/>
          <w:color w:val="000000"/>
          <w:sz w:val="26"/>
          <w:szCs w:val="26"/>
          <w:lang w:val="vi-VN"/>
        </w:rPr>
        <w:t>, doanh nghiệp quốc tế có xu hướng điều chỉnh thiết kế sản phẩm, quy trình và hợp đồng theo chuẩn EU để giảm chi phí phân mảnh thị trường và hạn chế rủi ro pháp lý khi tiếp cận khách hàng châu Âu. Trong lĩnh vực dịch vụ số, xu hướng này đặc biệt rõ khi chi phí duy trì nhiều mô hình tuân thủ khác nhau vượt quá lợi ích của việc tách biệt từng thị trường.</w:t>
      </w:r>
    </w:p>
    <w:p w14:paraId="697E8E0C" w14:textId="1E29CE5C" w:rsidR="000A7317" w:rsidRPr="000A7317" w:rsidRDefault="000A7317" w:rsidP="005F6514">
      <w:pPr>
        <w:spacing w:after="0" w:line="240" w:lineRule="auto"/>
        <w:ind w:firstLine="567"/>
        <w:jc w:val="both"/>
        <w:rPr>
          <w:rFonts w:ascii="Times New Roman" w:hAnsi="Times New Roman" w:cs="Times New Roman"/>
          <w:sz w:val="26"/>
          <w:szCs w:val="26"/>
          <w:lang w:val="vi-VN"/>
        </w:rPr>
      </w:pPr>
      <w:r>
        <w:rPr>
          <w:rFonts w:ascii="Times New Roman" w:eastAsia="source serif 4" w:hAnsi="Times New Roman" w:cs="Times New Roman"/>
          <w:color w:val="000000"/>
          <w:sz w:val="26"/>
          <w:szCs w:val="26"/>
          <w:lang w:val="vi-VN"/>
        </w:rPr>
        <w:t xml:space="preserve">Tác động của hiệu ứng Brussels trong gia công CNTT thể hiện rõ ở việc nâng chuẩn đầu vào của dịch vụ số. Khi quy định của EU mở rộng sang dữ liệu, an ninh số và trách </w:t>
      </w:r>
      <w:r>
        <w:rPr>
          <w:rFonts w:ascii="Times New Roman" w:eastAsia="source serif 4" w:hAnsi="Times New Roman" w:cs="Times New Roman"/>
          <w:color w:val="000000"/>
          <w:sz w:val="26"/>
          <w:szCs w:val="26"/>
          <w:lang w:val="vi-VN"/>
        </w:rPr>
        <w:lastRenderedPageBreak/>
        <w:t xml:space="preserve">nhiệm trong xử lý thông tin, doanh nghiệp gia công không còn chỉ cạnh tranh bằng năng lực kỹ thuật hoặc chi phí lao động, mà phải chứng minh năng lực quản trị dữ liệu, kiểm soát truy cập, ghi nhận xử lý và bảo đảm an toàn thông tin ở mức tương thích với chuẩn châu Âu. Điều này </w:t>
      </w:r>
      <w:r w:rsidR="008B0D97">
        <w:rPr>
          <w:rFonts w:ascii="Times New Roman" w:eastAsia="source serif 4" w:hAnsi="Times New Roman" w:cs="Times New Roman"/>
          <w:color w:val="000000"/>
          <w:sz w:val="26"/>
          <w:szCs w:val="26"/>
          <w:lang w:val="vi-VN"/>
        </w:rPr>
        <w:t xml:space="preserve">có thể ảnh hưởng tới </w:t>
      </w:r>
      <w:r>
        <w:rPr>
          <w:rFonts w:ascii="Times New Roman" w:eastAsia="source serif 4" w:hAnsi="Times New Roman" w:cs="Times New Roman"/>
          <w:color w:val="000000"/>
          <w:sz w:val="26"/>
          <w:szCs w:val="26"/>
          <w:lang w:val="vi-VN"/>
        </w:rPr>
        <w:t>tiêu chí lựa chọn nhà cung ứng dịch vụ số, trong đó năng lực tuân thủ trở thành một phần của chất lượng dịch vụ.</w:t>
      </w:r>
    </w:p>
    <w:p w14:paraId="371C52FA" w14:textId="6A5B4666" w:rsidR="000A7317" w:rsidRPr="000A7317" w:rsidRDefault="000A7317" w:rsidP="005F6514">
      <w:pPr>
        <w:spacing w:after="0" w:line="240" w:lineRule="auto"/>
        <w:ind w:firstLine="567"/>
        <w:jc w:val="both"/>
        <w:rPr>
          <w:rFonts w:ascii="Times New Roman" w:hAnsi="Times New Roman" w:cs="Times New Roman"/>
          <w:sz w:val="26"/>
          <w:szCs w:val="26"/>
          <w:lang w:val="vi-VN"/>
        </w:rPr>
      </w:pPr>
      <w:r>
        <w:rPr>
          <w:rFonts w:ascii="Times New Roman" w:eastAsia="source serif 4" w:hAnsi="Times New Roman" w:cs="Times New Roman"/>
          <w:color w:val="000000"/>
          <w:sz w:val="26"/>
          <w:szCs w:val="26"/>
          <w:lang w:val="vi-VN"/>
        </w:rPr>
        <w:t xml:space="preserve">Một tác động khác nằm ở thiết kế dịch vụ. Khi chuẩn pháp lý trở thành điều kiện kinh doanh, doanh nghiệp có xu hướng tích hợp bảo vệ dữ liệu và quyền riêng tư ngay từ giai đoạn phát triển phần mềm và xây dựng quy trình vận hành, thay vì bổ sung sau khi sản phẩm đã hoàn thiện. Cách tiếp cận này làm thay đổi logic truyền thống của outsourcing vốn ưu tiên chi phí và tốc độ triển khai. Trong môi trường chịu ảnh hưởng của hiệu ứng Brussels, giá trị gia tăng ngày càng </w:t>
      </w:r>
      <w:r w:rsidR="008B0D97">
        <w:rPr>
          <w:rFonts w:ascii="Times New Roman" w:eastAsia="source serif 4" w:hAnsi="Times New Roman" w:cs="Times New Roman"/>
          <w:color w:val="000000"/>
          <w:sz w:val="26"/>
          <w:szCs w:val="26"/>
          <w:lang w:val="vi-VN"/>
        </w:rPr>
        <w:t xml:space="preserve">gắn với </w:t>
      </w:r>
      <w:r>
        <w:rPr>
          <w:rFonts w:ascii="Times New Roman" w:eastAsia="source serif 4" w:hAnsi="Times New Roman" w:cs="Times New Roman"/>
          <w:color w:val="000000"/>
          <w:sz w:val="26"/>
          <w:szCs w:val="26"/>
          <w:lang w:val="vi-VN"/>
        </w:rPr>
        <w:t>khả năng thiết kế dịch vụ tương thích pháp lý và có thể kiểm chứng, không chỉ ở giải pháp kỹ thuật thuần túy.</w:t>
      </w:r>
    </w:p>
    <w:p w14:paraId="54A81AE2" w14:textId="2E6A67BB" w:rsidR="000A7317" w:rsidRPr="000A7317" w:rsidRDefault="000A7317" w:rsidP="005F6514">
      <w:pPr>
        <w:spacing w:after="0" w:line="240" w:lineRule="auto"/>
        <w:ind w:firstLine="567"/>
        <w:jc w:val="both"/>
        <w:rPr>
          <w:rFonts w:ascii="Times New Roman" w:hAnsi="Times New Roman" w:cs="Times New Roman"/>
          <w:sz w:val="26"/>
          <w:szCs w:val="26"/>
          <w:lang w:val="vi-VN"/>
        </w:rPr>
      </w:pPr>
      <w:r>
        <w:rPr>
          <w:rFonts w:ascii="Times New Roman" w:eastAsia="source serif 4" w:hAnsi="Times New Roman" w:cs="Times New Roman"/>
          <w:color w:val="000000"/>
          <w:sz w:val="26"/>
          <w:szCs w:val="26"/>
          <w:lang w:val="vi-VN"/>
        </w:rPr>
        <w:t xml:space="preserve">Hiệu ứng Brussels cũng làm thay đổi cách doanh nghiệp tham gia chuỗi giá trị dịch vụ số. Các nghiên cứu về chuỗi giá trị toàn cầu cho thấy dịch vụ CNTT ngày càng phụ thuộc vào hạ tầng số, tiêu chuẩn tương thích và cơ chế quản trị xuyên biên giới. Khi chuẩn của EU có sức lan tỏa lớn, nhà cung ứng ngoài EU thường phải điều chỉnh theo chuẩn này để duy trì khả năng tham gia chuỗi giá trị toàn cầu, nhất là ở các khâu xử lý dữ liệu, kiểm thử phần mềm, quản trị nền tảng và hỗ trợ vận hành từ xa. Vì vậy, hiệu ứng Brussels không chỉ tạo tác động pháp lý, mà còn </w:t>
      </w:r>
      <w:r w:rsidR="00C63BB6">
        <w:rPr>
          <w:rFonts w:ascii="Times New Roman" w:eastAsia="source serif 4" w:hAnsi="Times New Roman" w:cs="Times New Roman"/>
          <w:color w:val="000000"/>
          <w:sz w:val="26"/>
          <w:szCs w:val="26"/>
          <w:lang w:val="vi-VN"/>
        </w:rPr>
        <w:t xml:space="preserve">có thể tác động đến </w:t>
      </w:r>
      <w:r>
        <w:rPr>
          <w:rFonts w:ascii="Times New Roman" w:eastAsia="source serif 4" w:hAnsi="Times New Roman" w:cs="Times New Roman"/>
          <w:color w:val="000000"/>
          <w:sz w:val="26"/>
          <w:szCs w:val="26"/>
          <w:lang w:val="vi-VN"/>
        </w:rPr>
        <w:t xml:space="preserve">trật tự cạnh tranh trong chuỗi cung ứng dịch vụ số theo hướng </w:t>
      </w:r>
      <w:r w:rsidR="007F7C4F">
        <w:rPr>
          <w:rFonts w:ascii="Times New Roman" w:eastAsia="source serif 4" w:hAnsi="Times New Roman" w:cs="Times New Roman"/>
          <w:color w:val="000000"/>
          <w:sz w:val="26"/>
          <w:szCs w:val="26"/>
          <w:lang w:val="vi-VN"/>
        </w:rPr>
        <w:t>tạo lợi thế cho</w:t>
      </w:r>
      <w:r>
        <w:rPr>
          <w:rFonts w:ascii="Times New Roman" w:eastAsia="source serif 4" w:hAnsi="Times New Roman" w:cs="Times New Roman"/>
          <w:color w:val="000000"/>
          <w:sz w:val="26"/>
          <w:szCs w:val="26"/>
          <w:lang w:val="vi-VN"/>
        </w:rPr>
        <w:t xml:space="preserve"> những chủ thể có năng lực chuẩn hóa và giải trình cao hơn.</w:t>
      </w:r>
    </w:p>
    <w:p w14:paraId="501C36AE" w14:textId="77777777" w:rsidR="000A7317" w:rsidRPr="000A7317" w:rsidRDefault="000A7317" w:rsidP="005F6514">
      <w:pPr>
        <w:spacing w:after="0" w:line="240" w:lineRule="auto"/>
        <w:ind w:firstLine="567"/>
        <w:jc w:val="both"/>
        <w:rPr>
          <w:rFonts w:ascii="Times New Roman" w:eastAsia="source serif 4" w:hAnsi="Times New Roman" w:cs="Times New Roman"/>
          <w:color w:val="000000"/>
          <w:sz w:val="26"/>
          <w:szCs w:val="26"/>
          <w:lang w:val="vi-VN"/>
        </w:rPr>
      </w:pPr>
      <w:r>
        <w:rPr>
          <w:rFonts w:ascii="Times New Roman" w:eastAsia="source serif 4" w:hAnsi="Times New Roman" w:cs="Times New Roman"/>
          <w:color w:val="000000"/>
          <w:sz w:val="26"/>
          <w:szCs w:val="26"/>
          <w:lang w:val="vi-VN"/>
        </w:rPr>
        <w:t>Cuối cùng, hiệu ứng Brussels góp phần tạo ra xu hướng đồng nhất hóa tương đối trong thiết kế sản phẩm và dịch vụ số trên phạm vi toàn cầu. Khi nhiều doanh nghiệp quốc tế áp dụng chuẩn EU như chuẩn mặc định, thị trường toàn cầu có xu hướng tiếp nhận một số yêu cầu chung về quyền riêng tư, bảo vệ dữ liệu và minh bạch trong xử lý thông tin. Trong ngành gia công CNTT, xu hướng này làm giảm phần nào tính phân mảnh giữa các thị trường, đồng thời tạo điều kiện cho doanh nghiệp phát triển các quy trình tiêu chuẩn hóa có thể tái sử dụng trên nhiều dự án và nhiều khách hàng quốc tế khác nhau.</w:t>
      </w:r>
    </w:p>
    <w:p w14:paraId="2CB5380E" w14:textId="00C595D3" w:rsidR="008012D2" w:rsidRDefault="00383C95" w:rsidP="005F6514">
      <w:pPr>
        <w:pStyle w:val="Heading2"/>
        <w:ind w:firstLine="567"/>
        <w:jc w:val="both"/>
      </w:pPr>
      <w:bookmarkStart w:id="3" w:name="bm_3_ấn_độ"/>
      <w:bookmarkEnd w:id="1"/>
      <w:r>
        <w:t xml:space="preserve">3. </w:t>
      </w:r>
      <w:r w:rsidR="008012D2">
        <w:t>Nội dung nghiên cứu và thảo luận</w:t>
      </w:r>
    </w:p>
    <w:p w14:paraId="7DE77102" w14:textId="52FF9AC1" w:rsidR="008012D2" w:rsidRPr="002B1C30" w:rsidRDefault="008012D2" w:rsidP="008012D2">
      <w:pPr>
        <w:pStyle w:val="Heading2"/>
        <w:ind w:firstLine="567"/>
        <w:jc w:val="both"/>
        <w:rPr>
          <w:i/>
          <w:iCs/>
        </w:rPr>
      </w:pPr>
      <w:r w:rsidRPr="002B1C30">
        <w:rPr>
          <w:i/>
          <w:iCs/>
        </w:rPr>
        <w:t xml:space="preserve">3.1. Kinh nghiệm từ </w:t>
      </w:r>
      <w:r w:rsidR="00383C95" w:rsidRPr="002B1C30">
        <w:rPr>
          <w:i/>
          <w:iCs/>
        </w:rPr>
        <w:t>Ấn Độ</w:t>
      </w:r>
      <w:bookmarkEnd w:id="3"/>
      <w:r w:rsidRPr="002B1C30">
        <w:rPr>
          <w:i/>
          <w:iCs/>
        </w:rPr>
        <w:t xml:space="preserve"> và Philippines về chiến lược thích ứng với Hiệu ứng Brussels trong ngành gia công phần mềm và dịch vụ công nghệ thông tin</w:t>
      </w:r>
    </w:p>
    <w:p w14:paraId="2783BDB4" w14:textId="31F0C251" w:rsidR="008012D2" w:rsidRPr="002B1C30" w:rsidRDefault="008012D2" w:rsidP="008012D2">
      <w:pPr>
        <w:pStyle w:val="Heading2"/>
        <w:ind w:firstLine="567"/>
        <w:jc w:val="both"/>
        <w:rPr>
          <w:b w:val="0"/>
          <w:bCs w:val="0"/>
          <w:i/>
          <w:iCs/>
        </w:rPr>
      </w:pPr>
      <w:r w:rsidRPr="002B1C30">
        <w:rPr>
          <w:b w:val="0"/>
          <w:bCs w:val="0"/>
          <w:i/>
          <w:iCs/>
        </w:rPr>
        <w:t>3.1.1. Kinh nghiệm từ Ấn Độ</w:t>
      </w:r>
    </w:p>
    <w:p w14:paraId="3A8C0417" w14:textId="5A435665" w:rsidR="00B61895" w:rsidRPr="00382682" w:rsidRDefault="00383C95" w:rsidP="005F6514">
      <w:pPr>
        <w:spacing w:after="0" w:line="240" w:lineRule="auto"/>
        <w:ind w:firstLine="567"/>
        <w:jc w:val="both"/>
        <w:rPr>
          <w:rFonts w:ascii="Times New Roman" w:hAnsi="Times New Roman" w:cs="Times New Roman"/>
          <w:i/>
          <w:iCs/>
          <w:sz w:val="26"/>
          <w:szCs w:val="26"/>
          <w:lang w:val="vi-VN"/>
        </w:rPr>
      </w:pPr>
      <w:bookmarkStart w:id="4" w:name="bm_3_1_quy_mô_và_vị_trí_trên_thị_2d6ea0"/>
      <w:r>
        <w:rPr>
          <w:rFonts w:ascii="Times New Roman" w:eastAsia="source serif 4" w:hAnsi="Times New Roman" w:cs="Times New Roman"/>
          <w:i/>
          <w:iCs/>
          <w:color w:val="000000"/>
          <w:sz w:val="26"/>
          <w:szCs w:val="26"/>
          <w:lang w:val="vi-VN"/>
        </w:rPr>
        <w:t>Quy mô và vị trí trên thị trường outsourcing của EU</w:t>
      </w:r>
      <w:bookmarkEnd w:id="4"/>
    </w:p>
    <w:p w14:paraId="2885BF4C" w14:textId="431A2DED" w:rsidR="00B61895" w:rsidRPr="000A7317" w:rsidRDefault="00383C95" w:rsidP="005F6514">
      <w:pPr>
        <w:spacing w:after="0" w:line="240" w:lineRule="auto"/>
        <w:ind w:firstLine="567"/>
        <w:jc w:val="both"/>
        <w:rPr>
          <w:rFonts w:ascii="Times New Roman" w:hAnsi="Times New Roman" w:cs="Times New Roman"/>
          <w:sz w:val="26"/>
          <w:szCs w:val="26"/>
          <w:lang w:val="vi-VN"/>
        </w:rPr>
      </w:pPr>
      <w:r>
        <w:rPr>
          <w:rFonts w:ascii="Times New Roman" w:eastAsia="source serif 4" w:hAnsi="Times New Roman" w:cs="Times New Roman"/>
          <w:color w:val="000000"/>
          <w:sz w:val="26"/>
          <w:szCs w:val="26"/>
          <w:lang w:val="vi-VN"/>
        </w:rPr>
        <w:t>Ấn Độ là một trong những trung tâm lớn nhất của ngành gia công phần mềm và dịch vụ công nghệ thông tin trên thế giới, với quy mô xuất khẩu dịch vụ số lớn và vị trí nổi bật trong chuỗi cung ứng toàn cầu. Theo IBEF</w:t>
      </w:r>
      <w:r>
        <w:rPr>
          <w:rStyle w:val="EndnoteReference"/>
          <w:rFonts w:ascii="Times New Roman" w:eastAsia="source serif 4" w:hAnsi="Times New Roman" w:cs="Times New Roman"/>
          <w:color w:val="000000"/>
          <w:sz w:val="26"/>
          <w:szCs w:val="26"/>
          <w:lang w:val="vi-VN"/>
        </w:rPr>
        <w:endnoteReference w:id="6"/>
      </w:r>
      <w:r>
        <w:rPr>
          <w:rFonts w:ascii="Times New Roman" w:eastAsia="source serif 4" w:hAnsi="Times New Roman" w:cs="Times New Roman"/>
          <w:color w:val="000000"/>
          <w:sz w:val="26"/>
          <w:szCs w:val="26"/>
          <w:lang w:val="vi-VN"/>
        </w:rPr>
        <w:t>, dịch vụ phần mềm và IT của Ấn Độ xuất khẩu chủ yếu sang Hoa Kỳ, châu Âu và Vương quốc Anh; riêng châu Âu chiếm khoảng 14% tổng xuất khẩu IT-ITeS của Ấn Độ trong các số liệu gần đây. Tỷ trọng châu Âu trong xuất khẩu phần mềm dịch vụ của Ấn Độ tăng từ 30,8% lên 32,8% trong năm tài chính 2024</w:t>
      </w:r>
      <w:r w:rsidR="00676412">
        <w:rPr>
          <w:rFonts w:ascii="Times New Roman" w:eastAsia="source serif 4" w:hAnsi="Times New Roman" w:cs="Times New Roman"/>
          <w:color w:val="000000"/>
          <w:sz w:val="26"/>
          <w:szCs w:val="26"/>
          <w:lang w:val="vi-VN"/>
        </w:rPr>
        <w:t>-</w:t>
      </w:r>
      <w:r>
        <w:rPr>
          <w:rFonts w:ascii="Times New Roman" w:eastAsia="source serif 4" w:hAnsi="Times New Roman" w:cs="Times New Roman"/>
          <w:color w:val="000000"/>
          <w:sz w:val="26"/>
          <w:szCs w:val="26"/>
          <w:lang w:val="vi-VN"/>
        </w:rPr>
        <w:t>2025, qua đó phản ánh mức độ gắn kết ngày càng sâu với thị trường châu Âu.</w:t>
      </w:r>
    </w:p>
    <w:p w14:paraId="19BE6772" w14:textId="1BD52042" w:rsidR="00B61895" w:rsidRPr="00382682" w:rsidRDefault="00383C95" w:rsidP="005F6514">
      <w:pPr>
        <w:spacing w:after="0" w:line="240" w:lineRule="auto"/>
        <w:ind w:firstLine="567"/>
        <w:jc w:val="both"/>
        <w:rPr>
          <w:rFonts w:ascii="Times New Roman" w:hAnsi="Times New Roman" w:cs="Times New Roman"/>
          <w:i/>
          <w:iCs/>
          <w:sz w:val="26"/>
          <w:szCs w:val="26"/>
          <w:lang w:val="es-ES"/>
        </w:rPr>
      </w:pPr>
      <w:bookmarkStart w:id="5" w:name="bm_3_2_áp_lực_quy_phạm_từ_eu"/>
      <w:r>
        <w:rPr>
          <w:rFonts w:ascii="Times New Roman" w:eastAsia="source serif 4" w:hAnsi="Times New Roman" w:cs="Times New Roman"/>
          <w:i/>
          <w:iCs/>
          <w:color w:val="000000"/>
          <w:sz w:val="26"/>
          <w:szCs w:val="26"/>
          <w:lang w:val="es-ES"/>
        </w:rPr>
        <w:t>Áp lực quy phạm từ EU</w:t>
      </w:r>
      <w:bookmarkEnd w:id="5"/>
    </w:p>
    <w:p w14:paraId="38934A25" w14:textId="23246F1A" w:rsidR="00B61895" w:rsidRPr="000A7317" w:rsidRDefault="00383C95" w:rsidP="005F6514">
      <w:pPr>
        <w:spacing w:after="0" w:line="240" w:lineRule="auto"/>
        <w:ind w:firstLine="567"/>
        <w:jc w:val="both"/>
        <w:rPr>
          <w:rFonts w:ascii="Times New Roman" w:hAnsi="Times New Roman" w:cs="Times New Roman"/>
          <w:sz w:val="26"/>
          <w:szCs w:val="26"/>
          <w:lang w:val="es-ES"/>
        </w:rPr>
      </w:pPr>
      <w:r>
        <w:rPr>
          <w:rFonts w:ascii="Times New Roman" w:eastAsia="source serif 4" w:hAnsi="Times New Roman" w:cs="Times New Roman"/>
          <w:color w:val="000000"/>
          <w:sz w:val="26"/>
          <w:szCs w:val="26"/>
          <w:lang w:val="es-ES"/>
        </w:rPr>
        <w:t>Áp lực quy phạm từ EU trong trường hợp Ấn Độ thể hiện rõ nhất qua GDPR, đặc biệt ở phạm vi ngoài lãnh thổ của quy định này</w:t>
      </w:r>
      <w:r>
        <w:rPr>
          <w:rStyle w:val="EndnoteReference"/>
          <w:rFonts w:ascii="Times New Roman" w:eastAsia="source serif 4" w:hAnsi="Times New Roman" w:cs="Times New Roman"/>
          <w:color w:val="000000"/>
          <w:sz w:val="26"/>
          <w:szCs w:val="26"/>
          <w:lang w:val="es-ES"/>
        </w:rPr>
        <w:endnoteReference w:id="7"/>
      </w:r>
      <w:r>
        <w:rPr>
          <w:rFonts w:ascii="Times New Roman" w:eastAsia="source serif 4" w:hAnsi="Times New Roman" w:cs="Times New Roman"/>
          <w:color w:val="000000"/>
          <w:sz w:val="26"/>
          <w:szCs w:val="26"/>
          <w:lang w:val="es-ES"/>
        </w:rPr>
        <w:t xml:space="preserve">. Khi doanh nghiệp Ấn Độ xử lý dữ liệu cá nhân của công dân EU, doanh nghiệp có thể phải đáp ứng các nghĩa vụ liên quan đến vai trò </w:t>
      </w:r>
      <w:r>
        <w:rPr>
          <w:rFonts w:ascii="Times New Roman" w:eastAsia="source serif 4" w:hAnsi="Times New Roman" w:cs="Times New Roman"/>
          <w:color w:val="000000"/>
          <w:sz w:val="26"/>
          <w:szCs w:val="26"/>
          <w:lang w:val="es-ES"/>
        </w:rPr>
        <w:lastRenderedPageBreak/>
        <w:t>controller và processor, cơ chế chuyển dữ liệu hợp pháp, hợp đồng xử lý dữ liệu, trách nhiệm bảo mật và nghĩa vụ thông báo vi phạm. Việc đặt trung tâm vận hành tại Ấn Độ không loại trừ nghĩa vụ GDPR, vì trách nhiệm pháp lý phát sinh từ bản chất của dòng dữ liệu và thị trường phục vụ, không chỉ từ vị trí địa lý của máy chủ hoặc trụ sở cung ứng dịch vụ</w:t>
      </w:r>
      <w:r>
        <w:rPr>
          <w:rStyle w:val="EndnoteReference"/>
          <w:rFonts w:ascii="Times New Roman" w:eastAsia="source serif 4" w:hAnsi="Times New Roman" w:cs="Times New Roman"/>
          <w:color w:val="000000"/>
          <w:sz w:val="26"/>
          <w:szCs w:val="26"/>
          <w:lang w:val="es-ES"/>
        </w:rPr>
        <w:endnoteReference w:id="8"/>
      </w:r>
      <w:r>
        <w:rPr>
          <w:rFonts w:ascii="Times New Roman" w:eastAsia="source serif 4" w:hAnsi="Times New Roman" w:cs="Times New Roman"/>
          <w:color w:val="000000"/>
          <w:sz w:val="26"/>
          <w:szCs w:val="26"/>
          <w:lang w:val="es-ES"/>
        </w:rPr>
        <w:t>.</w:t>
      </w:r>
    </w:p>
    <w:p w14:paraId="15271823" w14:textId="758071A7" w:rsidR="00B61895" w:rsidRPr="00382682" w:rsidRDefault="00AD053D" w:rsidP="005F6514">
      <w:pPr>
        <w:spacing w:after="0" w:line="240" w:lineRule="auto"/>
        <w:ind w:left="-30" w:firstLine="567"/>
        <w:jc w:val="both"/>
        <w:rPr>
          <w:rFonts w:ascii="Times New Roman" w:hAnsi="Times New Roman" w:cs="Times New Roman"/>
          <w:i/>
          <w:iCs/>
          <w:sz w:val="26"/>
          <w:szCs w:val="26"/>
          <w:lang w:val="es-ES"/>
        </w:rPr>
      </w:pPr>
      <w:bookmarkStart w:id="6" w:name="bm_3_5_năng_lực_thích_ứng_thể_chế_be6021"/>
      <w:r>
        <w:rPr>
          <w:rFonts w:ascii="Times New Roman" w:eastAsia="source serif 4" w:hAnsi="Times New Roman" w:cs="Times New Roman"/>
          <w:i/>
          <w:iCs/>
          <w:color w:val="000000"/>
          <w:sz w:val="26"/>
          <w:szCs w:val="26"/>
          <w:lang w:val="es-ES"/>
        </w:rPr>
        <w:t xml:space="preserve">Năng lực thích ứng </w:t>
      </w:r>
      <w:bookmarkEnd w:id="6"/>
    </w:p>
    <w:p w14:paraId="17D5A253" w14:textId="7432FC23" w:rsidR="00B61895" w:rsidRPr="000A7317" w:rsidRDefault="00383C95" w:rsidP="005F6514">
      <w:pPr>
        <w:spacing w:after="0" w:line="240" w:lineRule="auto"/>
        <w:ind w:firstLine="567"/>
        <w:jc w:val="both"/>
        <w:rPr>
          <w:rFonts w:ascii="Times New Roman" w:hAnsi="Times New Roman" w:cs="Times New Roman"/>
          <w:sz w:val="26"/>
          <w:szCs w:val="26"/>
          <w:lang w:val="es-ES"/>
        </w:rPr>
      </w:pPr>
      <w:r>
        <w:rPr>
          <w:rFonts w:ascii="Times New Roman" w:eastAsia="source serif 4" w:hAnsi="Times New Roman" w:cs="Times New Roman"/>
          <w:color w:val="000000"/>
          <w:sz w:val="26"/>
          <w:szCs w:val="26"/>
          <w:lang w:val="es-ES"/>
        </w:rPr>
        <w:t>Ở cấp thể chế, Ấn Độ không chỉ phản ứng bằng từng doanh nghiệp riêng lẻ mà còn bằng một quá trình thích ứng ở cấp ngành và quốc gia. Ngành</w:t>
      </w:r>
      <w:r>
        <w:rPr>
          <w:rFonts w:ascii="Times New Roman" w:eastAsia="source serif 4" w:hAnsi="Times New Roman" w:cs="Times New Roman"/>
          <w:color w:val="000000"/>
          <w:sz w:val="26"/>
          <w:szCs w:val="26"/>
          <w:lang w:val="vi-VN"/>
        </w:rPr>
        <w:t xml:space="preserve"> dịch vụ Công nghệ thông tin kết hợp quản lý quy trình nghiệp vụ</w:t>
      </w:r>
      <w:r>
        <w:rPr>
          <w:rFonts w:ascii="Times New Roman" w:eastAsia="source serif 4" w:hAnsi="Times New Roman" w:cs="Times New Roman"/>
          <w:color w:val="000000"/>
          <w:sz w:val="26"/>
          <w:szCs w:val="26"/>
          <w:lang w:val="es-ES"/>
        </w:rPr>
        <w:t xml:space="preserve"> </w:t>
      </w:r>
      <w:r>
        <w:rPr>
          <w:rFonts w:ascii="Times New Roman" w:eastAsia="source serif 4" w:hAnsi="Times New Roman" w:cs="Times New Roman"/>
          <w:color w:val="000000"/>
          <w:sz w:val="26"/>
          <w:szCs w:val="26"/>
          <w:lang w:val="vi-VN"/>
        </w:rPr>
        <w:t>(</w:t>
      </w:r>
      <w:r>
        <w:rPr>
          <w:rFonts w:ascii="Times New Roman" w:eastAsia="source serif 4" w:hAnsi="Times New Roman" w:cs="Times New Roman"/>
          <w:color w:val="000000"/>
          <w:sz w:val="26"/>
          <w:szCs w:val="26"/>
          <w:lang w:val="es-ES"/>
        </w:rPr>
        <w:t>IT-BPM</w:t>
      </w:r>
      <w:r>
        <w:rPr>
          <w:rFonts w:ascii="Times New Roman" w:eastAsia="source serif 4" w:hAnsi="Times New Roman" w:cs="Times New Roman"/>
          <w:color w:val="000000"/>
          <w:sz w:val="26"/>
          <w:szCs w:val="26"/>
          <w:lang w:val="vi-VN"/>
        </w:rPr>
        <w:t>)</w:t>
      </w:r>
      <w:r>
        <w:rPr>
          <w:rFonts w:ascii="Times New Roman" w:eastAsia="source serif 4" w:hAnsi="Times New Roman" w:cs="Times New Roman"/>
          <w:color w:val="000000"/>
          <w:sz w:val="26"/>
          <w:szCs w:val="26"/>
          <w:lang w:val="es-ES"/>
        </w:rPr>
        <w:t xml:space="preserve"> của Ấn Độ đã phát triển các hướng dẫn tuân thủ, chương trình đào tạo, dịch vụ tư vấn và bộ tiêu chuẩn nội bộ để hỗ trợ doanh nghiệp đáp ứng yêu cầu quốc tế. Đồng thời, sự phát triển của khung pháp luật dữ liệu trong nước cho thấy nhà nước Ấn Độ cũng đang tiến dần đến việc chuẩn hóa môi trường pháp lý theo hướng phù hợp hơn với các dòng thương mại số xuyên biên giới.</w:t>
      </w:r>
    </w:p>
    <w:p w14:paraId="79C1190C" w14:textId="74E9718B" w:rsidR="00B61895" w:rsidRDefault="00383C95" w:rsidP="005F6514">
      <w:pPr>
        <w:spacing w:after="0" w:line="240" w:lineRule="auto"/>
        <w:ind w:firstLine="567"/>
        <w:jc w:val="both"/>
        <w:rPr>
          <w:rFonts w:ascii="Times New Roman" w:eastAsia="source serif 4" w:hAnsi="Times New Roman" w:cs="Times New Roman"/>
          <w:color w:val="000000"/>
          <w:sz w:val="26"/>
          <w:szCs w:val="26"/>
          <w:lang w:val="vi-VN"/>
        </w:rPr>
      </w:pPr>
      <w:r>
        <w:rPr>
          <w:rFonts w:ascii="Times New Roman" w:eastAsia="source serif 4" w:hAnsi="Times New Roman" w:cs="Times New Roman"/>
          <w:color w:val="000000"/>
          <w:sz w:val="26"/>
          <w:szCs w:val="26"/>
          <w:lang w:val="es-ES"/>
        </w:rPr>
        <w:t>Điểm quan trọng về mặt lý thuyết là hiệu ứng Brussels không chỉ gây áp lực lên một doanh nghiệp hay một hợp đồng cụ thể, mà còn tạo động lực cho một quá trình điều chỉnh thể chế rộng hơn, trong đó nhà nước, hiệp hội ngành và doanh nghiệp cùng tham gia xây dựng năng lực thích ứng. Trường hợp Ấn Độ cho thấy khi ngành dịch vụ số gắn chặt với thị trường EU, năng lực cạnh tranh dài hạn phụ thuộc vào sự kết hợp giữa tuân thủ pháp lý, quản trị dữ liệu xuyên biên giới và năng lực thể chế ở cấp ngành.</w:t>
      </w:r>
    </w:p>
    <w:p w14:paraId="33B5138C" w14:textId="75BBC1AF" w:rsidR="00AD053D" w:rsidRPr="00055B7F" w:rsidRDefault="00AD053D" w:rsidP="005F6514">
      <w:pPr>
        <w:spacing w:after="0"/>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Ấn Độ </w:t>
      </w:r>
      <w:r w:rsidR="007F7C4F">
        <w:rPr>
          <w:rFonts w:ascii="Times New Roman" w:hAnsi="Times New Roman" w:cs="Times New Roman"/>
          <w:sz w:val="26"/>
          <w:szCs w:val="26"/>
          <w:lang w:val="vi-VN"/>
        </w:rPr>
        <w:t xml:space="preserve">là một trong những trường hợp điển hình </w:t>
      </w:r>
      <w:r>
        <w:rPr>
          <w:rFonts w:ascii="Times New Roman" w:hAnsi="Times New Roman" w:cs="Times New Roman"/>
          <w:sz w:val="26"/>
          <w:szCs w:val="26"/>
          <w:lang w:val="vi-VN"/>
        </w:rPr>
        <w:t>về sự thích ứng của doanh nghiệp đối với các tiêu chuẩn</w:t>
      </w:r>
      <w:r w:rsidR="007F7C4F">
        <w:rPr>
          <w:rFonts w:ascii="Times New Roman" w:hAnsi="Times New Roman" w:cs="Times New Roman"/>
          <w:sz w:val="26"/>
          <w:szCs w:val="26"/>
          <w:lang w:val="vi-VN"/>
        </w:rPr>
        <w:t xml:space="preserve"> dữ liệu của</w:t>
      </w:r>
      <w:r>
        <w:rPr>
          <w:rFonts w:ascii="Times New Roman" w:hAnsi="Times New Roman" w:cs="Times New Roman"/>
          <w:sz w:val="26"/>
          <w:szCs w:val="26"/>
          <w:lang w:val="vi-VN"/>
        </w:rPr>
        <w:t xml:space="preserve"> châu Âu. Lĩnh vực dịch vụ CNTT và gia công quy trình kinh doanh của quốc gia này sở hữu quy mô, nguồn nhân lực và kinh nghiệm tích lũy ở các thị trường phương Tây, tạo điều kiện cho nhiều doanh nghiệp lớn hấp thụ được chi phí để tuân thủ các quy định nâng cao. Ấn Độ </w:t>
      </w:r>
      <w:r w:rsidR="007F7C4F">
        <w:rPr>
          <w:rFonts w:ascii="Times New Roman" w:hAnsi="Times New Roman" w:cs="Times New Roman"/>
          <w:sz w:val="26"/>
          <w:szCs w:val="26"/>
          <w:lang w:val="vi-VN"/>
        </w:rPr>
        <w:t xml:space="preserve">tiếp tục thúc đẩy xu hướng </w:t>
      </w:r>
      <w:r>
        <w:rPr>
          <w:rFonts w:ascii="Times New Roman" w:hAnsi="Times New Roman" w:cs="Times New Roman"/>
          <w:sz w:val="26"/>
          <w:szCs w:val="26"/>
          <w:lang w:val="vi-VN"/>
        </w:rPr>
        <w:t>này thông qua việc thông qua Đạo luật Bảo vệ dữ liệu cá nhân kỹ thuật số 2023, nhằm xây dựng một khuôn khổ quốc gia mạch lạc về xử lý dữ liệu cá nhân, dù không mô phỏng chính xác cấu trúc của GDPR.</w:t>
      </w:r>
    </w:p>
    <w:p w14:paraId="44BBA6B8" w14:textId="45BDB8BA" w:rsidR="00AD053D" w:rsidRPr="00055B7F" w:rsidRDefault="00AD053D" w:rsidP="005F6514">
      <w:pPr>
        <w:spacing w:after="0"/>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Tầm quan trọng của trường hợp Ấn Độ không chỉ nằm ở đạo luật, mà ở cách thức các công ty lớn trong ngành đã biến những yêu cầu của châu Âu thành hạ tầng cơ cấu tổ chức. Trong thực tế, những nhà cung cấp dịch vụ công nghệ hàng đầu của Ấn Độ đã thành lập các văn phòng chuyên trách về quyền riêng tư, triển khai các chương trình tuân thủ xuyên quốc gia, áp dụng các tiêu chuẩn bảo mật có chứng nhận, và thiết lập các giao thức hợp đồng tương thích với những khách hàng chịu sự chi phối của GDPR. Phản ứng này cho thấy rằng, ngay cả khi không có Quyết định Thỏa đáng từ EU, một quốc gia vẫn có thể </w:t>
      </w:r>
      <w:r w:rsidR="007F7C4F">
        <w:rPr>
          <w:rFonts w:ascii="Times New Roman" w:hAnsi="Times New Roman" w:cs="Times New Roman"/>
          <w:sz w:val="26"/>
          <w:szCs w:val="26"/>
          <w:lang w:val="vi-VN"/>
        </w:rPr>
        <w:t xml:space="preserve">nâng cao năng lực tham gia thị trường </w:t>
      </w:r>
      <w:r>
        <w:rPr>
          <w:rFonts w:ascii="Times New Roman" w:hAnsi="Times New Roman" w:cs="Times New Roman"/>
          <w:sz w:val="26"/>
          <w:szCs w:val="26"/>
          <w:lang w:val="vi-VN"/>
        </w:rPr>
        <w:t>nếu các doanh nghiệp của họ có khả năng cung cấp những sự bảo đảm có chức năng tương đương với kỳ vọng từ khách hàng châu Âu</w:t>
      </w:r>
      <w:r>
        <w:rPr>
          <w:rStyle w:val="EndnoteReference"/>
          <w:rFonts w:ascii="Times New Roman" w:hAnsi="Times New Roman" w:cs="Times New Roman"/>
          <w:sz w:val="26"/>
          <w:szCs w:val="26"/>
          <w:lang w:val="vi-VN"/>
        </w:rPr>
        <w:endnoteReference w:id="9"/>
      </w:r>
      <w:r>
        <w:rPr>
          <w:rFonts w:ascii="Times New Roman" w:hAnsi="Times New Roman" w:cs="Times New Roman"/>
          <w:sz w:val="26"/>
          <w:szCs w:val="26"/>
          <w:lang w:val="vi-VN"/>
        </w:rPr>
        <w:t>.</w:t>
      </w:r>
    </w:p>
    <w:p w14:paraId="6DF7B7E8" w14:textId="7488024E" w:rsidR="00AD053D" w:rsidRPr="00055B7F" w:rsidRDefault="00AD053D" w:rsidP="00AD053D">
      <w:pPr>
        <w:spacing w:after="0"/>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Tuy nhiên, sự hội tụ của Ấn Độ vẫn chưa hoàn toàn. Việc tiếp tục phải dựa vào các điều khoản hợp đồng chuẩn và các cơ chế bảo đảm khác cho việc chuyển dữ liệu cho thấy </w:t>
      </w:r>
      <w:r w:rsidR="00152CE4" w:rsidRPr="00152CE4">
        <w:rPr>
          <w:rFonts w:ascii="Times New Roman" w:hAnsi="Times New Roman" w:cs="Times New Roman"/>
          <w:sz w:val="26"/>
          <w:szCs w:val="26"/>
          <w:lang w:val="vi-VN"/>
        </w:rPr>
        <w:t>EU hiện vẫn chưa ban hành quyết định công nhận mức độ bảo vệ tương đương đối với Ấn Độ</w:t>
      </w:r>
      <w:r>
        <w:rPr>
          <w:rFonts w:ascii="Times New Roman" w:hAnsi="Times New Roman" w:cs="Times New Roman"/>
          <w:sz w:val="26"/>
          <w:szCs w:val="26"/>
          <w:lang w:val="vi-VN"/>
        </w:rPr>
        <w:t>. Đây là hạn chế mang tính cấu trúc, không thể giải quyết chỉ bằng nỗ lực của từng doanh nghiệp, mà đòi hỏi tiến trình hội tụ pháp lý ở cấp quốc gia.</w:t>
      </w:r>
    </w:p>
    <w:p w14:paraId="53574208" w14:textId="53E1DF60" w:rsidR="00AD053D" w:rsidRDefault="00AD053D" w:rsidP="00AD053D">
      <w:pPr>
        <w:spacing w:after="0"/>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Dưới góc độ so sánh, bài học chính từ Ấn Độ là việc thích ứng hiệu quả với Hiệu ứng Brussels đòi hỏi một chuyển động kép. Một mặt, cần có nền tảng pháp lý quốc gia cho thấy sự hội tụ đầy đủ với các tiêu chuẩn quốc tế; mặt khác, doanh nghiệp phải có khả năng đưa sự hội tụ đó vào vận hành thông qua các hệ thống tuân thủ nội bộ có thể kiểm chứng. Thiếu </w:t>
      </w:r>
      <w:r>
        <w:rPr>
          <w:rFonts w:ascii="Times New Roman" w:hAnsi="Times New Roman" w:cs="Times New Roman"/>
          <w:sz w:val="26"/>
          <w:szCs w:val="26"/>
          <w:lang w:val="vi-VN"/>
        </w:rPr>
        <w:lastRenderedPageBreak/>
        <w:t xml:space="preserve">yếu tố đầu tiên, </w:t>
      </w:r>
      <w:r w:rsidR="00152CE4" w:rsidRPr="00152CE4">
        <w:rPr>
          <w:rFonts w:ascii="Times New Roman" w:hAnsi="Times New Roman" w:cs="Times New Roman"/>
          <w:sz w:val="26"/>
          <w:szCs w:val="26"/>
          <w:lang w:val="vi-VN"/>
        </w:rPr>
        <w:t>mức độ bảo đảm pháp lý đối với đối tác quốc tế có thể bị hạn chế</w:t>
      </w:r>
      <w:r>
        <w:rPr>
          <w:rFonts w:ascii="Times New Roman" w:hAnsi="Times New Roman" w:cs="Times New Roman"/>
          <w:sz w:val="26"/>
          <w:szCs w:val="26"/>
          <w:lang w:val="vi-VN"/>
        </w:rPr>
        <w:t xml:space="preserve">; thiếu yếu tố thứ hai, đạo luật sẽ </w:t>
      </w:r>
      <w:r w:rsidR="00152CE4">
        <w:rPr>
          <w:rFonts w:ascii="Times New Roman" w:hAnsi="Times New Roman" w:cs="Times New Roman"/>
          <w:sz w:val="26"/>
          <w:szCs w:val="26"/>
          <w:lang w:val="vi-VN"/>
        </w:rPr>
        <w:t xml:space="preserve">khó có thể chuyển hóa </w:t>
      </w:r>
      <w:r>
        <w:rPr>
          <w:rFonts w:ascii="Times New Roman" w:hAnsi="Times New Roman" w:cs="Times New Roman"/>
          <w:sz w:val="26"/>
          <w:szCs w:val="26"/>
          <w:lang w:val="vi-VN"/>
        </w:rPr>
        <w:t>thành lợi thế thương mại.</w:t>
      </w:r>
    </w:p>
    <w:p w14:paraId="235B09A4" w14:textId="77777777" w:rsidR="00AD053D" w:rsidRPr="00AD053D" w:rsidRDefault="00AD053D" w:rsidP="000A7317">
      <w:pPr>
        <w:spacing w:after="0" w:line="240" w:lineRule="auto"/>
        <w:rPr>
          <w:rFonts w:ascii="Times New Roman" w:hAnsi="Times New Roman" w:cs="Times New Roman"/>
          <w:sz w:val="26"/>
          <w:szCs w:val="26"/>
          <w:lang w:val="vi-VN"/>
        </w:rPr>
      </w:pPr>
    </w:p>
    <w:p w14:paraId="0FC62471" w14:textId="66E52B74" w:rsidR="008012D2" w:rsidRPr="00597720" w:rsidRDefault="008012D2" w:rsidP="008012D2">
      <w:pPr>
        <w:pStyle w:val="Heading2"/>
        <w:ind w:firstLine="567"/>
        <w:jc w:val="both"/>
        <w:rPr>
          <w:b w:val="0"/>
          <w:bCs w:val="0"/>
          <w:i/>
          <w:iCs/>
        </w:rPr>
      </w:pPr>
      <w:bookmarkStart w:id="7" w:name="bm_4_philippines"/>
      <w:r w:rsidRPr="00597720">
        <w:rPr>
          <w:b w:val="0"/>
          <w:bCs w:val="0"/>
          <w:i/>
          <w:iCs/>
        </w:rPr>
        <w:t>3.1.</w:t>
      </w:r>
      <w:r>
        <w:rPr>
          <w:b w:val="0"/>
          <w:bCs w:val="0"/>
          <w:i/>
          <w:iCs/>
        </w:rPr>
        <w:t>2</w:t>
      </w:r>
      <w:r w:rsidRPr="00597720">
        <w:rPr>
          <w:b w:val="0"/>
          <w:bCs w:val="0"/>
          <w:i/>
          <w:iCs/>
        </w:rPr>
        <w:t xml:space="preserve">. Kinh nghiệm từ </w:t>
      </w:r>
      <w:r>
        <w:rPr>
          <w:b w:val="0"/>
          <w:bCs w:val="0"/>
          <w:i/>
          <w:iCs/>
        </w:rPr>
        <w:t>Philippines</w:t>
      </w:r>
    </w:p>
    <w:p w14:paraId="57A10F98" w14:textId="11D7A4EF" w:rsidR="00B61895" w:rsidRPr="00382682" w:rsidRDefault="00383C95" w:rsidP="005F6514">
      <w:pPr>
        <w:spacing w:after="0" w:line="240" w:lineRule="auto"/>
        <w:ind w:left="-30" w:firstLine="597"/>
        <w:rPr>
          <w:rFonts w:ascii="Times New Roman" w:hAnsi="Times New Roman" w:cs="Times New Roman"/>
          <w:i/>
          <w:iCs/>
          <w:sz w:val="26"/>
          <w:szCs w:val="26"/>
          <w:lang w:val="es-ES"/>
        </w:rPr>
      </w:pPr>
      <w:bookmarkStart w:id="8" w:name="bm_4_1_quy_mô_và_vị_trí_trong_chu_1c9763"/>
      <w:bookmarkEnd w:id="7"/>
      <w:r>
        <w:rPr>
          <w:rFonts w:ascii="Times New Roman" w:eastAsia="source serif 4" w:hAnsi="Times New Roman" w:cs="Times New Roman"/>
          <w:i/>
          <w:iCs/>
          <w:color w:val="000000"/>
          <w:sz w:val="26"/>
          <w:szCs w:val="26"/>
          <w:lang w:val="es-ES"/>
        </w:rPr>
        <w:t>Quy mô và vị trí trong chuỗi cung ứng dịch vụ số</w:t>
      </w:r>
      <w:bookmarkEnd w:id="8"/>
    </w:p>
    <w:p w14:paraId="58E00C0A" w14:textId="058AA29C" w:rsidR="00B61895" w:rsidRPr="000A7317" w:rsidRDefault="00383C95" w:rsidP="002B1C30">
      <w:pPr>
        <w:spacing w:after="0" w:line="240" w:lineRule="auto"/>
        <w:ind w:firstLine="597"/>
        <w:jc w:val="both"/>
        <w:rPr>
          <w:rFonts w:ascii="Times New Roman" w:hAnsi="Times New Roman" w:cs="Times New Roman"/>
          <w:sz w:val="26"/>
          <w:szCs w:val="26"/>
          <w:lang w:val="es-ES"/>
        </w:rPr>
      </w:pPr>
      <w:r>
        <w:rPr>
          <w:rFonts w:ascii="Times New Roman" w:eastAsia="source serif 4" w:hAnsi="Times New Roman" w:cs="Times New Roman"/>
          <w:color w:val="000000"/>
          <w:sz w:val="26"/>
          <w:szCs w:val="26"/>
          <w:lang w:val="es-ES"/>
        </w:rPr>
        <w:t>Philippines là một trung tâm lớn của ngành</w:t>
      </w:r>
      <w:r>
        <w:rPr>
          <w:rFonts w:ascii="Times New Roman" w:eastAsia="source serif 4" w:hAnsi="Times New Roman" w:cs="Times New Roman"/>
          <w:color w:val="000000"/>
          <w:sz w:val="26"/>
          <w:szCs w:val="26"/>
          <w:lang w:val="vi-VN"/>
        </w:rPr>
        <w:t xml:space="preserve"> </w:t>
      </w:r>
      <w:r>
        <w:rPr>
          <w:rFonts w:ascii="Times New Roman" w:eastAsia="source serif 4" w:hAnsi="Times New Roman" w:cs="Times New Roman"/>
          <w:color w:val="000000"/>
          <w:sz w:val="26"/>
          <w:szCs w:val="26"/>
          <w:lang w:val="es-ES"/>
        </w:rPr>
        <w:t xml:space="preserve">IT-BPM, với quy mô ngành tiếp tục tăng trong những năm gần đây. </w:t>
      </w:r>
      <w:r>
        <w:rPr>
          <w:rFonts w:ascii="Times New Roman" w:eastAsia="source serif 4" w:hAnsi="Times New Roman" w:cs="Times New Roman"/>
          <w:color w:val="000000"/>
          <w:sz w:val="26"/>
          <w:szCs w:val="26"/>
          <w:lang w:val="vi-VN"/>
        </w:rPr>
        <w:t>N</w:t>
      </w:r>
      <w:r>
        <w:rPr>
          <w:rFonts w:ascii="Times New Roman" w:eastAsia="source serif 4" w:hAnsi="Times New Roman" w:cs="Times New Roman"/>
          <w:color w:val="000000"/>
          <w:sz w:val="26"/>
          <w:szCs w:val="26"/>
          <w:lang w:val="es-ES"/>
        </w:rPr>
        <w:t>gành này</w:t>
      </w:r>
      <w:r>
        <w:rPr>
          <w:rFonts w:ascii="Times New Roman" w:eastAsia="source serif 4" w:hAnsi="Times New Roman" w:cs="Times New Roman"/>
          <w:color w:val="000000"/>
          <w:sz w:val="26"/>
          <w:szCs w:val="26"/>
          <w:lang w:val="vi-VN"/>
        </w:rPr>
        <w:t xml:space="preserve"> </w:t>
      </w:r>
      <w:r>
        <w:rPr>
          <w:rFonts w:ascii="Times New Roman" w:eastAsia="source serif 4" w:hAnsi="Times New Roman" w:cs="Times New Roman"/>
          <w:color w:val="000000"/>
          <w:sz w:val="26"/>
          <w:szCs w:val="26"/>
          <w:lang w:val="es-ES"/>
        </w:rPr>
        <w:t>của Philippines kết thúc năm 2025 với khoảng 1,9 triệu lao động và hơn 40 tỷ USD doanh thu; mức này tương ứng tăng khoảng 4% về việc làm và 5% về doanh thu so với năm 2024</w:t>
      </w:r>
      <w:r>
        <w:rPr>
          <w:rStyle w:val="EndnoteReference"/>
          <w:rFonts w:ascii="Times New Roman" w:eastAsia="source serif 4" w:hAnsi="Times New Roman" w:cs="Times New Roman"/>
          <w:color w:val="000000"/>
          <w:sz w:val="26"/>
          <w:szCs w:val="26"/>
          <w:lang w:val="es-ES"/>
        </w:rPr>
        <w:endnoteReference w:id="10"/>
      </w:r>
      <w:r>
        <w:rPr>
          <w:rFonts w:ascii="Times New Roman" w:eastAsia="source serif 4" w:hAnsi="Times New Roman" w:cs="Times New Roman"/>
          <w:color w:val="000000"/>
          <w:sz w:val="26"/>
          <w:szCs w:val="26"/>
          <w:lang w:val="es-ES"/>
        </w:rPr>
        <w:t>. Quy mô đó cho thấy IT-BPM tiếp tục là một khu vực xuất khẩu dịch vụ quan trọng của Philippines trong chuỗi cung ứng dịch vụ số toàn cầu, đặc biệt trong các mảng xử lý dữ liệu và dịch vụ hỗ trợ vận hành từ xa.</w:t>
      </w:r>
    </w:p>
    <w:p w14:paraId="37561D5A" w14:textId="05627282" w:rsidR="00B61895" w:rsidRPr="00223921" w:rsidRDefault="00383C95" w:rsidP="002B1C30">
      <w:pPr>
        <w:spacing w:after="0" w:line="240" w:lineRule="auto"/>
        <w:ind w:left="-30" w:firstLine="597"/>
        <w:jc w:val="both"/>
        <w:rPr>
          <w:rFonts w:ascii="Times New Roman" w:hAnsi="Times New Roman" w:cs="Times New Roman"/>
          <w:i/>
          <w:iCs/>
          <w:sz w:val="26"/>
          <w:szCs w:val="26"/>
          <w:lang w:val="es-ES"/>
        </w:rPr>
      </w:pPr>
      <w:bookmarkStart w:id="9" w:name="bm_4_2_áp_lực_quy_phạm_từ_eu"/>
      <w:r>
        <w:rPr>
          <w:rFonts w:ascii="Times New Roman" w:eastAsia="source serif 4" w:hAnsi="Times New Roman" w:cs="Times New Roman"/>
          <w:i/>
          <w:iCs/>
          <w:color w:val="000000"/>
          <w:sz w:val="26"/>
          <w:szCs w:val="26"/>
          <w:lang w:val="es-ES"/>
        </w:rPr>
        <w:t>Áp lực quy phạm từ EU</w:t>
      </w:r>
      <w:bookmarkEnd w:id="9"/>
    </w:p>
    <w:p w14:paraId="7DB0D232" w14:textId="3683366C" w:rsidR="00B61895" w:rsidRPr="00223921" w:rsidRDefault="00383C95" w:rsidP="002B1C30">
      <w:pPr>
        <w:spacing w:after="0" w:line="240" w:lineRule="auto"/>
        <w:ind w:firstLine="597"/>
        <w:jc w:val="both"/>
        <w:rPr>
          <w:rFonts w:ascii="Times New Roman" w:hAnsi="Times New Roman" w:cs="Times New Roman"/>
          <w:sz w:val="26"/>
          <w:szCs w:val="26"/>
          <w:lang w:val="vi-VN"/>
        </w:rPr>
      </w:pPr>
      <w:r>
        <w:rPr>
          <w:rFonts w:ascii="Times New Roman" w:eastAsia="source serif 4" w:hAnsi="Times New Roman" w:cs="Times New Roman"/>
          <w:color w:val="000000"/>
          <w:sz w:val="26"/>
          <w:szCs w:val="26"/>
          <w:lang w:val="es-ES"/>
        </w:rPr>
        <w:t>Áp lực quy phạm từ EU trong trường hợp Philippines thể hiện rõ nhất qua cơ chế chuyển dữ liệu cá nhân theo GDPR. Theo Điều 46 GDPR và hướng dẫn của Hội đồng Bảo vệ Dữ liệu Châu Âu</w:t>
      </w:r>
      <w:r>
        <w:rPr>
          <w:rStyle w:val="EndnoteReference"/>
          <w:rFonts w:ascii="Times New Roman" w:eastAsia="source serif 4" w:hAnsi="Times New Roman" w:cs="Times New Roman"/>
          <w:color w:val="000000"/>
          <w:sz w:val="26"/>
          <w:szCs w:val="26"/>
          <w:lang w:val="es-ES"/>
        </w:rPr>
        <w:endnoteReference w:id="11"/>
      </w:r>
      <w:r>
        <w:rPr>
          <w:rFonts w:ascii="Times New Roman" w:eastAsia="source serif 4" w:hAnsi="Times New Roman" w:cs="Times New Roman"/>
          <w:color w:val="000000"/>
          <w:sz w:val="26"/>
          <w:szCs w:val="26"/>
          <w:lang w:val="es-ES"/>
        </w:rPr>
        <w:t>, khi không có quyết định công nhận mức bảo vệ tương đương, việc chuyển dữ liệu sang nước thứ ba chỉ được thực hiện nếu có các biện pháp bảo đảm thích hợp, đồng thời phải duy trì mức bảo vệ không bị suy giảm so với chuẩn của EU.</w:t>
      </w:r>
    </w:p>
    <w:p w14:paraId="037CB377" w14:textId="0142FAE0" w:rsidR="00B61895" w:rsidRPr="00223921" w:rsidRDefault="00383C95" w:rsidP="002B1C30">
      <w:pPr>
        <w:spacing w:after="0" w:line="240" w:lineRule="auto"/>
        <w:ind w:firstLine="597"/>
        <w:jc w:val="both"/>
        <w:rPr>
          <w:rFonts w:ascii="Times New Roman" w:hAnsi="Times New Roman" w:cs="Times New Roman"/>
          <w:sz w:val="26"/>
          <w:szCs w:val="26"/>
          <w:lang w:val="vi-VN"/>
        </w:rPr>
      </w:pPr>
      <w:r>
        <w:rPr>
          <w:rFonts w:ascii="Times New Roman" w:eastAsia="source serif 4" w:hAnsi="Times New Roman" w:cs="Times New Roman"/>
          <w:color w:val="000000"/>
          <w:sz w:val="26"/>
          <w:szCs w:val="26"/>
          <w:lang w:val="vi-VN"/>
        </w:rPr>
        <w:t>Điều này đặc biệt quan trọng đối với các doanh nghiệp Philippines cung cấp dịch vụ xử lý dữ liệu, hỗ trợ khách hàng và vận hành từ xa cho khách hàng châu Âu. Khi dữ liệu cá nhân được chuyển ra ngoài EU, trách nhiệm tuân thủ của bên kiểm soát dữ liệu không chấm dứt, mà tiếp tục được duy trì thông</w:t>
      </w:r>
      <w:r w:rsidR="00441372" w:rsidRPr="00441372">
        <w:rPr>
          <w:rFonts w:ascii="Times New Roman" w:eastAsia="source serif 4" w:hAnsi="Times New Roman" w:cs="Times New Roman"/>
          <w:color w:val="000000"/>
          <w:sz w:val="26"/>
          <w:szCs w:val="26"/>
          <w:lang w:val="vi-VN"/>
        </w:rPr>
        <w:t xml:space="preserve"> </w:t>
      </w:r>
      <w:r w:rsidR="00441372">
        <w:rPr>
          <w:rFonts w:ascii="Times New Roman" w:eastAsia="source serif 4" w:hAnsi="Times New Roman" w:cs="Times New Roman"/>
          <w:color w:val="000000"/>
          <w:sz w:val="26"/>
          <w:szCs w:val="26"/>
          <w:lang w:val="vi-VN"/>
        </w:rPr>
        <w:t>qua</w:t>
      </w:r>
      <w:r w:rsidR="00441372">
        <w:rPr>
          <w:rStyle w:val="EndnoteReference"/>
          <w:rFonts w:ascii="Times New Roman" w:eastAsia="source serif 4" w:hAnsi="Times New Roman" w:cs="Times New Roman"/>
          <w:color w:val="000000"/>
          <w:sz w:val="26"/>
          <w:szCs w:val="26"/>
          <w:lang w:val="vi-VN"/>
        </w:rPr>
        <w:t xml:space="preserve"> </w:t>
      </w:r>
      <w:r>
        <w:rPr>
          <w:rStyle w:val="EndnoteReference"/>
          <w:rFonts w:ascii="Times New Roman" w:eastAsia="source serif 4" w:hAnsi="Times New Roman" w:cs="Times New Roman"/>
          <w:color w:val="000000"/>
          <w:sz w:val="26"/>
          <w:szCs w:val="26"/>
          <w:lang w:val="vi-VN"/>
        </w:rPr>
        <w:endnoteReference w:id="12"/>
      </w:r>
      <w:r>
        <w:rPr>
          <w:rFonts w:ascii="Times New Roman" w:eastAsia="source serif 4" w:hAnsi="Times New Roman" w:cs="Times New Roman"/>
          <w:color w:val="000000"/>
          <w:sz w:val="26"/>
          <w:szCs w:val="26"/>
          <w:lang w:val="vi-VN"/>
        </w:rPr>
        <w:t xml:space="preserve"> hợp đồng, biện pháp kỹ thuật và cơ chế kiểm soát trách nhiệm trong toàn bộ chuỗi xử lý dữ liệu. Vì vậy, áp lực từ EU không chỉ dừng ở nghĩa vụ pháp lý của khách hàng châu Âu, mà còn lan sang cách tổ chức hoạt động của các nhà cung ứng dịch vụ tại Philippines.</w:t>
      </w:r>
    </w:p>
    <w:p w14:paraId="130C1254" w14:textId="77777777" w:rsidR="005F6514" w:rsidRPr="005F6514" w:rsidRDefault="005F6514" w:rsidP="005F6514">
      <w:pPr>
        <w:spacing w:after="0" w:line="240" w:lineRule="auto"/>
        <w:ind w:left="-30" w:firstLine="597"/>
        <w:rPr>
          <w:rFonts w:ascii="Times New Roman" w:hAnsi="Times New Roman" w:cs="Times New Roman"/>
          <w:i/>
          <w:iCs/>
          <w:sz w:val="26"/>
          <w:szCs w:val="26"/>
          <w:lang w:val="vi-VN"/>
        </w:rPr>
      </w:pPr>
      <w:r>
        <w:rPr>
          <w:rFonts w:ascii="Times New Roman" w:eastAsia="source serif 4" w:hAnsi="Times New Roman" w:cs="Times New Roman"/>
          <w:i/>
          <w:iCs/>
          <w:color w:val="000000"/>
          <w:sz w:val="26"/>
          <w:szCs w:val="26"/>
          <w:lang w:val="vi-VN"/>
        </w:rPr>
        <w:t xml:space="preserve">Năng lực thích ứng </w:t>
      </w:r>
    </w:p>
    <w:p w14:paraId="2760E61C" w14:textId="4E2D323A" w:rsidR="005F6514" w:rsidRPr="00055B7F" w:rsidRDefault="005F6514" w:rsidP="005F6514">
      <w:pPr>
        <w:spacing w:after="0"/>
        <w:ind w:firstLine="597"/>
        <w:jc w:val="both"/>
        <w:rPr>
          <w:rFonts w:ascii="Times New Roman" w:hAnsi="Times New Roman" w:cs="Times New Roman"/>
          <w:sz w:val="26"/>
          <w:szCs w:val="26"/>
          <w:lang w:val="vi-VN"/>
        </w:rPr>
      </w:pPr>
      <w:bookmarkStart w:id="10" w:name="bm_6_hàm_ý_cho_việt_nam"/>
      <w:r>
        <w:rPr>
          <w:rFonts w:ascii="Times New Roman" w:hAnsi="Times New Roman" w:cs="Times New Roman"/>
          <w:sz w:val="26"/>
          <w:szCs w:val="26"/>
          <w:lang w:val="vi-VN"/>
        </w:rPr>
        <w:t>Philippines mang đến một mô hình khác biệt, tập trung nhiều hơn vào việc thể chế hóa sự tuân thủ trong ngành công nghiệp hơn là vào quy mô doanh nghiệp. Nước này có Đạo luật Quyền riêng tư dữ liệu 2012</w:t>
      </w:r>
      <w:r>
        <w:rPr>
          <w:rStyle w:val="EndnoteReference"/>
          <w:rFonts w:ascii="Times New Roman" w:hAnsi="Times New Roman" w:cs="Times New Roman"/>
          <w:sz w:val="26"/>
          <w:szCs w:val="26"/>
          <w:lang w:val="vi-VN"/>
        </w:rPr>
        <w:endnoteReference w:id="13"/>
      </w:r>
      <w:r>
        <w:rPr>
          <w:rFonts w:ascii="Times New Roman" w:hAnsi="Times New Roman" w:cs="Times New Roman"/>
          <w:sz w:val="26"/>
          <w:szCs w:val="26"/>
          <w:lang w:val="vi-VN"/>
        </w:rPr>
        <w:t xml:space="preserve"> và Ủy ban Quyền riêng tư Quốc gia (National Privacy Commission - NPC), hoạt động như một cơ quan chuyên môn thực hiện các chức năng giám sát, hướng dẫn và thúc đẩy các thực hành tốt nhất. Sự kết hợp này đã tạo ra một </w:t>
      </w:r>
      <w:r w:rsidR="008D08F2" w:rsidRPr="008D08F2">
        <w:rPr>
          <w:rFonts w:ascii="Times New Roman" w:hAnsi="Times New Roman" w:cs="Times New Roman"/>
          <w:sz w:val="26"/>
          <w:szCs w:val="26"/>
          <w:lang w:val="vi-VN"/>
        </w:rPr>
        <w:t xml:space="preserve">môi trường quản trị dữ liệu </w:t>
      </w:r>
      <w:r w:rsidR="00912CF7" w:rsidRPr="00912CF7">
        <w:rPr>
          <w:rFonts w:ascii="Times New Roman" w:hAnsi="Times New Roman" w:cs="Times New Roman"/>
          <w:sz w:val="26"/>
          <w:szCs w:val="26"/>
          <w:lang w:val="vi-VN"/>
        </w:rPr>
        <w:t>được hỗ trợ bởi khung pháp lý và cơ quan giám sát chuyên trách</w:t>
      </w:r>
      <w:r>
        <w:rPr>
          <w:rFonts w:ascii="Times New Roman" w:hAnsi="Times New Roman" w:cs="Times New Roman"/>
          <w:sz w:val="26"/>
          <w:szCs w:val="26"/>
          <w:lang w:val="vi-VN"/>
        </w:rPr>
        <w:t xml:space="preserve">, đặc biệt là trong ngành gia công quy trình kinh doanh, nơi mà mối quan hệ với khách hàng nước ngoài đòi hỏi các </w:t>
      </w:r>
      <w:r w:rsidR="008D08F2" w:rsidRPr="008D08F2">
        <w:rPr>
          <w:rFonts w:ascii="Times New Roman" w:hAnsi="Times New Roman" w:cs="Times New Roman"/>
          <w:sz w:val="26"/>
          <w:szCs w:val="26"/>
          <w:lang w:val="vi-VN"/>
        </w:rPr>
        <w:t>cơ chế bảo đảm mức</w:t>
      </w:r>
      <w:r w:rsidR="008D08F2" w:rsidRPr="008D08F2" w:rsidDel="008D08F2">
        <w:rPr>
          <w:rFonts w:ascii="Times New Roman" w:hAnsi="Times New Roman" w:cs="Times New Roman"/>
          <w:sz w:val="26"/>
          <w:szCs w:val="26"/>
          <w:lang w:val="vi-VN"/>
        </w:rPr>
        <w:t xml:space="preserve"> </w:t>
      </w:r>
      <w:r>
        <w:rPr>
          <w:rFonts w:ascii="Times New Roman" w:hAnsi="Times New Roman" w:cs="Times New Roman"/>
          <w:sz w:val="26"/>
          <w:szCs w:val="26"/>
          <w:lang w:val="vi-VN"/>
        </w:rPr>
        <w:t>độ tin cậy.</w:t>
      </w:r>
    </w:p>
    <w:p w14:paraId="4B689777" w14:textId="77777777" w:rsidR="005F6514" w:rsidRPr="00055B7F" w:rsidRDefault="005F6514" w:rsidP="005F6514">
      <w:pPr>
        <w:spacing w:after="0"/>
        <w:ind w:firstLine="597"/>
        <w:jc w:val="both"/>
        <w:rPr>
          <w:rFonts w:ascii="Times New Roman" w:hAnsi="Times New Roman" w:cs="Times New Roman"/>
          <w:sz w:val="26"/>
          <w:szCs w:val="26"/>
          <w:lang w:val="vi-VN"/>
        </w:rPr>
      </w:pPr>
      <w:r>
        <w:rPr>
          <w:rFonts w:ascii="Times New Roman" w:hAnsi="Times New Roman" w:cs="Times New Roman"/>
          <w:sz w:val="26"/>
          <w:szCs w:val="26"/>
          <w:lang w:val="vi-VN"/>
        </w:rPr>
        <w:t>Trái ngược với mô hình của Ấn Độ - nơi các tập đoàn lớn thường đóng vai trò dẫn dắt - trường hợp của Philippines minh họa tầm quan trọng của một cơ quan thẩm quyền trong việc diễn giải các tiêu chuẩn luật pháp thành những chỉ dẫn hoạt động cụ thể cho ngành. Ủy ban Quyền riêng tư Quốc gia ban hành các định hướng, bộ khung tuân thủ và tài liệu hỗ trợ nhằm giúp nội hóa văn hóa quyền riêng tư trong lĩnh vực này. Điều này đặc biệt hữu ích tại một thị trường bao gồm các đơn vị vận hành có năng lực khác nhau, bởi nó thu hẹp khoảng cách giữa nghĩa vụ trên giấy tờ và thực tiễn kinh doanh hằng ngày.</w:t>
      </w:r>
    </w:p>
    <w:p w14:paraId="06877B2A" w14:textId="553C1CB5" w:rsidR="005F6514" w:rsidRPr="00055B7F" w:rsidRDefault="005F6514" w:rsidP="005F6514">
      <w:pPr>
        <w:spacing w:after="0"/>
        <w:ind w:firstLine="597"/>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Giá trị của mô hình Philippines còn nằm ở </w:t>
      </w:r>
      <w:r w:rsidR="008D08F2" w:rsidRPr="008D08F2">
        <w:rPr>
          <w:rFonts w:ascii="Times New Roman" w:hAnsi="Times New Roman" w:cs="Times New Roman"/>
          <w:sz w:val="26"/>
          <w:szCs w:val="26"/>
          <w:lang w:val="vi-VN"/>
        </w:rPr>
        <w:t>tác động về mặt hình ảnh và uy tín</w:t>
      </w:r>
      <w:r>
        <w:rPr>
          <w:rFonts w:ascii="Times New Roman" w:hAnsi="Times New Roman" w:cs="Times New Roman"/>
          <w:sz w:val="26"/>
          <w:szCs w:val="26"/>
          <w:lang w:val="vi-VN"/>
        </w:rPr>
        <w:t xml:space="preserve">. Đối với khách hàng quốc tế, sự hiện diện của một cơ quan chuyên môn với tính hiện diện cao </w:t>
      </w:r>
      <w:r w:rsidR="008D08F2" w:rsidRPr="008D08F2">
        <w:rPr>
          <w:rFonts w:ascii="Times New Roman" w:hAnsi="Times New Roman" w:cs="Times New Roman"/>
          <w:sz w:val="26"/>
          <w:szCs w:val="26"/>
          <w:lang w:val="vi-VN"/>
        </w:rPr>
        <w:t>được xem như một tín hiệu về sự ổn định thể ch</w:t>
      </w:r>
      <w:r w:rsidR="008D08F2">
        <w:rPr>
          <w:rFonts w:ascii="Times New Roman" w:hAnsi="Times New Roman" w:cs="Times New Roman"/>
          <w:sz w:val="26"/>
          <w:szCs w:val="26"/>
          <w:lang w:val="vi-VN"/>
        </w:rPr>
        <w:t>ế</w:t>
      </w:r>
      <w:r>
        <w:rPr>
          <w:rFonts w:ascii="Times New Roman" w:hAnsi="Times New Roman" w:cs="Times New Roman"/>
          <w:sz w:val="26"/>
          <w:szCs w:val="26"/>
          <w:lang w:val="vi-VN"/>
        </w:rPr>
        <w:t xml:space="preserve">. Trong các lĩnh vực như chăm sóc khách hàng, </w:t>
      </w:r>
      <w:r>
        <w:rPr>
          <w:rFonts w:ascii="Times New Roman" w:hAnsi="Times New Roman" w:cs="Times New Roman"/>
          <w:sz w:val="26"/>
          <w:szCs w:val="26"/>
          <w:lang w:val="vi-VN"/>
        </w:rPr>
        <w:lastRenderedPageBreak/>
        <w:t xml:space="preserve">hỗ trợ hành chính, xử lý tài liệu hay dịch vụ dùng chung, tín hiệu này có thể </w:t>
      </w:r>
      <w:r w:rsidR="008D08F2">
        <w:rPr>
          <w:rFonts w:ascii="Times New Roman" w:hAnsi="Times New Roman" w:cs="Times New Roman"/>
          <w:sz w:val="26"/>
          <w:szCs w:val="26"/>
          <w:lang w:val="vi-VN"/>
        </w:rPr>
        <w:t>góp phần giảm bớt tác động của một số</w:t>
      </w:r>
      <w:r>
        <w:rPr>
          <w:rFonts w:ascii="Times New Roman" w:hAnsi="Times New Roman" w:cs="Times New Roman"/>
          <w:sz w:val="26"/>
          <w:szCs w:val="26"/>
          <w:lang w:val="vi-VN"/>
        </w:rPr>
        <w:t xml:space="preserve"> bất lợi về cấu trúc, từ đó giúp nước này duy trì được năng lực cạnh tranh trước các đối thủ trong khu vực</w:t>
      </w:r>
      <w:r>
        <w:rPr>
          <w:rStyle w:val="EndnoteReference"/>
          <w:rFonts w:ascii="Times New Roman" w:hAnsi="Times New Roman" w:cs="Times New Roman"/>
          <w:sz w:val="26"/>
          <w:szCs w:val="26"/>
          <w:lang w:val="vi-VN"/>
        </w:rPr>
        <w:endnoteReference w:id="14"/>
      </w:r>
      <w:r>
        <w:rPr>
          <w:rFonts w:ascii="Times New Roman" w:hAnsi="Times New Roman" w:cs="Times New Roman"/>
          <w:sz w:val="26"/>
          <w:szCs w:val="26"/>
          <w:lang w:val="vi-VN"/>
        </w:rPr>
        <w:t>.</w:t>
      </w:r>
    </w:p>
    <w:p w14:paraId="168C9FF3" w14:textId="7E262A03" w:rsidR="005F6514" w:rsidRPr="00055B7F" w:rsidRDefault="005F6514" w:rsidP="005F6514">
      <w:pPr>
        <w:spacing w:after="0"/>
        <w:ind w:firstLine="597"/>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Tuy vậy, những điểm hạn chế vẫn tồn tại. Việc có luật và một ủy ban không loại bỏ nhu cầu đầu tư liên tục vào bảo mật, đào tạo và thẩm định nhà cung cấp. Bài học từ Philippines do đó không chỉ là có cơ quan chuyên môn, mà là cơ quan đó phải đủ chủ động để thu hẹp khoảng cách giữa nghĩa vụ pháp lý và thực tiễn vận hành hằng ngày </w:t>
      </w:r>
      <w:r w:rsidR="00441372">
        <w:rPr>
          <w:rFonts w:ascii="Times New Roman" w:hAnsi="Times New Roman" w:cs="Times New Roman"/>
          <w:sz w:val="26"/>
          <w:szCs w:val="26"/>
          <w:lang w:val="vi-VN"/>
        </w:rPr>
        <w:t xml:space="preserve">- </w:t>
      </w:r>
      <w:r>
        <w:rPr>
          <w:rFonts w:ascii="Times New Roman" w:hAnsi="Times New Roman" w:cs="Times New Roman"/>
          <w:sz w:val="26"/>
          <w:szCs w:val="26"/>
          <w:lang w:val="vi-VN"/>
        </w:rPr>
        <w:t>đặc biệt với các đơn vị có quy mô nhỏ hơn, vốn thiếu nguồn lực xây dựng hệ thống tuân thủ độc lập.</w:t>
      </w:r>
    </w:p>
    <w:p w14:paraId="43A31B0E" w14:textId="1926A243" w:rsidR="005F6514" w:rsidRPr="002B1C30" w:rsidRDefault="008012D2" w:rsidP="005F6514">
      <w:pPr>
        <w:pStyle w:val="Heading2"/>
        <w:spacing w:before="120" w:after="120"/>
        <w:ind w:left="0" w:firstLine="567"/>
        <w:jc w:val="both"/>
        <w:rPr>
          <w:rFonts w:eastAsia="Times New Roman"/>
          <w:i/>
          <w:iCs/>
        </w:rPr>
      </w:pPr>
      <w:bookmarkStart w:id="11" w:name="tài_liệu_thuyết_minh_số"/>
      <w:bookmarkEnd w:id="10"/>
      <w:r w:rsidRPr="002B1C30">
        <w:rPr>
          <w:rFonts w:eastAsia="Times New Roman"/>
          <w:i/>
          <w:iCs/>
        </w:rPr>
        <w:t>3.</w:t>
      </w:r>
      <w:r>
        <w:rPr>
          <w:rFonts w:eastAsia="Times New Roman"/>
          <w:i/>
          <w:iCs/>
        </w:rPr>
        <w:t>2</w:t>
      </w:r>
      <w:r w:rsidR="005F6514" w:rsidRPr="002B1C30">
        <w:rPr>
          <w:rFonts w:eastAsia="Times New Roman"/>
          <w:i/>
          <w:iCs/>
        </w:rPr>
        <w:t xml:space="preserve">. Hàm ý </w:t>
      </w:r>
      <w:r w:rsidR="00676412">
        <w:rPr>
          <w:rFonts w:eastAsia="Times New Roman"/>
          <w:i/>
          <w:iCs/>
        </w:rPr>
        <w:t xml:space="preserve">chính sách </w:t>
      </w:r>
      <w:r w:rsidR="005F6514" w:rsidRPr="002B1C30">
        <w:rPr>
          <w:rFonts w:eastAsia="Times New Roman"/>
          <w:i/>
          <w:iCs/>
        </w:rPr>
        <w:t>cho Việt Nam</w:t>
      </w:r>
    </w:p>
    <w:p w14:paraId="6351B20A" w14:textId="77777777" w:rsidR="005F6514" w:rsidRPr="005F6514" w:rsidRDefault="005F6514" w:rsidP="005F6514">
      <w:pPr>
        <w:spacing w:before="120"/>
        <w:ind w:firstLine="567"/>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Việt Nam đang ở giai đoạn mang tính quyết định của quá trình hiện đại hóa lập pháp và tái định vị kinh tế. Nước ta không chỉ cạnh tranh dưới vai trò là một công xưởng sản xuất; mà còn định hướng củng cố vị thế là nhà cung cấp các dịch vụ kỹ thuật số, phần mềm và giải pháp công nghệ cho thị trường nước ngoài, bao gồm cả EU</w:t>
      </w:r>
      <w:r>
        <w:rPr>
          <w:rFonts w:ascii="Times New Roman" w:eastAsia="Times New Roman" w:hAnsi="Times New Roman" w:cs="Times New Roman"/>
          <w:sz w:val="26"/>
          <w:szCs w:val="26"/>
          <w:vertAlign w:val="superscript"/>
        </w:rPr>
        <w:endnoteReference w:id="15"/>
      </w:r>
      <w:r>
        <w:rPr>
          <w:rFonts w:ascii="Times New Roman" w:eastAsia="Times New Roman" w:hAnsi="Times New Roman" w:cs="Times New Roman"/>
          <w:sz w:val="26"/>
          <w:szCs w:val="26"/>
          <w:lang w:val="vi-VN"/>
        </w:rPr>
        <w:t>. Bước ngoặt này đồng thời diễn ra với việc cập nhật quan trọng khung pháp lý về bảo vệ dữ liệu, cụ thể là Luật Bảo vệ Dữ liệu cá nhân 2025 và Nghị định số 356/2025/NĐ-CP, vốn quy định chi tiết các khía cạnh vận hành của chế độ mới này.</w:t>
      </w:r>
    </w:p>
    <w:p w14:paraId="50280E30" w14:textId="0962C672" w:rsidR="005F6514" w:rsidRPr="001D0784" w:rsidRDefault="005F6514" w:rsidP="005F6514">
      <w:pPr>
        <w:spacing w:before="120"/>
        <w:ind w:firstLine="567"/>
        <w:jc w:val="both"/>
        <w:rPr>
          <w:rFonts w:ascii="Times New Roman" w:eastAsia="Times New Roman" w:hAnsi="Times New Roman" w:cs="Times New Roman"/>
          <w:sz w:val="26"/>
          <w:szCs w:val="26"/>
          <w:lang w:val="vi"/>
        </w:rPr>
      </w:pPr>
      <w:r>
        <w:rPr>
          <w:rFonts w:ascii="Times New Roman" w:eastAsia="Times New Roman" w:hAnsi="Times New Roman" w:cs="Times New Roman"/>
          <w:sz w:val="26"/>
          <w:szCs w:val="26"/>
          <w:lang w:val="vi-VN"/>
        </w:rPr>
        <w:t xml:space="preserve">Vấn đề trọng tâm là các quy định hiện hành có tạo ra </w:t>
      </w:r>
      <w:r w:rsidR="00C53261">
        <w:rPr>
          <w:rFonts w:ascii="Times New Roman" w:eastAsia="Times New Roman" w:hAnsi="Times New Roman" w:cs="Times New Roman"/>
          <w:sz w:val="26"/>
          <w:szCs w:val="26"/>
          <w:lang w:val="vi-VN"/>
        </w:rPr>
        <w:t xml:space="preserve">mức độ bảo đảm pháp lý đủ </w:t>
      </w:r>
      <w:r>
        <w:rPr>
          <w:rFonts w:ascii="Times New Roman" w:eastAsia="Times New Roman" w:hAnsi="Times New Roman" w:cs="Times New Roman"/>
          <w:sz w:val="26"/>
          <w:szCs w:val="26"/>
          <w:lang w:val="vi-VN"/>
        </w:rPr>
        <w:t xml:space="preserve">để </w:t>
      </w:r>
      <w:r w:rsidR="00C53261">
        <w:rPr>
          <w:rFonts w:ascii="Times New Roman" w:eastAsia="Times New Roman" w:hAnsi="Times New Roman" w:cs="Times New Roman"/>
          <w:sz w:val="26"/>
          <w:szCs w:val="26"/>
          <w:lang w:val="vi-VN"/>
        </w:rPr>
        <w:t xml:space="preserve">hỗ trợ </w:t>
      </w:r>
      <w:r>
        <w:rPr>
          <w:rFonts w:ascii="Times New Roman" w:eastAsia="Times New Roman" w:hAnsi="Times New Roman" w:cs="Times New Roman"/>
          <w:sz w:val="26"/>
          <w:szCs w:val="26"/>
          <w:lang w:val="vi-VN"/>
        </w:rPr>
        <w:t xml:space="preserve">quan hệ </w:t>
      </w:r>
      <w:r w:rsidR="00C53261">
        <w:rPr>
          <w:rFonts w:ascii="Times New Roman" w:eastAsia="Times New Roman" w:hAnsi="Times New Roman" w:cs="Times New Roman"/>
          <w:sz w:val="26"/>
          <w:szCs w:val="26"/>
          <w:lang w:val="vi-VN"/>
        </w:rPr>
        <w:t xml:space="preserve">hợp tác dài hạn </w:t>
      </w:r>
      <w:r>
        <w:rPr>
          <w:rFonts w:ascii="Times New Roman" w:eastAsia="Times New Roman" w:hAnsi="Times New Roman" w:cs="Times New Roman"/>
          <w:sz w:val="26"/>
          <w:szCs w:val="26"/>
          <w:lang w:val="vi-VN"/>
        </w:rPr>
        <w:t xml:space="preserve">với các khách hàng châu Âu hay không. Để đạt được điều này, thiết kế pháp lý cần tiếp cận tương đồng về mặt chức năng với GDPR ở các điểm chủ chốt: định nghĩa rõ ràng về trách nhiệm, bảo đảm các quyền hiệu lực của chủ thể dữ liệu, quy định minh bạch về sự đồng ý, các nghĩa vụ kỹ thuật - tổ chức, và một khung quy định dễ dự đoán về việc chuyển dữ liệu quốc tế. Hệ thống pháp lý của Việt Nam càng dễ hiểu đối với các luật sư, nhân viên tuân thủ và khách hàng từ EU, thì </w:t>
      </w:r>
      <w:r w:rsidR="00C53261">
        <w:rPr>
          <w:rFonts w:ascii="Times New Roman" w:eastAsia="Times New Roman" w:hAnsi="Times New Roman" w:cs="Times New Roman"/>
          <w:sz w:val="26"/>
          <w:szCs w:val="26"/>
          <w:lang w:val="vi-VN"/>
        </w:rPr>
        <w:t>càng gia tăng khả năng hạn chế các</w:t>
      </w:r>
      <w:r>
        <w:rPr>
          <w:rFonts w:ascii="Times New Roman" w:eastAsia="Times New Roman" w:hAnsi="Times New Roman" w:cs="Times New Roman"/>
          <w:sz w:val="26"/>
          <w:szCs w:val="26"/>
          <w:lang w:val="vi-VN"/>
        </w:rPr>
        <w:t xml:space="preserve"> rào cản pháp lý trong quá trình ký kết hợp đồng quốc tế.</w:t>
      </w:r>
      <w:r>
        <w:rPr>
          <w:rFonts w:ascii="Times New Roman" w:eastAsia="Times New Roman" w:hAnsi="Times New Roman" w:cs="Times New Roman"/>
          <w:sz w:val="26"/>
          <w:szCs w:val="26"/>
          <w:lang w:val="vi"/>
        </w:rPr>
        <w:t xml:space="preserve"> So sánh với Ấn Độ và Philippines mang lại 3 ưu tiên nổi bật. </w:t>
      </w:r>
    </w:p>
    <w:p w14:paraId="2BB51823" w14:textId="19038622" w:rsidR="005F6514" w:rsidRPr="005F6514" w:rsidRDefault="005F6514" w:rsidP="005F6514">
      <w:pPr>
        <w:spacing w:before="120"/>
        <w:ind w:firstLine="567"/>
        <w:jc w:val="both"/>
        <w:rPr>
          <w:rFonts w:ascii="Times New Roman" w:eastAsia="Times New Roman" w:hAnsi="Times New Roman" w:cs="Times New Roman"/>
          <w:sz w:val="26"/>
          <w:szCs w:val="26"/>
          <w:lang w:val="vi"/>
        </w:rPr>
      </w:pPr>
      <w:r>
        <w:rPr>
          <w:rFonts w:ascii="Times New Roman" w:eastAsia="Times New Roman" w:hAnsi="Times New Roman" w:cs="Times New Roman"/>
          <w:i/>
          <w:iCs/>
          <w:sz w:val="26"/>
          <w:szCs w:val="26"/>
          <w:lang w:val="vi"/>
        </w:rPr>
        <w:t>Ưu tiên thứ nhất</w:t>
      </w:r>
      <w:r>
        <w:rPr>
          <w:rFonts w:ascii="Times New Roman" w:eastAsia="Times New Roman" w:hAnsi="Times New Roman" w:cs="Times New Roman"/>
          <w:sz w:val="26"/>
          <w:szCs w:val="26"/>
          <w:lang w:val="vi"/>
        </w:rPr>
        <w:t xml:space="preserve"> là tính nhất quán của quy định. </w:t>
      </w:r>
      <w:r w:rsidR="00C50ADB">
        <w:rPr>
          <w:rFonts w:ascii="Times New Roman" w:eastAsia="Times New Roman" w:hAnsi="Times New Roman" w:cs="Times New Roman"/>
          <w:sz w:val="26"/>
          <w:szCs w:val="26"/>
          <w:lang w:val="vi"/>
        </w:rPr>
        <w:t xml:space="preserve">Việc hạn chế tình trạng tồn tại song song các yêu cầu chung và các yêu cầu khó thực thi có thể góp phần nâng cao tính nhất quán của hệ thống. </w:t>
      </w:r>
      <w:r>
        <w:rPr>
          <w:rFonts w:ascii="Times New Roman" w:eastAsia="Times New Roman" w:hAnsi="Times New Roman" w:cs="Times New Roman"/>
          <w:sz w:val="26"/>
          <w:szCs w:val="26"/>
          <w:lang w:val="vi"/>
        </w:rPr>
        <w:t>Kinh nghiệm từ Ấn Độ cho thấy sự hội tụ chức năng với các tiêu chuẩn quốc tế</w:t>
      </w:r>
      <w:r w:rsidR="005C5B02">
        <w:rPr>
          <w:rFonts w:ascii="Times New Roman" w:eastAsia="Times New Roman" w:hAnsi="Times New Roman" w:cs="Times New Roman"/>
          <w:sz w:val="26"/>
          <w:szCs w:val="26"/>
          <w:lang w:val="vi"/>
        </w:rPr>
        <w:t xml:space="preserve"> có thể hỗ trợ khả năng tiếp cận thị trường</w:t>
      </w:r>
      <w:r>
        <w:rPr>
          <w:rFonts w:ascii="Times New Roman" w:eastAsia="Times New Roman" w:hAnsi="Times New Roman" w:cs="Times New Roman"/>
          <w:sz w:val="26"/>
          <w:szCs w:val="26"/>
          <w:lang w:val="vi"/>
        </w:rPr>
        <w:t xml:space="preserve">, trong khi kinh nghiệm từ Philippines </w:t>
      </w:r>
      <w:r w:rsidR="00096117">
        <w:rPr>
          <w:rFonts w:ascii="Times New Roman" w:eastAsia="Times New Roman" w:hAnsi="Times New Roman" w:cs="Times New Roman"/>
          <w:sz w:val="26"/>
          <w:szCs w:val="26"/>
          <w:lang w:val="vi"/>
        </w:rPr>
        <w:t>cho thấy</w:t>
      </w:r>
      <w:r>
        <w:rPr>
          <w:rFonts w:ascii="Times New Roman" w:eastAsia="Times New Roman" w:hAnsi="Times New Roman" w:cs="Times New Roman"/>
          <w:sz w:val="26"/>
          <w:szCs w:val="26"/>
          <w:lang w:val="vi"/>
        </w:rPr>
        <w:t xml:space="preserve"> rằng sự rõ ràng của thể chế có thể quan trọng ngang với mức độ tinh vi của các văn bản luật.</w:t>
      </w:r>
    </w:p>
    <w:p w14:paraId="5D6BC23E" w14:textId="77777777" w:rsidR="005F6514" w:rsidRPr="005F6514" w:rsidRDefault="005F6514" w:rsidP="005F6514">
      <w:pPr>
        <w:spacing w:before="120"/>
        <w:ind w:firstLine="567"/>
        <w:jc w:val="both"/>
        <w:rPr>
          <w:rFonts w:ascii="Times New Roman" w:eastAsia="Times New Roman" w:hAnsi="Times New Roman" w:cs="Times New Roman"/>
          <w:sz w:val="26"/>
          <w:szCs w:val="26"/>
          <w:lang w:val="vi"/>
        </w:rPr>
      </w:pPr>
      <w:r>
        <w:rPr>
          <w:rFonts w:ascii="Times New Roman" w:eastAsia="Times New Roman" w:hAnsi="Times New Roman" w:cs="Times New Roman"/>
          <w:i/>
          <w:iCs/>
          <w:sz w:val="26"/>
          <w:szCs w:val="26"/>
          <w:lang w:val="vi"/>
        </w:rPr>
        <w:t>Ưu tiên thứ hai</w:t>
      </w:r>
      <w:r>
        <w:rPr>
          <w:rFonts w:ascii="Times New Roman" w:eastAsia="Times New Roman" w:hAnsi="Times New Roman" w:cs="Times New Roman"/>
          <w:sz w:val="26"/>
          <w:szCs w:val="26"/>
          <w:lang w:val="vi"/>
        </w:rPr>
        <w:t xml:space="preserve"> thuộc về mặt thể chế. Một chế độ bảo vệ dữ liệu hiện đại đòi hỏi sự giám sát rõ ràng, các hướng dẫn công khai và những kênh tương tác với khu vực tư nhân. Nếu thiếu đi cấu phần này, các công ty sẽ phải tự mình diễn giải các khái niệm kỹ thuật phức tạp, làm giảm đi khả năng dự báo của hệ thống. Đối với Việt Nam, điều này đồng nghĩa với việc phát triển năng lực hành chính, cung cấp định hướng cho các doanh nghiệp công nghệ và xây dựng các tiêu chí áp dụng cho các tình huống gia công cụ thể như đám mây, phát triển phần mềm từ xa và hỗ trợ xuyên biên giới.</w:t>
      </w:r>
    </w:p>
    <w:p w14:paraId="0A07A1F6" w14:textId="4BBCB418" w:rsidR="005F6514" w:rsidRPr="005F6514" w:rsidRDefault="005F6514" w:rsidP="005F6514">
      <w:pPr>
        <w:spacing w:before="120"/>
        <w:ind w:firstLine="567"/>
        <w:jc w:val="both"/>
        <w:rPr>
          <w:rFonts w:ascii="Times New Roman" w:eastAsia="Times New Roman" w:hAnsi="Times New Roman" w:cs="Times New Roman"/>
          <w:sz w:val="26"/>
          <w:szCs w:val="26"/>
          <w:lang w:val="vi"/>
        </w:rPr>
      </w:pPr>
      <w:r>
        <w:rPr>
          <w:rFonts w:ascii="Times New Roman" w:eastAsia="Times New Roman" w:hAnsi="Times New Roman" w:cs="Times New Roman"/>
          <w:i/>
          <w:iCs/>
          <w:sz w:val="26"/>
          <w:szCs w:val="26"/>
          <w:lang w:val="vi"/>
        </w:rPr>
        <w:t>Ưu tiên thứ ba</w:t>
      </w:r>
      <w:r>
        <w:rPr>
          <w:rFonts w:ascii="Times New Roman" w:eastAsia="Times New Roman" w:hAnsi="Times New Roman" w:cs="Times New Roman"/>
          <w:sz w:val="26"/>
          <w:szCs w:val="26"/>
          <w:lang w:val="vi"/>
        </w:rPr>
        <w:t xml:space="preserve"> xoay quanh khía cạnh doanh nghiệp. Các công ty Việt Nam muốn hợp tác với khách hàng châu Âu</w:t>
      </w:r>
      <w:r w:rsidR="00441372">
        <w:rPr>
          <w:rFonts w:ascii="Times New Roman" w:eastAsia="Times New Roman" w:hAnsi="Times New Roman" w:cs="Times New Roman"/>
          <w:sz w:val="26"/>
          <w:szCs w:val="26"/>
          <w:lang w:val="vi"/>
        </w:rPr>
        <w:t xml:space="preserve"> thì</w:t>
      </w:r>
      <w:r>
        <w:rPr>
          <w:rFonts w:ascii="Times New Roman" w:eastAsia="Times New Roman" w:hAnsi="Times New Roman" w:cs="Times New Roman"/>
          <w:sz w:val="26"/>
          <w:szCs w:val="26"/>
          <w:lang w:val="vi"/>
        </w:rPr>
        <w:t xml:space="preserve"> </w:t>
      </w:r>
      <w:r w:rsidR="005C5B02">
        <w:rPr>
          <w:rFonts w:ascii="Times New Roman" w:eastAsia="Times New Roman" w:hAnsi="Times New Roman" w:cs="Times New Roman"/>
          <w:sz w:val="26"/>
          <w:szCs w:val="26"/>
          <w:lang w:val="vi"/>
        </w:rPr>
        <w:t xml:space="preserve">cần </w:t>
      </w:r>
      <w:r>
        <w:rPr>
          <w:rFonts w:ascii="Times New Roman" w:eastAsia="Times New Roman" w:hAnsi="Times New Roman" w:cs="Times New Roman"/>
          <w:sz w:val="26"/>
          <w:szCs w:val="26"/>
          <w:lang w:val="vi"/>
        </w:rPr>
        <w:t xml:space="preserve">xem </w:t>
      </w:r>
      <w:r w:rsidR="005C5B02">
        <w:rPr>
          <w:rFonts w:ascii="Times New Roman" w:eastAsia="Times New Roman" w:hAnsi="Times New Roman" w:cs="Times New Roman"/>
          <w:sz w:val="26"/>
          <w:szCs w:val="26"/>
          <w:lang w:val="vi"/>
        </w:rPr>
        <w:t xml:space="preserve">xét </w:t>
      </w:r>
      <w:r>
        <w:rPr>
          <w:rFonts w:ascii="Times New Roman" w:eastAsia="Times New Roman" w:hAnsi="Times New Roman" w:cs="Times New Roman"/>
          <w:sz w:val="26"/>
          <w:szCs w:val="26"/>
          <w:lang w:val="vi"/>
        </w:rPr>
        <w:t xml:space="preserve">việc tuân thủ như một </w:t>
      </w:r>
      <w:r w:rsidR="005C5B02">
        <w:rPr>
          <w:rFonts w:ascii="Times New Roman" w:eastAsia="Times New Roman" w:hAnsi="Times New Roman" w:cs="Times New Roman"/>
          <w:sz w:val="26"/>
          <w:szCs w:val="26"/>
          <w:lang w:val="vi"/>
        </w:rPr>
        <w:t xml:space="preserve">yếu tố quan trọng trong </w:t>
      </w:r>
      <w:r>
        <w:rPr>
          <w:rFonts w:ascii="Times New Roman" w:eastAsia="Times New Roman" w:hAnsi="Times New Roman" w:cs="Times New Roman"/>
          <w:sz w:val="26"/>
          <w:szCs w:val="26"/>
          <w:lang w:val="vi"/>
        </w:rPr>
        <w:t>chiến lược</w:t>
      </w:r>
      <w:r w:rsidR="005C5B02">
        <w:rPr>
          <w:rFonts w:ascii="Times New Roman" w:eastAsia="Times New Roman" w:hAnsi="Times New Roman" w:cs="Times New Roman"/>
          <w:sz w:val="26"/>
          <w:szCs w:val="26"/>
          <w:lang w:val="vi"/>
        </w:rPr>
        <w:t xml:space="preserve"> kinh doanh</w:t>
      </w:r>
      <w:r>
        <w:rPr>
          <w:rFonts w:ascii="Times New Roman" w:eastAsia="Times New Roman" w:hAnsi="Times New Roman" w:cs="Times New Roman"/>
          <w:sz w:val="26"/>
          <w:szCs w:val="26"/>
          <w:lang w:val="vi"/>
        </w:rPr>
        <w:t xml:space="preserve">. Trên thực tế, điều này có nghĩa là phải áp dụng các bộ khung nội bộ về phân loại dữ liệu, quản lý quyền truy cập, quản trị nhà cung cấp phụ, quy trình phản hồi </w:t>
      </w:r>
      <w:r>
        <w:rPr>
          <w:rFonts w:ascii="Times New Roman" w:eastAsia="Times New Roman" w:hAnsi="Times New Roman" w:cs="Times New Roman"/>
          <w:sz w:val="26"/>
          <w:szCs w:val="26"/>
          <w:lang w:val="vi"/>
        </w:rPr>
        <w:lastRenderedPageBreak/>
        <w:t>sự cố và lưu trữ hồ sơ liên tục về các hoạt động xử lý. Điều này cũng bao gồm việc biến quá trình chuẩn bị đó thành các thông điệp thương mại dễ hiểu đối với khách hàng châu Âu: bảo mật có khả năng chứng minh, quy trình có thể kiểm toán và tính tương thích hợp đồng với GDPR.</w:t>
      </w:r>
    </w:p>
    <w:p w14:paraId="61DD213F" w14:textId="7EB523A6" w:rsidR="005F6514" w:rsidRPr="005F6514" w:rsidRDefault="005F6514" w:rsidP="005F6514">
      <w:pPr>
        <w:spacing w:before="120"/>
        <w:ind w:firstLine="567"/>
        <w:jc w:val="both"/>
        <w:rPr>
          <w:rFonts w:ascii="Times New Roman" w:eastAsia="Times New Roman" w:hAnsi="Times New Roman" w:cs="Times New Roman"/>
          <w:sz w:val="26"/>
          <w:szCs w:val="26"/>
          <w:lang w:val="vi"/>
        </w:rPr>
      </w:pPr>
      <w:r>
        <w:rPr>
          <w:rFonts w:ascii="Times New Roman" w:eastAsia="Times New Roman" w:hAnsi="Times New Roman" w:cs="Times New Roman"/>
          <w:sz w:val="26"/>
          <w:szCs w:val="26"/>
          <w:lang w:val="vi"/>
        </w:rPr>
        <w:t xml:space="preserve">Hiệp định EVFTA có thể đóng vai trò như một nền tảng thuận lợi để Việt Nam quảng bá hình ảnh đối tác kỹ thuật số đáng tin cậy, tạo điều kiện cho mối quan hệ kinh tế giữa Việt Nam và EU trong các lĩnh vực dịch vụ và đầu tư. Nhưng </w:t>
      </w:r>
      <w:r w:rsidR="00441372">
        <w:rPr>
          <w:rFonts w:ascii="Times New Roman" w:eastAsia="Times New Roman" w:hAnsi="Times New Roman" w:cs="Times New Roman"/>
          <w:sz w:val="26"/>
          <w:szCs w:val="26"/>
          <w:lang w:val="vi"/>
        </w:rPr>
        <w:t xml:space="preserve">sự </w:t>
      </w:r>
      <w:r>
        <w:rPr>
          <w:rFonts w:ascii="Times New Roman" w:eastAsia="Times New Roman" w:hAnsi="Times New Roman" w:cs="Times New Roman"/>
          <w:sz w:val="26"/>
          <w:szCs w:val="26"/>
          <w:lang w:val="vi"/>
        </w:rPr>
        <w:t xml:space="preserve">quảng bá đó chỉ trở nên xác đáng nếu các quy định về dữ liệu, an ninh mạng và sự tuân thủ của doanh nghiệp đi đôi với sự mở cửa thương mại. Nói cách khác, EVFTA tạo ra cơ hội; còn </w:t>
      </w:r>
      <w:r w:rsidR="005C5B02">
        <w:rPr>
          <w:rFonts w:ascii="Times New Roman" w:eastAsia="Times New Roman" w:hAnsi="Times New Roman" w:cs="Times New Roman"/>
          <w:sz w:val="26"/>
          <w:szCs w:val="26"/>
          <w:lang w:val="vi"/>
        </w:rPr>
        <w:t xml:space="preserve">mức độ </w:t>
      </w:r>
      <w:r>
        <w:rPr>
          <w:rFonts w:ascii="Times New Roman" w:eastAsia="Times New Roman" w:hAnsi="Times New Roman" w:cs="Times New Roman"/>
          <w:sz w:val="26"/>
          <w:szCs w:val="26"/>
          <w:lang w:val="vi"/>
        </w:rPr>
        <w:t xml:space="preserve">hội tụ pháp lý </w:t>
      </w:r>
      <w:r w:rsidR="005C5B02">
        <w:rPr>
          <w:rFonts w:ascii="Times New Roman" w:eastAsia="Times New Roman" w:hAnsi="Times New Roman" w:cs="Times New Roman"/>
          <w:sz w:val="26"/>
          <w:szCs w:val="26"/>
          <w:lang w:val="vi"/>
        </w:rPr>
        <w:t>có thể ảnh hưởng đáng kể tới khả năng c</w:t>
      </w:r>
      <w:r>
        <w:rPr>
          <w:rFonts w:ascii="Times New Roman" w:eastAsia="Times New Roman" w:hAnsi="Times New Roman" w:cs="Times New Roman"/>
          <w:sz w:val="26"/>
          <w:szCs w:val="26"/>
          <w:lang w:val="vi"/>
        </w:rPr>
        <w:t xml:space="preserve">huyển hóa </w:t>
      </w:r>
      <w:r w:rsidR="005C5B02">
        <w:rPr>
          <w:rFonts w:ascii="Times New Roman" w:eastAsia="Times New Roman" w:hAnsi="Times New Roman" w:cs="Times New Roman"/>
          <w:sz w:val="26"/>
          <w:szCs w:val="26"/>
          <w:lang w:val="vi"/>
        </w:rPr>
        <w:t xml:space="preserve">các cơ hội đó </w:t>
      </w:r>
      <w:r>
        <w:rPr>
          <w:rFonts w:ascii="Times New Roman" w:eastAsia="Times New Roman" w:hAnsi="Times New Roman" w:cs="Times New Roman"/>
          <w:sz w:val="26"/>
          <w:szCs w:val="26"/>
          <w:lang w:val="vi"/>
        </w:rPr>
        <w:t xml:space="preserve">thành các hợp đồng </w:t>
      </w:r>
      <w:r w:rsidR="005C5B02">
        <w:rPr>
          <w:rFonts w:ascii="Times New Roman" w:eastAsia="Times New Roman" w:hAnsi="Times New Roman" w:cs="Times New Roman"/>
          <w:sz w:val="26"/>
          <w:szCs w:val="26"/>
          <w:lang w:val="vi"/>
        </w:rPr>
        <w:t>dài hạn</w:t>
      </w:r>
      <w:r>
        <w:rPr>
          <w:rFonts w:ascii="Times New Roman" w:eastAsia="Times New Roman" w:hAnsi="Times New Roman" w:cs="Times New Roman"/>
          <w:sz w:val="26"/>
          <w:szCs w:val="26"/>
          <w:lang w:val="vi"/>
        </w:rPr>
        <w:t>.</w:t>
      </w:r>
    </w:p>
    <w:p w14:paraId="7B5167A4" w14:textId="68358A5F" w:rsidR="005F6514" w:rsidRDefault="008012D2" w:rsidP="005F6514">
      <w:pPr>
        <w:pStyle w:val="Heading2"/>
        <w:spacing w:before="120" w:after="120"/>
        <w:ind w:firstLine="567"/>
        <w:jc w:val="both"/>
        <w:rPr>
          <w:rFonts w:eastAsia="Times New Roman"/>
        </w:rPr>
      </w:pPr>
      <w:r>
        <w:rPr>
          <w:rFonts w:eastAsia="Times New Roman"/>
        </w:rPr>
        <w:t>4</w:t>
      </w:r>
      <w:r w:rsidR="005F6514">
        <w:rPr>
          <w:rFonts w:eastAsia="Times New Roman"/>
        </w:rPr>
        <w:t xml:space="preserve">. </w:t>
      </w:r>
      <w:r>
        <w:rPr>
          <w:rFonts w:eastAsia="Times New Roman"/>
        </w:rPr>
        <w:t>Một số k</w:t>
      </w:r>
      <w:r w:rsidR="005F6514">
        <w:rPr>
          <w:rFonts w:eastAsia="Times New Roman"/>
        </w:rPr>
        <w:t>huyến nghị</w:t>
      </w:r>
    </w:p>
    <w:p w14:paraId="7D020525" w14:textId="77777777" w:rsidR="005F6514" w:rsidRPr="005F6514" w:rsidRDefault="005F6514" w:rsidP="005F6514">
      <w:pPr>
        <w:spacing w:before="120"/>
        <w:ind w:firstLine="567"/>
        <w:jc w:val="both"/>
        <w:rPr>
          <w:rFonts w:ascii="Times New Roman" w:eastAsia="Times New Roman" w:hAnsi="Times New Roman" w:cs="Times New Roman"/>
          <w:sz w:val="26"/>
          <w:szCs w:val="26"/>
          <w:lang w:val="vi"/>
        </w:rPr>
      </w:pPr>
      <w:r>
        <w:rPr>
          <w:rFonts w:ascii="Times New Roman" w:eastAsia="Times New Roman" w:hAnsi="Times New Roman" w:cs="Times New Roman"/>
          <w:sz w:val="26"/>
          <w:szCs w:val="26"/>
          <w:lang w:val="vi"/>
        </w:rPr>
        <w:t>Việt Nam nên áp dụng một chiến lược thích ứng với Hiệu ứng Brussels trên nhiều cấp độ. Chương trình nghị sự này không nên được hiểu là một sự từ bỏ quyền tự chủ về quản lý pháp lý. Thay vào đó, đáp ứng một logic thực dụng: trong thị trường kỹ thuật số, quyền tự chủ thực tế được tăng cường khi một khu vực pháp lý có thể tương tác với các tiêu chuẩn thống trị mà không bị gạt ra lề khỏi các dòng chảy đầu tư, dữ liệu và dịch vụ mang giá trị gia tăng cao nhất.</w:t>
      </w:r>
    </w:p>
    <w:p w14:paraId="518C6556" w14:textId="77777777" w:rsidR="005F6514" w:rsidRPr="005F6514" w:rsidRDefault="005F6514" w:rsidP="005F6514">
      <w:pPr>
        <w:spacing w:before="120"/>
        <w:ind w:firstLine="567"/>
        <w:jc w:val="both"/>
        <w:rPr>
          <w:rFonts w:ascii="Times New Roman" w:eastAsia="Times New Roman" w:hAnsi="Times New Roman" w:cs="Times New Roman"/>
          <w:sz w:val="26"/>
          <w:szCs w:val="26"/>
          <w:lang w:val="vi"/>
        </w:rPr>
      </w:pPr>
      <w:r>
        <w:rPr>
          <w:rFonts w:ascii="Times New Roman" w:eastAsia="Times New Roman" w:hAnsi="Times New Roman" w:cs="Times New Roman"/>
          <w:i/>
          <w:iCs/>
          <w:sz w:val="26"/>
          <w:szCs w:val="26"/>
          <w:lang w:val="vi"/>
        </w:rPr>
        <w:t>Thứ nhất,</w:t>
      </w:r>
      <w:r>
        <w:rPr>
          <w:rFonts w:ascii="Times New Roman" w:eastAsia="Times New Roman" w:hAnsi="Times New Roman" w:cs="Times New Roman"/>
          <w:sz w:val="26"/>
          <w:szCs w:val="26"/>
          <w:lang w:val="vi"/>
        </w:rPr>
        <w:t xml:space="preserve"> ở cấp độ lập pháp, cần tiếp tục điều chỉnh sự tương thích về chức năng giữa pháp luật Việt Nam và GDPR, đặc biệt trong việc chuyển dữ liệu quốc tế, trách nhiệm của bên xử lý và các biện pháp trách nhiệm giải trình. </w:t>
      </w:r>
    </w:p>
    <w:p w14:paraId="121868B1" w14:textId="77777777" w:rsidR="005F6514" w:rsidRPr="005F6514" w:rsidRDefault="005F6514" w:rsidP="005F6514">
      <w:pPr>
        <w:spacing w:before="120"/>
        <w:ind w:firstLine="567"/>
        <w:jc w:val="both"/>
        <w:rPr>
          <w:rFonts w:ascii="Times New Roman" w:eastAsia="Times New Roman" w:hAnsi="Times New Roman" w:cs="Times New Roman"/>
          <w:sz w:val="26"/>
          <w:szCs w:val="26"/>
          <w:lang w:val="vi"/>
        </w:rPr>
      </w:pPr>
      <w:r>
        <w:rPr>
          <w:rFonts w:ascii="Times New Roman" w:eastAsia="Times New Roman" w:hAnsi="Times New Roman" w:cs="Times New Roman"/>
          <w:i/>
          <w:iCs/>
          <w:sz w:val="26"/>
          <w:szCs w:val="26"/>
          <w:lang w:val="vi"/>
        </w:rPr>
        <w:t>Thứ hai,</w:t>
      </w:r>
      <w:r>
        <w:rPr>
          <w:rFonts w:ascii="Times New Roman" w:eastAsia="Times New Roman" w:hAnsi="Times New Roman" w:cs="Times New Roman"/>
          <w:sz w:val="26"/>
          <w:szCs w:val="26"/>
          <w:lang w:val="vi"/>
        </w:rPr>
        <w:t xml:space="preserve"> ở cấp độ thể chế, cần có các hướng dẫn cụ thể theo ngành dành cho các công ty gia công, phần mềm và dịch vụ đám mây, kèm theo các ví dụ về hợp đồng và các tiêu chí áp dụng cho các hoạt động thông thường.</w:t>
      </w:r>
    </w:p>
    <w:p w14:paraId="4D74F69D" w14:textId="77777777" w:rsidR="005F6514" w:rsidRPr="005F6514" w:rsidRDefault="005F6514" w:rsidP="005F6514">
      <w:pPr>
        <w:spacing w:before="120"/>
        <w:ind w:firstLine="567"/>
        <w:jc w:val="both"/>
        <w:rPr>
          <w:rFonts w:ascii="Times New Roman" w:eastAsia="Times New Roman" w:hAnsi="Times New Roman" w:cs="Times New Roman"/>
          <w:sz w:val="26"/>
          <w:szCs w:val="26"/>
          <w:lang w:val="vi"/>
        </w:rPr>
      </w:pPr>
      <w:r>
        <w:rPr>
          <w:rFonts w:ascii="Times New Roman" w:eastAsia="Times New Roman" w:hAnsi="Times New Roman" w:cs="Times New Roman"/>
          <w:i/>
          <w:iCs/>
          <w:sz w:val="26"/>
          <w:szCs w:val="26"/>
          <w:lang w:val="vi"/>
        </w:rPr>
        <w:t>Thứ ba,</w:t>
      </w:r>
      <w:r>
        <w:rPr>
          <w:rFonts w:ascii="Times New Roman" w:eastAsia="Times New Roman" w:hAnsi="Times New Roman" w:cs="Times New Roman"/>
          <w:sz w:val="26"/>
          <w:szCs w:val="26"/>
          <w:lang w:val="vi"/>
        </w:rPr>
        <w:t xml:space="preserve"> ở cấp độ doanh nghiệp, nên thúc đẩy các chương trình chứng nhận, đào tạo kỹ thuật và kiểm toán hướng tới các doanh nghiệp công nghệ vừa và nhỏ (SME), không chỉ giới hạn ở những nhà xuất khẩu dịch vụ lớn. Kinh nghiệm so sánh cho thấy, sự tuân thủ chỉ trở thành lợi thế quốc gia khi nó vươn tới được một khối lượng đủ lớn trong hệ sinh thái, chứ không phải khi nó chỉ nằm trong tay một vài công ty dẫn đầu. </w:t>
      </w:r>
    </w:p>
    <w:p w14:paraId="1B25B43D" w14:textId="77777777" w:rsidR="005F6514" w:rsidRPr="005F6514" w:rsidRDefault="005F6514" w:rsidP="005F6514">
      <w:pPr>
        <w:spacing w:before="120"/>
        <w:ind w:firstLine="567"/>
        <w:jc w:val="both"/>
        <w:rPr>
          <w:rFonts w:ascii="Times New Roman" w:eastAsia="Times New Roman" w:hAnsi="Times New Roman" w:cs="Times New Roman"/>
          <w:sz w:val="26"/>
          <w:szCs w:val="26"/>
          <w:lang w:val="vi"/>
        </w:rPr>
      </w:pPr>
      <w:r>
        <w:rPr>
          <w:rFonts w:ascii="Times New Roman" w:eastAsia="Times New Roman" w:hAnsi="Times New Roman" w:cs="Times New Roman"/>
          <w:i/>
          <w:iCs/>
          <w:sz w:val="26"/>
          <w:szCs w:val="26"/>
          <w:lang w:val="vi"/>
        </w:rPr>
        <w:t>Thứ tư,</w:t>
      </w:r>
      <w:r>
        <w:rPr>
          <w:rFonts w:ascii="Times New Roman" w:eastAsia="Times New Roman" w:hAnsi="Times New Roman" w:cs="Times New Roman"/>
          <w:sz w:val="26"/>
          <w:szCs w:val="26"/>
          <w:lang w:val="vi"/>
        </w:rPr>
        <w:t xml:space="preserve"> ở cấp độ chính sách kinh tế đối ngoại, Việt Nam có thể tận dụng các kênh của EVFTA và các cuộc đối thoại pháp lý với EU để thúc đẩy hợp tác kỹ thuật về quản trị dữ liệu và các thực hành tốt trong việc chuyển dữ liệu quốc tế.</w:t>
      </w:r>
    </w:p>
    <w:p w14:paraId="10803B6A" w14:textId="690A54E5" w:rsidR="005F6514" w:rsidRDefault="008012D2" w:rsidP="005F6514">
      <w:pPr>
        <w:pStyle w:val="Heading2"/>
        <w:spacing w:before="120" w:after="120"/>
        <w:ind w:firstLine="567"/>
        <w:jc w:val="both"/>
        <w:rPr>
          <w:rFonts w:eastAsia="Times New Roman"/>
        </w:rPr>
      </w:pPr>
      <w:r>
        <w:rPr>
          <w:rFonts w:eastAsia="Times New Roman"/>
        </w:rPr>
        <w:t>5</w:t>
      </w:r>
      <w:r w:rsidR="005F6514">
        <w:rPr>
          <w:rFonts w:eastAsia="Times New Roman"/>
        </w:rPr>
        <w:t>. Kết luận</w:t>
      </w:r>
    </w:p>
    <w:p w14:paraId="22740E47" w14:textId="4666D5E1" w:rsidR="005F6514" w:rsidRPr="005F6514" w:rsidRDefault="005F6514" w:rsidP="005F6514">
      <w:pPr>
        <w:spacing w:before="120"/>
        <w:ind w:firstLine="567"/>
        <w:jc w:val="both"/>
        <w:rPr>
          <w:rFonts w:ascii="Times New Roman" w:eastAsia="Times New Roman" w:hAnsi="Times New Roman" w:cs="Times New Roman"/>
          <w:sz w:val="26"/>
          <w:szCs w:val="26"/>
          <w:lang w:val="vi"/>
        </w:rPr>
      </w:pPr>
      <w:r>
        <w:rPr>
          <w:rFonts w:ascii="Times New Roman" w:eastAsia="Times New Roman" w:hAnsi="Times New Roman" w:cs="Times New Roman"/>
          <w:sz w:val="26"/>
          <w:szCs w:val="26"/>
          <w:lang w:val="vi"/>
        </w:rPr>
        <w:t xml:space="preserve">Hiệu ứng Brussels </w:t>
      </w:r>
      <w:r w:rsidR="005C5B02">
        <w:rPr>
          <w:rFonts w:ascii="Times New Roman" w:eastAsia="Times New Roman" w:hAnsi="Times New Roman" w:cs="Times New Roman"/>
          <w:sz w:val="26"/>
          <w:szCs w:val="26"/>
          <w:lang w:val="vi"/>
        </w:rPr>
        <w:t xml:space="preserve">đang góp phần làm thay đổi </w:t>
      </w:r>
      <w:r>
        <w:rPr>
          <w:rFonts w:ascii="Times New Roman" w:eastAsia="Times New Roman" w:hAnsi="Times New Roman" w:cs="Times New Roman"/>
          <w:sz w:val="26"/>
          <w:szCs w:val="26"/>
          <w:lang w:val="vi"/>
        </w:rPr>
        <w:t xml:space="preserve">lĩnh vực gia công CNTT thành một không gian mà sự cạnh tranh kinh tế và sự tương thích pháp lý </w:t>
      </w:r>
      <w:r w:rsidR="008A5E93">
        <w:rPr>
          <w:rFonts w:ascii="Times New Roman" w:eastAsia="Times New Roman" w:hAnsi="Times New Roman" w:cs="Times New Roman"/>
          <w:sz w:val="26"/>
          <w:szCs w:val="26"/>
          <w:lang w:val="vi"/>
        </w:rPr>
        <w:t>ngày càng gắn kết chặt chẽ với nhau</w:t>
      </w:r>
      <w:r>
        <w:rPr>
          <w:rFonts w:ascii="Times New Roman" w:eastAsia="Times New Roman" w:hAnsi="Times New Roman" w:cs="Times New Roman"/>
          <w:sz w:val="26"/>
          <w:szCs w:val="26"/>
          <w:lang w:val="vi"/>
        </w:rPr>
        <w:t>. GDPR không chỉ nâng cao mức độ yêu cầu đối với các công ty hoạt động bằng dữ liệu của cư dân châu Âu, mà còn thúc đẩy các nước xuất khẩu dịch vụ kỹ thuật số phải xem xét lại hệ thống luật pháp, cấu trúc thể chế và chiến lược định vị quốc tế của mình.</w:t>
      </w:r>
    </w:p>
    <w:p w14:paraId="5954792E" w14:textId="5C9025FF" w:rsidR="005F6514" w:rsidRPr="005F6514" w:rsidRDefault="005F6514" w:rsidP="005F6514">
      <w:pPr>
        <w:spacing w:before="120"/>
        <w:ind w:firstLine="567"/>
        <w:jc w:val="both"/>
        <w:rPr>
          <w:rFonts w:ascii="Times New Roman" w:eastAsia="Times New Roman" w:hAnsi="Times New Roman" w:cs="Times New Roman"/>
          <w:sz w:val="26"/>
          <w:szCs w:val="26"/>
          <w:lang w:val="vi"/>
        </w:rPr>
      </w:pPr>
      <w:r>
        <w:rPr>
          <w:rFonts w:ascii="Times New Roman" w:eastAsia="Times New Roman" w:hAnsi="Times New Roman" w:cs="Times New Roman"/>
          <w:sz w:val="26"/>
          <w:szCs w:val="26"/>
          <w:lang w:val="vi"/>
        </w:rPr>
        <w:t xml:space="preserve">Ấn Độ và Philippines cho thấy hai lộ trình thích ứng khác nhau. Lộ trình thứ nhất dựa vào quy mô doanh nghiệp và sự hội tụ chức năng được thúc đẩy bởi các nhà vận hành lớn; </w:t>
      </w:r>
      <w:r>
        <w:rPr>
          <w:rFonts w:ascii="Times New Roman" w:eastAsia="Times New Roman" w:hAnsi="Times New Roman" w:cs="Times New Roman"/>
          <w:sz w:val="26"/>
          <w:szCs w:val="26"/>
          <w:lang w:val="vi"/>
        </w:rPr>
        <w:lastRenderedPageBreak/>
        <w:t xml:space="preserve">Lộ trình thứ hai dựa vào năng lực hiện diện của thể chế và việc diễn giải quy trình tuân thủ theo nhóm ngành. Không có mô hình nào là hoàn hảo, nhưng cả hai </w:t>
      </w:r>
      <w:r w:rsidR="008A5E93">
        <w:rPr>
          <w:rFonts w:ascii="Times New Roman" w:eastAsia="Times New Roman" w:hAnsi="Times New Roman" w:cs="Times New Roman"/>
          <w:sz w:val="26"/>
          <w:szCs w:val="26"/>
          <w:lang w:val="vi"/>
        </w:rPr>
        <w:t xml:space="preserve">trường hợp đều cho thấy một xu hướng </w:t>
      </w:r>
      <w:r>
        <w:rPr>
          <w:rFonts w:ascii="Times New Roman" w:eastAsia="Times New Roman" w:hAnsi="Times New Roman" w:cs="Times New Roman"/>
          <w:sz w:val="26"/>
          <w:szCs w:val="26"/>
          <w:lang w:val="vi"/>
        </w:rPr>
        <w:t>chung</w:t>
      </w:r>
      <w:r w:rsidR="00441372">
        <w:rPr>
          <w:rFonts w:ascii="Times New Roman" w:eastAsia="Times New Roman" w:hAnsi="Times New Roman" w:cs="Times New Roman"/>
          <w:sz w:val="26"/>
          <w:szCs w:val="26"/>
          <w:lang w:val="vi"/>
        </w:rPr>
        <w:t>, đó là</w:t>
      </w:r>
      <w:r>
        <w:rPr>
          <w:rFonts w:ascii="Times New Roman" w:eastAsia="Times New Roman" w:hAnsi="Times New Roman" w:cs="Times New Roman"/>
          <w:sz w:val="26"/>
          <w:szCs w:val="26"/>
          <w:lang w:val="vi"/>
        </w:rPr>
        <w:t xml:space="preserve">: hiệu quả thích ứng </w:t>
      </w:r>
      <w:r w:rsidR="003B168D">
        <w:rPr>
          <w:rFonts w:ascii="Times New Roman" w:eastAsia="Times New Roman" w:hAnsi="Times New Roman" w:cs="Times New Roman"/>
          <w:sz w:val="26"/>
          <w:szCs w:val="26"/>
          <w:lang w:val="vi"/>
        </w:rPr>
        <w:t xml:space="preserve">gắn với </w:t>
      </w:r>
      <w:r>
        <w:rPr>
          <w:rFonts w:ascii="Times New Roman" w:eastAsia="Times New Roman" w:hAnsi="Times New Roman" w:cs="Times New Roman"/>
          <w:sz w:val="26"/>
          <w:szCs w:val="26"/>
          <w:lang w:val="vi"/>
        </w:rPr>
        <w:t>sự phối hợp giữa hội tụ pháp lý ở cấp quốc gia và năng lực vận hành tuân thủ ở cấp doanh nghiệp</w:t>
      </w:r>
      <w:r w:rsidR="00E40B8C">
        <w:rPr>
          <w:rFonts w:ascii="Times New Roman" w:eastAsia="Times New Roman" w:hAnsi="Times New Roman" w:cs="Times New Roman"/>
          <w:sz w:val="26"/>
          <w:szCs w:val="26"/>
          <w:lang w:val="vi"/>
        </w:rPr>
        <w:t xml:space="preserve"> -</w:t>
      </w:r>
      <w:r w:rsidR="008A5E93">
        <w:rPr>
          <w:rFonts w:ascii="Times New Roman" w:eastAsia="Times New Roman" w:hAnsi="Times New Roman" w:cs="Times New Roman"/>
          <w:sz w:val="26"/>
          <w:szCs w:val="26"/>
          <w:lang w:val="vi"/>
        </w:rPr>
        <w:t xml:space="preserve"> </w:t>
      </w:r>
      <w:r w:rsidR="00441372">
        <w:rPr>
          <w:rFonts w:ascii="Times New Roman" w:eastAsia="Times New Roman" w:hAnsi="Times New Roman" w:cs="Times New Roman"/>
          <w:sz w:val="26"/>
          <w:szCs w:val="26"/>
          <w:lang w:val="vi"/>
        </w:rPr>
        <w:t xml:space="preserve">nếu </w:t>
      </w:r>
      <w:r>
        <w:rPr>
          <w:rFonts w:ascii="Times New Roman" w:eastAsia="Times New Roman" w:hAnsi="Times New Roman" w:cs="Times New Roman"/>
          <w:sz w:val="26"/>
          <w:szCs w:val="26"/>
          <w:lang w:val="vi"/>
        </w:rPr>
        <w:t xml:space="preserve">thiếu một trong hai, </w:t>
      </w:r>
      <w:r w:rsidR="00096117" w:rsidRPr="00096117">
        <w:rPr>
          <w:rFonts w:ascii="Times New Roman" w:eastAsia="Times New Roman" w:hAnsi="Times New Roman" w:cs="Times New Roman"/>
          <w:sz w:val="26"/>
          <w:szCs w:val="26"/>
          <w:lang w:val="vi"/>
        </w:rPr>
        <w:t>khả năng duy trì lợi thế cạnh tranh có thể bị hạn chế</w:t>
      </w:r>
      <w:r>
        <w:rPr>
          <w:rFonts w:ascii="Times New Roman" w:eastAsia="Times New Roman" w:hAnsi="Times New Roman" w:cs="Times New Roman"/>
          <w:sz w:val="26"/>
          <w:szCs w:val="26"/>
          <w:lang w:val="vi"/>
        </w:rPr>
        <w:t>.</w:t>
      </w:r>
    </w:p>
    <w:p w14:paraId="18B9CD2E" w14:textId="210E99C1" w:rsidR="005F6514" w:rsidRPr="005F6514" w:rsidRDefault="005F6514" w:rsidP="005F6514">
      <w:pPr>
        <w:spacing w:before="120"/>
        <w:ind w:firstLine="567"/>
        <w:jc w:val="both"/>
        <w:rPr>
          <w:rFonts w:ascii="Times New Roman" w:eastAsia="Times New Roman" w:hAnsi="Times New Roman" w:cs="Times New Roman"/>
          <w:sz w:val="26"/>
          <w:szCs w:val="26"/>
          <w:lang w:val="vi"/>
        </w:rPr>
      </w:pPr>
      <w:r>
        <w:rPr>
          <w:rFonts w:ascii="Times New Roman" w:eastAsia="Times New Roman" w:hAnsi="Times New Roman" w:cs="Times New Roman"/>
          <w:sz w:val="26"/>
          <w:szCs w:val="26"/>
          <w:lang w:val="vi"/>
        </w:rPr>
        <w:t xml:space="preserve">Đối với Việt Nam, việc tiếp tục hoàn thiện thể chế, luật và các quy định hướng dẫn thi hành luật này </w:t>
      </w:r>
      <w:r w:rsidR="008A5E93">
        <w:rPr>
          <w:rFonts w:ascii="Times New Roman" w:eastAsia="Times New Roman" w:hAnsi="Times New Roman" w:cs="Times New Roman"/>
          <w:sz w:val="26"/>
          <w:szCs w:val="26"/>
          <w:lang w:val="vi"/>
        </w:rPr>
        <w:t xml:space="preserve">có thể tạo điều kiện để Việt Nam tăng cường vị thế như </w:t>
      </w:r>
      <w:r>
        <w:rPr>
          <w:rFonts w:ascii="Times New Roman" w:eastAsia="Times New Roman" w:hAnsi="Times New Roman" w:cs="Times New Roman"/>
          <w:sz w:val="26"/>
          <w:szCs w:val="26"/>
          <w:lang w:val="vi"/>
        </w:rPr>
        <w:t>một đối tác kỹ thuật số đáng tin cậy</w:t>
      </w:r>
      <w:r w:rsidR="008A5E93">
        <w:rPr>
          <w:rFonts w:ascii="Times New Roman" w:eastAsia="Times New Roman" w:hAnsi="Times New Roman" w:cs="Times New Roman"/>
          <w:sz w:val="26"/>
          <w:szCs w:val="26"/>
          <w:lang w:val="vi"/>
        </w:rPr>
        <w:t xml:space="preserve"> đối với EU</w:t>
      </w:r>
      <w:r>
        <w:rPr>
          <w:rFonts w:ascii="Times New Roman" w:eastAsia="Times New Roman" w:hAnsi="Times New Roman" w:cs="Times New Roman"/>
          <w:sz w:val="26"/>
          <w:szCs w:val="26"/>
          <w:lang w:val="vi"/>
        </w:rPr>
        <w:t>.</w:t>
      </w:r>
    </w:p>
    <w:bookmarkEnd w:id="11"/>
    <w:p w14:paraId="40EC2C02" w14:textId="57BEFAA9" w:rsidR="005F6514" w:rsidRPr="005F6514" w:rsidRDefault="005F6514" w:rsidP="000A7317">
      <w:pPr>
        <w:spacing w:after="0" w:line="240" w:lineRule="auto"/>
        <w:ind w:left="-30"/>
        <w:rPr>
          <w:rFonts w:ascii="Times New Roman" w:hAnsi="Times New Roman" w:cs="Times New Roman"/>
          <w:sz w:val="26"/>
          <w:szCs w:val="26"/>
          <w:lang w:val="vi-VN"/>
        </w:rPr>
      </w:pPr>
      <w:r>
        <w:rPr>
          <w:rFonts w:ascii="Times New Roman" w:hAnsi="Times New Roman" w:cs="Times New Roman"/>
          <w:sz w:val="26"/>
          <w:szCs w:val="26"/>
        </w:rPr>
        <w:t>Tài</w:t>
      </w:r>
      <w:r>
        <w:rPr>
          <w:rFonts w:ascii="Times New Roman" w:hAnsi="Times New Roman" w:cs="Times New Roman"/>
          <w:sz w:val="26"/>
          <w:szCs w:val="26"/>
          <w:lang w:val="vi-VN"/>
        </w:rPr>
        <w:t xml:space="preserve"> liệu trích dẫn</w:t>
      </w:r>
    </w:p>
    <w:sectPr w:rsidR="005F6514" w:rsidRPr="005F6514">
      <w:endnotePr>
        <w:numFmt w:val="decimal"/>
      </w:endnotePr>
      <w:pgSz w:w="12240" w:h="15840"/>
      <w:pgMar w:top="1365" w:right="1365" w:bottom="1365" w:left="13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38A60" w14:textId="77777777" w:rsidR="00036661" w:rsidRDefault="00036661" w:rsidP="000A7317">
      <w:pPr>
        <w:spacing w:after="0" w:line="240" w:lineRule="auto"/>
      </w:pPr>
      <w:r>
        <w:separator/>
      </w:r>
    </w:p>
  </w:endnote>
  <w:endnote w:type="continuationSeparator" w:id="0">
    <w:p w14:paraId="437103B5" w14:textId="77777777" w:rsidR="00036661" w:rsidRDefault="00036661" w:rsidP="000A7317">
      <w:pPr>
        <w:spacing w:after="0" w:line="240" w:lineRule="auto"/>
      </w:pPr>
      <w:r>
        <w:continuationSeparator/>
      </w:r>
    </w:p>
  </w:endnote>
  <w:endnote w:id="1">
    <w:p w14:paraId="656A7E3C" w14:textId="77777777" w:rsidR="000A7317" w:rsidRPr="000354DD" w:rsidRDefault="000A7317" w:rsidP="000A7317">
      <w:pPr>
        <w:pStyle w:val="EndnoteText"/>
        <w:rPr>
          <w:rFonts w:asciiTheme="minorHAnsi"/>
          <w:lang w:val="vi-VN"/>
        </w:rPr>
      </w:pPr>
      <w:r>
        <w:rPr>
          <w:rStyle w:val="EndnoteReference"/>
        </w:rPr>
        <w:endnoteRef/>
      </w:r>
      <w:r>
        <w:t xml:space="preserve"> </w:t>
      </w:r>
      <w:r>
        <w:rPr>
          <w:color w:val="000000"/>
        </w:rPr>
        <w:t>Bradford, A. (2015). The Brussels Effect. Northwestern University Law Review, Vol. 107, No. 1.</w:t>
      </w:r>
    </w:p>
  </w:endnote>
  <w:endnote w:id="2">
    <w:p w14:paraId="4179B982" w14:textId="77777777" w:rsidR="000A7317" w:rsidRPr="000A7317" w:rsidRDefault="000A7317" w:rsidP="000A7317">
      <w:pPr>
        <w:pStyle w:val="EndnoteText"/>
        <w:rPr>
          <w:rFonts w:ascii="source serif 4" w:eastAsia="source serif 4" w:hAnsi="source serif 4" w:cs="source serif 4"/>
          <w:color w:val="000000"/>
          <w:sz w:val="21"/>
        </w:rPr>
      </w:pPr>
      <w:r>
        <w:rPr>
          <w:rStyle w:val="EndnoteReference"/>
        </w:rPr>
        <w:endnoteRef/>
      </w:r>
      <w:r>
        <w:t xml:space="preserve"> </w:t>
      </w:r>
      <w:r>
        <w:rPr>
          <w:rFonts w:ascii="source serif 4" w:eastAsia="source serif 4" w:hAnsi="source serif 4" w:cs="source serif 4"/>
          <w:color w:val="000000"/>
          <w:sz w:val="21"/>
        </w:rPr>
        <w:t>Delft University of Technology</w:t>
      </w:r>
      <w:r w:rsidRPr="000A7317">
        <w:rPr>
          <w:rFonts w:ascii="source serif 4" w:eastAsia="source serif 4" w:hAnsi="source serif 4" w:cs="source serif 4"/>
          <w:color w:val="000000"/>
          <w:sz w:val="21"/>
        </w:rPr>
        <w:t xml:space="preserve"> (2021).</w:t>
      </w:r>
      <w:r>
        <w:rPr>
          <w:rFonts w:ascii="source serif 4" w:eastAsia="source serif 4" w:hAnsi="source serif 4" w:cs="source serif 4"/>
          <w:color w:val="000000"/>
          <w:sz w:val="21"/>
        </w:rPr>
        <w:t xml:space="preserve"> </w:t>
      </w:r>
      <w:r w:rsidRPr="000A7317">
        <w:rPr>
          <w:rFonts w:ascii="source serif 4" w:eastAsia="source serif 4" w:hAnsi="source serif 4" w:cs="source serif 4"/>
          <w:color w:val="000000"/>
          <w:sz w:val="21"/>
        </w:rPr>
        <w:t>Measuring the Brussels Effect through Access Requests.</w:t>
      </w:r>
    </w:p>
  </w:endnote>
  <w:endnote w:id="3">
    <w:p w14:paraId="75CE97C6" w14:textId="77777777" w:rsidR="000A7317" w:rsidRPr="000A7317" w:rsidRDefault="000A7317" w:rsidP="000A7317">
      <w:pPr>
        <w:pStyle w:val="EndnoteText"/>
        <w:rPr>
          <w:rFonts w:ascii="source serif 4" w:eastAsia="source serif 4" w:hAnsi="source serif 4" w:cs="source serif 4"/>
          <w:color w:val="000000"/>
          <w:sz w:val="21"/>
        </w:rPr>
      </w:pPr>
      <w:r w:rsidRPr="000A7317">
        <w:rPr>
          <w:rFonts w:ascii="source serif 4" w:eastAsia="source serif 4" w:hAnsi="source serif 4" w:cs="source serif 4"/>
          <w:color w:val="000000"/>
          <w:sz w:val="21"/>
        </w:rPr>
        <w:endnoteRef/>
      </w:r>
      <w:r w:rsidRPr="000A7317">
        <w:rPr>
          <w:rFonts w:ascii="source serif 4" w:eastAsia="source serif 4" w:hAnsi="source serif 4" w:cs="source serif 4"/>
          <w:color w:val="000000"/>
          <w:sz w:val="21"/>
        </w:rPr>
        <w:t xml:space="preserve"> Bradford, A. (2020). The Brussels Effect: How the European Union Rules the World. Oxford University Press.</w:t>
      </w:r>
    </w:p>
  </w:endnote>
  <w:endnote w:id="4">
    <w:p w14:paraId="7CF23349" w14:textId="7EFB8CDE" w:rsidR="000A7317" w:rsidRPr="000A7317" w:rsidRDefault="000A7317" w:rsidP="000A7317">
      <w:pPr>
        <w:pStyle w:val="EndnoteText"/>
        <w:rPr>
          <w:rFonts w:ascii="source serif 4" w:eastAsia="source serif 4" w:hAnsi="source serif 4" w:cs="source serif 4"/>
          <w:color w:val="000000"/>
          <w:sz w:val="21"/>
          <w:lang w:val="vi-VN"/>
        </w:rPr>
      </w:pPr>
      <w:r w:rsidRPr="000A7317">
        <w:rPr>
          <w:rFonts w:ascii="source serif 4" w:eastAsia="source serif 4" w:hAnsi="source serif 4" w:cs="source serif 4"/>
          <w:color w:val="000000"/>
          <w:sz w:val="21"/>
        </w:rPr>
        <w:endnoteRef/>
      </w:r>
      <w:r w:rsidRPr="000A7317">
        <w:rPr>
          <w:rFonts w:ascii="source serif 4" w:eastAsia="source serif 4" w:hAnsi="source serif 4" w:cs="source serif 4"/>
          <w:color w:val="000000"/>
          <w:sz w:val="21"/>
        </w:rPr>
        <w:t xml:space="preserve"> Nghị viện Châu Âu và Hội đồng Liên minh Châu Âu (2016). Quy định (EU) 2016/679 về bảo vệ dữ liệu cá nhân (General Data Protection Regulation - GDPR).</w:t>
      </w:r>
    </w:p>
  </w:endnote>
  <w:endnote w:id="5">
    <w:p w14:paraId="72A66AE8" w14:textId="77777777" w:rsidR="000A7317" w:rsidRPr="000A7317" w:rsidRDefault="000A7317" w:rsidP="000A7317">
      <w:pPr>
        <w:pStyle w:val="EndnoteText"/>
        <w:rPr>
          <w:rFonts w:ascii="source serif 4" w:eastAsia="source serif 4" w:hAnsi="source serif 4" w:cs="source serif 4"/>
          <w:color w:val="000000"/>
          <w:sz w:val="21"/>
        </w:rPr>
      </w:pPr>
      <w:r w:rsidRPr="000A7317">
        <w:rPr>
          <w:rFonts w:ascii="source serif 4" w:eastAsia="source serif 4" w:hAnsi="source serif 4" w:cs="source serif 4"/>
          <w:color w:val="000000"/>
          <w:sz w:val="21"/>
        </w:rPr>
        <w:endnoteRef/>
      </w:r>
      <w:r w:rsidRPr="000A7317">
        <w:rPr>
          <w:rFonts w:ascii="source serif 4" w:eastAsia="source serif 4" w:hAnsi="source serif 4" w:cs="source serif 4"/>
          <w:color w:val="000000"/>
          <w:sz w:val="21"/>
        </w:rPr>
        <w:t xml:space="preserve"> European Commission (2021). Commission Implementing Decision (EU) 2021/914 on Standard Contractual Clauses for the Transfer of Personal Data to Third Countries.</w:t>
      </w:r>
    </w:p>
    <w:p w14:paraId="75603BFE" w14:textId="77777777" w:rsidR="000A7317" w:rsidRPr="003B5989" w:rsidRDefault="000A7317" w:rsidP="000A7317">
      <w:pPr>
        <w:pStyle w:val="EndnoteText"/>
        <w:rPr>
          <w:rFonts w:asciiTheme="minorHAnsi"/>
        </w:rPr>
      </w:pPr>
    </w:p>
  </w:endnote>
  <w:endnote w:id="6">
    <w:p w14:paraId="77B3A12A" w14:textId="710CCD9F" w:rsidR="000A7317" w:rsidRPr="000A7317" w:rsidRDefault="000A7317">
      <w:pPr>
        <w:pStyle w:val="EndnoteText"/>
        <w:rPr>
          <w:rFonts w:asciiTheme="minorHAnsi"/>
          <w:lang w:val="vi-VN"/>
        </w:rPr>
      </w:pPr>
      <w:r>
        <w:rPr>
          <w:rStyle w:val="EndnoteReference"/>
        </w:rPr>
        <w:endnoteRef/>
      </w:r>
      <w:r>
        <w:t xml:space="preserve"> </w:t>
      </w:r>
      <w:r w:rsidRPr="000A7317">
        <w:t>IBEF (Qu</w:t>
      </w:r>
      <w:r w:rsidRPr="000A7317">
        <w:t>ỹ</w:t>
      </w:r>
      <w:r w:rsidRPr="000A7317">
        <w:t xml:space="preserve"> C</w:t>
      </w:r>
      <w:r w:rsidRPr="000A7317">
        <w:t>ô</w:t>
      </w:r>
      <w:r w:rsidRPr="000A7317">
        <w:t>ng b</w:t>
      </w:r>
      <w:r w:rsidRPr="000A7317">
        <w:t>ằ</w:t>
      </w:r>
      <w:r w:rsidRPr="000A7317">
        <w:t>ng Th</w:t>
      </w:r>
      <w:r w:rsidRPr="000A7317">
        <w:t>ươ</w:t>
      </w:r>
      <w:r w:rsidRPr="000A7317">
        <w:t>ng hi</w:t>
      </w:r>
      <w:r w:rsidRPr="000A7317">
        <w:t>ệ</w:t>
      </w:r>
      <w:r w:rsidRPr="000A7317">
        <w:t xml:space="preserve">u </w:t>
      </w:r>
      <w:r w:rsidRPr="000A7317">
        <w:t>Ấ</w:t>
      </w:r>
      <w:r w:rsidRPr="000A7317">
        <w:t xml:space="preserve">n </w:t>
      </w:r>
      <w:r w:rsidRPr="000A7317">
        <w:t>Độ</w:t>
      </w:r>
      <w:r w:rsidRPr="000A7317">
        <w:t>) (2025). B</w:t>
      </w:r>
      <w:r w:rsidRPr="000A7317">
        <w:t>á</w:t>
      </w:r>
      <w:r w:rsidRPr="000A7317">
        <w:t>o c</w:t>
      </w:r>
      <w:r w:rsidRPr="000A7317">
        <w:t>á</w:t>
      </w:r>
      <w:r w:rsidRPr="000A7317">
        <w:t>o h</w:t>
      </w:r>
      <w:r w:rsidRPr="000A7317">
        <w:t>à</w:t>
      </w:r>
      <w:r w:rsidRPr="000A7317">
        <w:t>ng n</w:t>
      </w:r>
      <w:r w:rsidRPr="000A7317">
        <w:t>ă</w:t>
      </w:r>
      <w:r w:rsidRPr="000A7317">
        <w:t>m.</w:t>
      </w:r>
    </w:p>
  </w:endnote>
  <w:endnote w:id="7">
    <w:p w14:paraId="59C6BFB8" w14:textId="461B8802" w:rsidR="00382682" w:rsidRPr="00382682" w:rsidRDefault="00382682">
      <w:pPr>
        <w:pStyle w:val="EndnoteText"/>
        <w:rPr>
          <w:rFonts w:asciiTheme="minorHAnsi"/>
          <w:lang w:val="vi-VN"/>
        </w:rPr>
      </w:pPr>
      <w:r>
        <w:rPr>
          <w:rStyle w:val="EndnoteReference"/>
        </w:rPr>
        <w:endnoteRef/>
      </w:r>
      <w:r>
        <w:t xml:space="preserve"> </w:t>
      </w:r>
      <w:r w:rsidRPr="00382682">
        <w:t>Center for European Policy Analysis. (2025).</w:t>
      </w:r>
      <w:r w:rsidRPr="00382682">
        <w:t> </w:t>
      </w:r>
      <w:r w:rsidRPr="00382682">
        <w:rPr>
          <w:i/>
          <w:iCs/>
        </w:rPr>
        <w:t>Mapping the Brussels Effect: The GDPR Goes Global</w:t>
      </w:r>
      <w:r w:rsidRPr="00382682">
        <w:t>.</w:t>
      </w:r>
    </w:p>
  </w:endnote>
  <w:endnote w:id="8">
    <w:p w14:paraId="47C70266" w14:textId="7DCECBBF" w:rsidR="00382682" w:rsidRPr="00382682" w:rsidRDefault="00382682">
      <w:pPr>
        <w:pStyle w:val="EndnoteText"/>
        <w:rPr>
          <w:rFonts w:asciiTheme="minorHAnsi"/>
          <w:lang w:val="vi-VN"/>
        </w:rPr>
      </w:pPr>
      <w:r>
        <w:rPr>
          <w:rStyle w:val="EndnoteReference"/>
        </w:rPr>
        <w:endnoteRef/>
      </w:r>
      <w:r>
        <w:t xml:space="preserve"> </w:t>
      </w:r>
      <w:r w:rsidRPr="00382682">
        <w:t>Advancetrack. (2023).</w:t>
      </w:r>
      <w:r w:rsidRPr="00382682">
        <w:t> </w:t>
      </w:r>
      <w:r w:rsidRPr="00382682">
        <w:rPr>
          <w:i/>
          <w:iCs/>
        </w:rPr>
        <w:t>FAQ: Does Outsourcing to India Mean GDPR Compliance?</w:t>
      </w:r>
    </w:p>
  </w:endnote>
  <w:endnote w:id="9">
    <w:p w14:paraId="50773148" w14:textId="4BAF4E7E" w:rsidR="005F6514" w:rsidRPr="005F6514" w:rsidRDefault="005F6514">
      <w:pPr>
        <w:pStyle w:val="EndnoteText"/>
        <w:rPr>
          <w:rFonts w:asciiTheme="minorHAnsi"/>
          <w:lang w:val="vi-VN"/>
        </w:rPr>
      </w:pPr>
      <w:r>
        <w:rPr>
          <w:rStyle w:val="EndnoteReference"/>
        </w:rPr>
        <w:endnoteRef/>
      </w:r>
      <w:r>
        <w:t xml:space="preserve"> </w:t>
      </w:r>
      <w:r w:rsidRPr="00830336">
        <w:rPr>
          <w:lang w:val="en-GB"/>
        </w:rPr>
        <w:t>Latham &amp; Watkins</w:t>
      </w:r>
      <w:r>
        <w:rPr>
          <w:rFonts w:asciiTheme="minorHAnsi"/>
          <w:lang w:val="vi-VN"/>
        </w:rPr>
        <w:t xml:space="preserve"> (</w:t>
      </w:r>
      <w:r>
        <w:rPr>
          <w:rFonts w:asciiTheme="minorHAnsi"/>
          <w:lang w:val="en-GB"/>
        </w:rPr>
        <w:t>2023</w:t>
      </w:r>
      <w:r>
        <w:rPr>
          <w:rFonts w:asciiTheme="minorHAnsi"/>
          <w:lang w:val="vi-VN"/>
        </w:rPr>
        <w:t>)</w:t>
      </w:r>
      <w:r w:rsidRPr="00830336">
        <w:rPr>
          <w:lang w:val="en-GB"/>
        </w:rPr>
        <w:t>.</w:t>
      </w:r>
      <w:r w:rsidRPr="00830336">
        <w:rPr>
          <w:lang w:val="en-GB"/>
        </w:rPr>
        <w:t> </w:t>
      </w:r>
      <w:r w:rsidRPr="00830336">
        <w:rPr>
          <w:i/>
          <w:iCs/>
          <w:lang w:val="en-GB"/>
        </w:rPr>
        <w:t>India</w:t>
      </w:r>
      <w:r w:rsidRPr="00830336">
        <w:rPr>
          <w:i/>
          <w:iCs/>
          <w:lang w:val="en-GB"/>
        </w:rPr>
        <w:t>’</w:t>
      </w:r>
      <w:r w:rsidRPr="00830336">
        <w:rPr>
          <w:i/>
          <w:iCs/>
          <w:lang w:val="en-GB"/>
        </w:rPr>
        <w:t>s Digital Personal Data Protection Act 2023 vs. the GDPR: A Comparison</w:t>
      </w:r>
      <w:r w:rsidRPr="00830336">
        <w:rPr>
          <w:lang w:val="en-GB"/>
        </w:rPr>
        <w:t>. B</w:t>
      </w:r>
      <w:r w:rsidRPr="00830336">
        <w:rPr>
          <w:lang w:val="en-GB"/>
        </w:rPr>
        <w:t>á</w:t>
      </w:r>
      <w:r w:rsidRPr="00830336">
        <w:rPr>
          <w:lang w:val="en-GB"/>
        </w:rPr>
        <w:t>o c</w:t>
      </w:r>
      <w:r w:rsidRPr="00830336">
        <w:rPr>
          <w:lang w:val="en-GB"/>
        </w:rPr>
        <w:t>á</w:t>
      </w:r>
      <w:r w:rsidRPr="00830336">
        <w:rPr>
          <w:lang w:val="en-GB"/>
        </w:rPr>
        <w:t>o so s</w:t>
      </w:r>
      <w:r w:rsidRPr="00830336">
        <w:rPr>
          <w:lang w:val="en-GB"/>
        </w:rPr>
        <w:t>á</w:t>
      </w:r>
      <w:r w:rsidRPr="00830336">
        <w:rPr>
          <w:lang w:val="en-GB"/>
        </w:rPr>
        <w:t>nh c</w:t>
      </w:r>
      <w:r w:rsidRPr="00830336">
        <w:rPr>
          <w:lang w:val="en-GB"/>
        </w:rPr>
        <w:t>á</w:t>
      </w:r>
      <w:r w:rsidRPr="00830336">
        <w:rPr>
          <w:lang w:val="en-GB"/>
        </w:rPr>
        <w:t xml:space="preserve">c </w:t>
      </w:r>
      <w:r w:rsidRPr="00830336">
        <w:rPr>
          <w:lang w:val="en-GB"/>
        </w:rPr>
        <w:t>đ</w:t>
      </w:r>
      <w:r w:rsidRPr="00830336">
        <w:rPr>
          <w:lang w:val="en-GB"/>
        </w:rPr>
        <w:t>i</w:t>
      </w:r>
      <w:r w:rsidRPr="00830336">
        <w:rPr>
          <w:lang w:val="en-GB"/>
        </w:rPr>
        <w:t>ể</w:t>
      </w:r>
      <w:r w:rsidRPr="00830336">
        <w:rPr>
          <w:lang w:val="en-GB"/>
        </w:rPr>
        <w:t>m kh</w:t>
      </w:r>
      <w:r w:rsidRPr="00830336">
        <w:rPr>
          <w:lang w:val="en-GB"/>
        </w:rPr>
        <w:t>á</w:t>
      </w:r>
      <w:r w:rsidRPr="00830336">
        <w:rPr>
          <w:lang w:val="en-GB"/>
        </w:rPr>
        <w:t>c bi</w:t>
      </w:r>
      <w:r w:rsidRPr="00830336">
        <w:rPr>
          <w:lang w:val="en-GB"/>
        </w:rPr>
        <w:t>ệ</w:t>
      </w:r>
      <w:r w:rsidRPr="00830336">
        <w:rPr>
          <w:lang w:val="en-GB"/>
        </w:rPr>
        <w:t>t ch</w:t>
      </w:r>
      <w:r w:rsidRPr="00830336">
        <w:rPr>
          <w:lang w:val="en-GB"/>
        </w:rPr>
        <w:t>í</w:t>
      </w:r>
      <w:r w:rsidRPr="00830336">
        <w:rPr>
          <w:lang w:val="en-GB"/>
        </w:rPr>
        <w:t>nh gi</w:t>
      </w:r>
      <w:r w:rsidRPr="00830336">
        <w:rPr>
          <w:lang w:val="en-GB"/>
        </w:rPr>
        <w:t>ữ</w:t>
      </w:r>
      <w:r w:rsidRPr="00830336">
        <w:rPr>
          <w:lang w:val="en-GB"/>
        </w:rPr>
        <w:t>a DPDP Act v</w:t>
      </w:r>
      <w:r w:rsidRPr="00830336">
        <w:rPr>
          <w:lang w:val="en-GB"/>
        </w:rPr>
        <w:t>à</w:t>
      </w:r>
      <w:r w:rsidRPr="00830336">
        <w:rPr>
          <w:lang w:val="en-GB"/>
        </w:rPr>
        <w:t xml:space="preserve"> GDPR.</w:t>
      </w:r>
    </w:p>
  </w:endnote>
  <w:endnote w:id="10">
    <w:p w14:paraId="353F9F86" w14:textId="552F6A98" w:rsidR="00223921" w:rsidRPr="00223921" w:rsidRDefault="00223921">
      <w:pPr>
        <w:pStyle w:val="EndnoteText"/>
        <w:rPr>
          <w:rFonts w:asciiTheme="minorHAnsi"/>
          <w:lang w:val="vi-VN"/>
        </w:rPr>
      </w:pPr>
      <w:r>
        <w:rPr>
          <w:rStyle w:val="EndnoteReference"/>
        </w:rPr>
        <w:endnoteRef/>
      </w:r>
      <w:r>
        <w:t xml:space="preserve"> </w:t>
      </w:r>
      <w:r w:rsidRPr="00223921">
        <w:t>IBPAP. (</w:t>
      </w:r>
      <w:r>
        <w:rPr>
          <w:rFonts w:asciiTheme="minorHAnsi"/>
        </w:rPr>
        <w:t>2025</w:t>
      </w:r>
      <w:r w:rsidRPr="00223921">
        <w:t>). Th</w:t>
      </w:r>
      <w:r w:rsidRPr="00223921">
        <w:t>ô</w:t>
      </w:r>
      <w:r w:rsidRPr="00223921">
        <w:t>ng tin ng</w:t>
      </w:r>
      <w:r w:rsidRPr="00223921">
        <w:t>à</w:t>
      </w:r>
      <w:r w:rsidRPr="00223921">
        <w:t>nh IT-BPM Philippines.</w:t>
      </w:r>
    </w:p>
  </w:endnote>
  <w:endnote w:id="11">
    <w:p w14:paraId="62CB8E7F" w14:textId="4DA1D9DA" w:rsidR="00223921" w:rsidRPr="00223921" w:rsidRDefault="00223921">
      <w:pPr>
        <w:pStyle w:val="EndnoteText"/>
        <w:rPr>
          <w:rFonts w:asciiTheme="minorHAnsi"/>
          <w:lang w:val="vi-VN"/>
        </w:rPr>
      </w:pPr>
      <w:r>
        <w:rPr>
          <w:rStyle w:val="EndnoteReference"/>
        </w:rPr>
        <w:endnoteRef/>
      </w:r>
      <w:r>
        <w:t xml:space="preserve"> </w:t>
      </w:r>
      <w:r w:rsidRPr="00223921">
        <w:t xml:space="preserve">European Data Protection </w:t>
      </w:r>
      <w:r>
        <w:rPr>
          <w:rFonts w:asciiTheme="minorHAnsi"/>
        </w:rPr>
        <w:t>Board</w:t>
      </w:r>
      <w:r>
        <w:rPr>
          <w:rFonts w:asciiTheme="minorHAnsi"/>
          <w:lang w:val="vi-VN"/>
        </w:rPr>
        <w:t xml:space="preserve"> (2021).</w:t>
      </w:r>
      <w:r w:rsidRPr="00223921">
        <w:t> </w:t>
      </w:r>
      <w:r w:rsidRPr="00223921">
        <w:rPr>
          <w:i/>
          <w:iCs/>
        </w:rPr>
        <w:t>Guidelines on the interplay between Article 3 and Chapter V of the GDPR</w:t>
      </w:r>
    </w:p>
  </w:endnote>
  <w:endnote w:id="12">
    <w:p w14:paraId="50EB4488" w14:textId="4D37C77A" w:rsidR="004D550B" w:rsidRPr="004D550B" w:rsidRDefault="004D550B">
      <w:pPr>
        <w:pStyle w:val="EndnoteText"/>
        <w:rPr>
          <w:rFonts w:asciiTheme="minorHAnsi"/>
          <w:lang w:val="vi-VN"/>
        </w:rPr>
      </w:pPr>
      <w:r>
        <w:rPr>
          <w:rStyle w:val="EndnoteReference"/>
        </w:rPr>
        <w:endnoteRef/>
      </w:r>
      <w:r>
        <w:t xml:space="preserve"> </w:t>
      </w:r>
      <w:r w:rsidR="002B1C30" w:rsidRPr="002B1C30">
        <w:t>Ngh</w:t>
      </w:r>
      <w:r w:rsidR="002B1C30" w:rsidRPr="002B1C30">
        <w:t>ị</w:t>
      </w:r>
      <w:r w:rsidR="002B1C30" w:rsidRPr="002B1C30">
        <w:t xml:space="preserve"> vi</w:t>
      </w:r>
      <w:r w:rsidR="002B1C30" w:rsidRPr="002B1C30">
        <w:t>ệ</w:t>
      </w:r>
      <w:r w:rsidR="002B1C30" w:rsidRPr="002B1C30">
        <w:t>n Ch</w:t>
      </w:r>
      <w:r w:rsidR="002B1C30" w:rsidRPr="002B1C30">
        <w:t>â</w:t>
      </w:r>
      <w:r w:rsidR="002B1C30" w:rsidRPr="002B1C30">
        <w:t xml:space="preserve">u </w:t>
      </w:r>
      <w:r w:rsidR="002B1C30" w:rsidRPr="002B1C30">
        <w:t>Â</w:t>
      </w:r>
      <w:r w:rsidR="002B1C30" w:rsidRPr="002B1C30">
        <w:t>u v</w:t>
      </w:r>
      <w:r w:rsidR="002B1C30" w:rsidRPr="002B1C30">
        <w:t>à</w:t>
      </w:r>
      <w:r w:rsidR="002B1C30" w:rsidRPr="002B1C30">
        <w:t xml:space="preserve"> H</w:t>
      </w:r>
      <w:r w:rsidR="002B1C30" w:rsidRPr="002B1C30">
        <w:t>ộ</w:t>
      </w:r>
      <w:r w:rsidR="002B1C30" w:rsidRPr="002B1C30">
        <w:t xml:space="preserve">i </w:t>
      </w:r>
      <w:r w:rsidR="002B1C30" w:rsidRPr="002B1C30">
        <w:t>đồ</w:t>
      </w:r>
      <w:r w:rsidR="002B1C30" w:rsidRPr="002B1C30">
        <w:t>ng Li</w:t>
      </w:r>
      <w:r w:rsidR="002B1C30" w:rsidRPr="002B1C30">
        <w:t>ê</w:t>
      </w:r>
      <w:r w:rsidR="002B1C30" w:rsidRPr="002B1C30">
        <w:t>n minh Ch</w:t>
      </w:r>
      <w:r w:rsidR="002B1C30" w:rsidRPr="002B1C30">
        <w:t>â</w:t>
      </w:r>
      <w:r w:rsidR="002B1C30" w:rsidRPr="002B1C30">
        <w:t xml:space="preserve">u </w:t>
      </w:r>
      <w:r w:rsidR="002B1C30" w:rsidRPr="002B1C30">
        <w:t>Â</w:t>
      </w:r>
      <w:r w:rsidR="002B1C30" w:rsidRPr="002B1C30">
        <w:t xml:space="preserve">u (2016). Quy </w:t>
      </w:r>
      <w:r w:rsidR="002B1C30" w:rsidRPr="002B1C30">
        <w:t>đị</w:t>
      </w:r>
      <w:r w:rsidR="002B1C30" w:rsidRPr="002B1C30">
        <w:t>nh (EU) 2016/679 v</w:t>
      </w:r>
      <w:r w:rsidR="002B1C30" w:rsidRPr="002B1C30">
        <w:t>ề</w:t>
      </w:r>
      <w:r w:rsidR="002B1C30" w:rsidRPr="002B1C30">
        <w:t xml:space="preserve"> b</w:t>
      </w:r>
      <w:r w:rsidR="002B1C30" w:rsidRPr="002B1C30">
        <w:t>ả</w:t>
      </w:r>
      <w:r w:rsidR="002B1C30" w:rsidRPr="002B1C30">
        <w:t>o v</w:t>
      </w:r>
      <w:r w:rsidR="002B1C30" w:rsidRPr="002B1C30">
        <w:t>ệ</w:t>
      </w:r>
      <w:r w:rsidR="002B1C30" w:rsidRPr="002B1C30">
        <w:t xml:space="preserve"> d</w:t>
      </w:r>
      <w:r w:rsidR="002B1C30" w:rsidRPr="002B1C30">
        <w:t>ữ</w:t>
      </w:r>
      <w:r w:rsidR="002B1C30" w:rsidRPr="002B1C30">
        <w:t xml:space="preserve"> li</w:t>
      </w:r>
      <w:r w:rsidR="002B1C30" w:rsidRPr="002B1C30">
        <w:t>ệ</w:t>
      </w:r>
      <w:r w:rsidR="002B1C30" w:rsidRPr="002B1C30">
        <w:t>u c</w:t>
      </w:r>
      <w:r w:rsidR="002B1C30" w:rsidRPr="002B1C30">
        <w:t>á</w:t>
      </w:r>
      <w:r w:rsidR="002B1C30" w:rsidRPr="002B1C30">
        <w:t xml:space="preserve"> nh</w:t>
      </w:r>
      <w:r w:rsidR="002B1C30" w:rsidRPr="002B1C30">
        <w:t>â</w:t>
      </w:r>
      <w:r w:rsidR="002B1C30" w:rsidRPr="002B1C30">
        <w:t>n (General Data Protection Regulation - GDPR).</w:t>
      </w:r>
    </w:p>
  </w:endnote>
  <w:endnote w:id="13">
    <w:p w14:paraId="527925C0" w14:textId="486CFE18" w:rsidR="005F6514" w:rsidRPr="005F6514" w:rsidRDefault="005F6514">
      <w:pPr>
        <w:pStyle w:val="EndnoteText"/>
        <w:rPr>
          <w:rFonts w:asciiTheme="minorHAnsi"/>
          <w:lang w:val="vi-VN"/>
        </w:rPr>
      </w:pPr>
      <w:r>
        <w:rPr>
          <w:rStyle w:val="EndnoteReference"/>
        </w:rPr>
        <w:endnoteRef/>
      </w:r>
      <w:r>
        <w:t xml:space="preserve"> </w:t>
      </w:r>
      <w:r w:rsidRPr="00830336">
        <w:t>Republic of the Philippines, 2012. Data Privacy Act of 2012 v</w:t>
      </w:r>
      <w:r w:rsidRPr="00830336">
        <w:t>à</w:t>
      </w:r>
      <w:r w:rsidRPr="00830336">
        <w:t xml:space="preserve"> c</w:t>
      </w:r>
      <w:r w:rsidRPr="00830336">
        <w:t>á</w:t>
      </w:r>
      <w:r w:rsidRPr="00830336">
        <w:t>c v</w:t>
      </w:r>
      <w:r w:rsidRPr="00830336">
        <w:t>ă</w:t>
      </w:r>
      <w:r w:rsidRPr="00830336">
        <w:t>n b</w:t>
      </w:r>
      <w:r w:rsidRPr="00830336">
        <w:t>ả</w:t>
      </w:r>
      <w:r w:rsidRPr="00830336">
        <w:t>n h</w:t>
      </w:r>
      <w:r w:rsidRPr="00830336">
        <w:t>ướ</w:t>
      </w:r>
      <w:r w:rsidRPr="00830336">
        <w:t>ng d</w:t>
      </w:r>
      <w:r w:rsidRPr="00830336">
        <w:t>ẫ</w:t>
      </w:r>
      <w:r w:rsidRPr="00830336">
        <w:t>n thi h</w:t>
      </w:r>
      <w:r w:rsidRPr="00830336">
        <w:t>à</w:t>
      </w:r>
      <w:r w:rsidRPr="00830336">
        <w:t>nh.</w:t>
      </w:r>
    </w:p>
  </w:endnote>
  <w:endnote w:id="14">
    <w:p w14:paraId="268946DC" w14:textId="11DA4B74" w:rsidR="005F6514" w:rsidRPr="005F6514" w:rsidRDefault="005F6514">
      <w:pPr>
        <w:pStyle w:val="EndnoteText"/>
        <w:rPr>
          <w:rFonts w:asciiTheme="minorHAnsi"/>
          <w:lang w:val="vi-VN"/>
        </w:rPr>
      </w:pPr>
      <w:r>
        <w:rPr>
          <w:rStyle w:val="FootnoteReference"/>
        </w:rPr>
        <w:endnoteRef/>
      </w:r>
      <w:r>
        <w:t xml:space="preserve"> </w:t>
      </w:r>
      <w:r w:rsidRPr="0080315D">
        <w:t>National Privacy Commission (Philippines), 2018.</w:t>
      </w:r>
      <w:r w:rsidRPr="0080315D">
        <w:t> </w:t>
      </w:r>
      <w:r w:rsidRPr="0080315D">
        <w:rPr>
          <w:i/>
          <w:iCs/>
        </w:rPr>
        <w:t>Comparative Overview of the Data Privacy Act of 2012 and the EU GDPR</w:t>
      </w:r>
    </w:p>
  </w:endnote>
  <w:endnote w:id="15">
    <w:p w14:paraId="2B010DAB" w14:textId="77777777" w:rsidR="005F6514" w:rsidRPr="001D0784" w:rsidRDefault="005F6514" w:rsidP="005F6514">
      <w:pPr>
        <w:pBdr>
          <w:top w:val="nil"/>
          <w:left w:val="nil"/>
          <w:bottom w:val="nil"/>
          <w:right w:val="nil"/>
          <w:between w:val="nil"/>
        </w:pBdr>
        <w:spacing w:after="0" w:line="240" w:lineRule="auto"/>
        <w:rPr>
          <w:color w:val="000000"/>
          <w:sz w:val="20"/>
          <w:szCs w:val="20"/>
          <w:lang w:val="vi"/>
        </w:rPr>
      </w:pPr>
      <w:r>
        <w:rPr>
          <w:vertAlign w:val="superscript"/>
        </w:rPr>
        <w:endnoteRef/>
      </w:r>
      <w:r w:rsidRPr="005F6514">
        <w:rPr>
          <w:color w:val="000000"/>
          <w:sz w:val="20"/>
          <w:szCs w:val="20"/>
          <w:lang w:val="vi-VN"/>
        </w:rPr>
        <w:t xml:space="preserve"> Hi</w:t>
      </w:r>
      <w:r w:rsidRPr="005F6514">
        <w:rPr>
          <w:color w:val="000000"/>
          <w:sz w:val="20"/>
          <w:szCs w:val="20"/>
          <w:lang w:val="vi-VN"/>
        </w:rPr>
        <w:t>ệ</w:t>
      </w:r>
      <w:r w:rsidRPr="005F6514">
        <w:rPr>
          <w:color w:val="000000"/>
          <w:sz w:val="20"/>
          <w:szCs w:val="20"/>
          <w:lang w:val="vi-VN"/>
        </w:rPr>
        <w:t>p h</w:t>
      </w:r>
      <w:r w:rsidRPr="005F6514">
        <w:rPr>
          <w:color w:val="000000"/>
          <w:sz w:val="20"/>
          <w:szCs w:val="20"/>
          <w:lang w:val="vi-VN"/>
        </w:rPr>
        <w:t>ộ</w:t>
      </w:r>
      <w:r w:rsidRPr="005F6514">
        <w:rPr>
          <w:color w:val="000000"/>
          <w:sz w:val="20"/>
          <w:szCs w:val="20"/>
          <w:lang w:val="vi-VN"/>
        </w:rPr>
        <w:t>i Ph</w:t>
      </w:r>
      <w:r w:rsidRPr="005F6514">
        <w:rPr>
          <w:color w:val="000000"/>
          <w:sz w:val="20"/>
          <w:szCs w:val="20"/>
          <w:lang w:val="vi-VN"/>
        </w:rPr>
        <w:t>ầ</w:t>
      </w:r>
      <w:r w:rsidRPr="005F6514">
        <w:rPr>
          <w:color w:val="000000"/>
          <w:sz w:val="20"/>
          <w:szCs w:val="20"/>
          <w:lang w:val="vi-VN"/>
        </w:rPr>
        <w:t>n m</w:t>
      </w:r>
      <w:r w:rsidRPr="005F6514">
        <w:rPr>
          <w:color w:val="000000"/>
          <w:sz w:val="20"/>
          <w:szCs w:val="20"/>
          <w:lang w:val="vi-VN"/>
        </w:rPr>
        <w:t>ề</w:t>
      </w:r>
      <w:r w:rsidRPr="005F6514">
        <w:rPr>
          <w:color w:val="000000"/>
          <w:sz w:val="20"/>
          <w:szCs w:val="20"/>
          <w:lang w:val="vi-VN"/>
        </w:rPr>
        <w:t>m v</w:t>
      </w:r>
      <w:r w:rsidRPr="005F6514">
        <w:rPr>
          <w:color w:val="000000"/>
          <w:sz w:val="20"/>
          <w:szCs w:val="20"/>
          <w:lang w:val="vi-VN"/>
        </w:rPr>
        <w:t>à</w:t>
      </w:r>
      <w:r w:rsidRPr="005F6514">
        <w:rPr>
          <w:color w:val="000000"/>
          <w:sz w:val="20"/>
          <w:szCs w:val="20"/>
          <w:lang w:val="vi-VN"/>
        </w:rPr>
        <w:t xml:space="preserve"> D</w:t>
      </w:r>
      <w:r w:rsidRPr="005F6514">
        <w:rPr>
          <w:color w:val="000000"/>
          <w:sz w:val="20"/>
          <w:szCs w:val="20"/>
          <w:lang w:val="vi-VN"/>
        </w:rPr>
        <w:t>ị</w:t>
      </w:r>
      <w:r w:rsidRPr="005F6514">
        <w:rPr>
          <w:color w:val="000000"/>
          <w:sz w:val="20"/>
          <w:szCs w:val="20"/>
          <w:lang w:val="vi-VN"/>
        </w:rPr>
        <w:t>ch v</w:t>
      </w:r>
      <w:r w:rsidRPr="005F6514">
        <w:rPr>
          <w:color w:val="000000"/>
          <w:sz w:val="20"/>
          <w:szCs w:val="20"/>
          <w:lang w:val="vi-VN"/>
        </w:rPr>
        <w:t>ụ</w:t>
      </w:r>
      <w:r w:rsidRPr="005F6514">
        <w:rPr>
          <w:color w:val="000000"/>
          <w:sz w:val="20"/>
          <w:szCs w:val="20"/>
          <w:lang w:val="vi-VN"/>
        </w:rPr>
        <w:t xml:space="preserve"> C</w:t>
      </w:r>
      <w:r w:rsidRPr="005F6514">
        <w:rPr>
          <w:color w:val="000000"/>
          <w:sz w:val="20"/>
          <w:szCs w:val="20"/>
          <w:lang w:val="vi-VN"/>
        </w:rPr>
        <w:t>ô</w:t>
      </w:r>
      <w:r w:rsidRPr="005F6514">
        <w:rPr>
          <w:color w:val="000000"/>
          <w:sz w:val="20"/>
          <w:szCs w:val="20"/>
          <w:lang w:val="vi-VN"/>
        </w:rPr>
        <w:t>ng ngh</w:t>
      </w:r>
      <w:r w:rsidRPr="005F6514">
        <w:rPr>
          <w:color w:val="000000"/>
          <w:sz w:val="20"/>
          <w:szCs w:val="20"/>
          <w:lang w:val="vi-VN"/>
        </w:rPr>
        <w:t>ệ</w:t>
      </w:r>
      <w:r w:rsidRPr="005F6514">
        <w:rPr>
          <w:color w:val="000000"/>
          <w:sz w:val="20"/>
          <w:szCs w:val="20"/>
          <w:lang w:val="vi-VN"/>
        </w:rPr>
        <w:t xml:space="preserve"> th</w:t>
      </w:r>
      <w:r w:rsidRPr="005F6514">
        <w:rPr>
          <w:color w:val="000000"/>
          <w:sz w:val="20"/>
          <w:szCs w:val="20"/>
          <w:lang w:val="vi-VN"/>
        </w:rPr>
        <w:t>ô</w:t>
      </w:r>
      <w:r w:rsidRPr="005F6514">
        <w:rPr>
          <w:color w:val="000000"/>
          <w:sz w:val="20"/>
          <w:szCs w:val="20"/>
          <w:lang w:val="vi-VN"/>
        </w:rPr>
        <w:t>ng tin Vi</w:t>
      </w:r>
      <w:r w:rsidRPr="005F6514">
        <w:rPr>
          <w:color w:val="000000"/>
          <w:sz w:val="20"/>
          <w:szCs w:val="20"/>
          <w:lang w:val="vi-VN"/>
        </w:rPr>
        <w:t>ệ</w:t>
      </w:r>
      <w:r w:rsidRPr="005F6514">
        <w:rPr>
          <w:color w:val="000000"/>
          <w:sz w:val="20"/>
          <w:szCs w:val="20"/>
          <w:lang w:val="vi-VN"/>
        </w:rPr>
        <w:t>t Nam (VINASA) (2025). B</w:t>
      </w:r>
      <w:r w:rsidRPr="005F6514">
        <w:rPr>
          <w:color w:val="000000"/>
          <w:sz w:val="20"/>
          <w:szCs w:val="20"/>
          <w:lang w:val="vi-VN"/>
        </w:rPr>
        <w:t>á</w:t>
      </w:r>
      <w:r w:rsidRPr="005F6514">
        <w:rPr>
          <w:color w:val="000000"/>
          <w:sz w:val="20"/>
          <w:szCs w:val="20"/>
          <w:lang w:val="vi-VN"/>
        </w:rPr>
        <w:t>o c</w:t>
      </w:r>
      <w:r w:rsidRPr="005F6514">
        <w:rPr>
          <w:color w:val="000000"/>
          <w:sz w:val="20"/>
          <w:szCs w:val="20"/>
          <w:lang w:val="vi-VN"/>
        </w:rPr>
        <w:t>á</w:t>
      </w:r>
      <w:r w:rsidRPr="005F6514">
        <w:rPr>
          <w:color w:val="000000"/>
          <w:sz w:val="20"/>
          <w:szCs w:val="20"/>
          <w:lang w:val="vi-VN"/>
        </w:rPr>
        <w:t>o th</w:t>
      </w:r>
      <w:r w:rsidRPr="005F6514">
        <w:rPr>
          <w:color w:val="000000"/>
          <w:sz w:val="20"/>
          <w:szCs w:val="20"/>
          <w:lang w:val="vi-VN"/>
        </w:rPr>
        <w:t>ị</w:t>
      </w:r>
      <w:r w:rsidRPr="005F6514">
        <w:rPr>
          <w:color w:val="000000"/>
          <w:sz w:val="20"/>
          <w:szCs w:val="20"/>
          <w:lang w:val="vi-VN"/>
        </w:rPr>
        <w:t xml:space="preserve"> tr</w:t>
      </w:r>
      <w:r w:rsidRPr="005F6514">
        <w:rPr>
          <w:color w:val="000000"/>
          <w:sz w:val="20"/>
          <w:szCs w:val="20"/>
          <w:lang w:val="vi-VN"/>
        </w:rPr>
        <w:t>ườ</w:t>
      </w:r>
      <w:r w:rsidRPr="005F6514">
        <w:rPr>
          <w:color w:val="000000"/>
          <w:sz w:val="20"/>
          <w:szCs w:val="20"/>
          <w:lang w:val="vi-VN"/>
        </w:rPr>
        <w:t>ng C</w:t>
      </w:r>
      <w:r w:rsidRPr="005F6514">
        <w:rPr>
          <w:color w:val="000000"/>
          <w:sz w:val="20"/>
          <w:szCs w:val="20"/>
          <w:lang w:val="vi-VN"/>
        </w:rPr>
        <w:t>ô</w:t>
      </w:r>
      <w:r w:rsidRPr="005F6514">
        <w:rPr>
          <w:color w:val="000000"/>
          <w:sz w:val="20"/>
          <w:szCs w:val="20"/>
          <w:lang w:val="vi-VN"/>
        </w:rPr>
        <w:t>ng ngh</w:t>
      </w:r>
      <w:r w:rsidRPr="005F6514">
        <w:rPr>
          <w:color w:val="000000"/>
          <w:sz w:val="20"/>
          <w:szCs w:val="20"/>
          <w:lang w:val="vi-VN"/>
        </w:rPr>
        <w:t>ệ</w:t>
      </w:r>
      <w:r w:rsidRPr="005F6514">
        <w:rPr>
          <w:color w:val="000000"/>
          <w:sz w:val="20"/>
          <w:szCs w:val="20"/>
          <w:lang w:val="vi-VN"/>
        </w:rPr>
        <w:t xml:space="preserve"> th</w:t>
      </w:r>
      <w:r w:rsidRPr="005F6514">
        <w:rPr>
          <w:color w:val="000000"/>
          <w:sz w:val="20"/>
          <w:szCs w:val="20"/>
          <w:lang w:val="vi-VN"/>
        </w:rPr>
        <w:t>ô</w:t>
      </w:r>
      <w:r w:rsidRPr="005F6514">
        <w:rPr>
          <w:color w:val="000000"/>
          <w:sz w:val="20"/>
          <w:szCs w:val="20"/>
          <w:lang w:val="vi-VN"/>
        </w:rPr>
        <w:t>ng tin v</w:t>
      </w:r>
      <w:r w:rsidRPr="005F6514">
        <w:rPr>
          <w:color w:val="000000"/>
          <w:sz w:val="20"/>
          <w:szCs w:val="20"/>
          <w:lang w:val="vi-VN"/>
        </w:rPr>
        <w:t>à</w:t>
      </w:r>
      <w:r w:rsidRPr="005F6514">
        <w:rPr>
          <w:color w:val="000000"/>
          <w:sz w:val="20"/>
          <w:szCs w:val="20"/>
          <w:lang w:val="vi-VN"/>
        </w:rPr>
        <w:t xml:space="preserve"> D</w:t>
      </w:r>
      <w:r w:rsidRPr="005F6514">
        <w:rPr>
          <w:color w:val="000000"/>
          <w:sz w:val="20"/>
          <w:szCs w:val="20"/>
          <w:lang w:val="vi-VN"/>
        </w:rPr>
        <w:t>ị</w:t>
      </w:r>
      <w:r w:rsidRPr="005F6514">
        <w:rPr>
          <w:color w:val="000000"/>
          <w:sz w:val="20"/>
          <w:szCs w:val="20"/>
          <w:lang w:val="vi-VN"/>
        </w:rPr>
        <w:t>ch v</w:t>
      </w:r>
      <w:r w:rsidRPr="005F6514">
        <w:rPr>
          <w:color w:val="000000"/>
          <w:sz w:val="20"/>
          <w:szCs w:val="20"/>
          <w:lang w:val="vi-VN"/>
        </w:rPr>
        <w:t>ụ</w:t>
      </w:r>
      <w:r w:rsidRPr="005F6514">
        <w:rPr>
          <w:color w:val="000000"/>
          <w:sz w:val="20"/>
          <w:szCs w:val="20"/>
          <w:lang w:val="vi-VN"/>
        </w:rPr>
        <w:t xml:space="preserve"> s</w:t>
      </w:r>
      <w:r w:rsidRPr="005F6514">
        <w:rPr>
          <w:color w:val="000000"/>
          <w:sz w:val="20"/>
          <w:szCs w:val="20"/>
          <w:lang w:val="vi-VN"/>
        </w:rPr>
        <w:t>ố</w:t>
      </w:r>
      <w:r w:rsidRPr="005F6514">
        <w:rPr>
          <w:color w:val="000000"/>
          <w:sz w:val="20"/>
          <w:szCs w:val="20"/>
          <w:lang w:val="vi-VN"/>
        </w:rPr>
        <w:t xml:space="preserve"> Vi</w:t>
      </w:r>
      <w:r w:rsidRPr="005F6514">
        <w:rPr>
          <w:color w:val="000000"/>
          <w:sz w:val="20"/>
          <w:szCs w:val="20"/>
          <w:lang w:val="vi-VN"/>
        </w:rPr>
        <w:t>ệ</w:t>
      </w:r>
      <w:r w:rsidRPr="005F6514">
        <w:rPr>
          <w:color w:val="000000"/>
          <w:sz w:val="20"/>
          <w:szCs w:val="20"/>
          <w:lang w:val="vi-VN"/>
        </w:rPr>
        <w:t>t Nam n</w:t>
      </w:r>
      <w:r w:rsidRPr="005F6514">
        <w:rPr>
          <w:color w:val="000000"/>
          <w:sz w:val="20"/>
          <w:szCs w:val="20"/>
          <w:lang w:val="vi-VN"/>
        </w:rPr>
        <w:t>ă</w:t>
      </w:r>
      <w:r w:rsidRPr="005F6514">
        <w:rPr>
          <w:color w:val="000000"/>
          <w:sz w:val="20"/>
          <w:szCs w:val="20"/>
          <w:lang w:val="vi-VN"/>
        </w:rPr>
        <w:t>m 2025.</w:t>
      </w:r>
    </w:p>
    <w:p w14:paraId="62761630" w14:textId="77777777" w:rsidR="005F6514" w:rsidRPr="001D0784" w:rsidRDefault="005F6514" w:rsidP="005F6514">
      <w:pPr>
        <w:pBdr>
          <w:top w:val="nil"/>
          <w:left w:val="nil"/>
          <w:bottom w:val="nil"/>
          <w:right w:val="nil"/>
          <w:between w:val="nil"/>
        </w:pBdr>
        <w:spacing w:after="0" w:line="240" w:lineRule="auto"/>
        <w:rPr>
          <w:color w:val="000000"/>
          <w:sz w:val="20"/>
          <w:szCs w:val="20"/>
          <w:lang w:val="vi"/>
        </w:rPr>
      </w:pPr>
    </w:p>
    <w:p w14:paraId="72CB9324" w14:textId="77777777" w:rsidR="00AE1FF9" w:rsidRPr="005F6514" w:rsidRDefault="00AE1FF9" w:rsidP="00AE1FF9">
      <w:pPr>
        <w:spacing w:after="0" w:line="240" w:lineRule="auto"/>
        <w:ind w:left="-30"/>
        <w:jc w:val="center"/>
        <w:rPr>
          <w:rFonts w:ascii="Times New Roman" w:eastAsia="source serif 4" w:hAnsi="Times New Roman" w:cs="Times New Roman"/>
          <w:b/>
          <w:bCs/>
          <w:color w:val="000000"/>
          <w:sz w:val="26"/>
          <w:szCs w:val="26"/>
          <w:lang w:val="vi"/>
        </w:rPr>
      </w:pPr>
      <w:r>
        <w:rPr>
          <w:rFonts w:ascii="Times New Roman" w:eastAsia="source serif 4" w:hAnsi="Times New Roman" w:cs="Times New Roman"/>
          <w:b/>
          <w:bCs/>
          <w:color w:val="000000"/>
          <w:sz w:val="26"/>
          <w:szCs w:val="26"/>
          <w:lang w:val="vi"/>
        </w:rPr>
        <w:t>TÀI LIỆU THAM KHẢO</w:t>
      </w:r>
    </w:p>
    <w:p w14:paraId="3C1320DF" w14:textId="77777777" w:rsidR="005F6514" w:rsidRDefault="005F6514" w:rsidP="005F6514">
      <w:pPr>
        <w:spacing w:before="120"/>
        <w:jc w:val="both"/>
        <w:rPr>
          <w:rFonts w:ascii="Times New Roman" w:eastAsia="Times New Roman" w:hAnsi="Times New Roman" w:cs="Times New Roman"/>
          <w:sz w:val="26"/>
          <w:szCs w:val="26"/>
        </w:rPr>
      </w:pPr>
    </w:p>
    <w:p w14:paraId="7D7C6098" w14:textId="77777777" w:rsidR="00AE1FF9" w:rsidRDefault="00AE1FF9" w:rsidP="00AE1FF9">
      <w:pPr>
        <w:spacing w:before="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Bradford, A. (2015). The Brussels Effect. Northwestern University Law Review, Vol. 107, No. 1.</w:t>
      </w:r>
    </w:p>
    <w:p w14:paraId="2792A134" w14:textId="77777777" w:rsidR="00AE1FF9" w:rsidRDefault="00AE1FF9" w:rsidP="00AE1FF9">
      <w:pPr>
        <w:spacing w:before="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Bradford, A. (2020). The Brussels Effect: How the European Union Rules the World. Oxford University Press.</w:t>
      </w:r>
    </w:p>
    <w:p w14:paraId="3F3F16A4" w14:textId="77777777" w:rsidR="00AE1FF9" w:rsidRDefault="00AE1FF9" w:rsidP="00AE1FF9">
      <w:pPr>
        <w:spacing w:before="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Chính phủ nước Cộng hòa xã hội chủ nghĩa Việt Nam (2025). Nghị định số 356/2025/NĐ-CP quy định chi tiết thi hành một số điều của Luật Bảo vệ dữ liệu cá nhân.</w:t>
      </w:r>
    </w:p>
    <w:p w14:paraId="725467BE" w14:textId="77777777" w:rsidR="00AE1FF9" w:rsidRDefault="00AE1FF9" w:rsidP="00AE1FF9">
      <w:pPr>
        <w:spacing w:before="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DLA Piper (2024). Data Protection Laws of the World - India.</w:t>
      </w:r>
    </w:p>
    <w:p w14:paraId="2B1CDFE2" w14:textId="77777777" w:rsidR="00AE1FF9" w:rsidRDefault="00AE1FF9" w:rsidP="00AE1FF9">
      <w:pPr>
        <w:spacing w:before="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European Commission (2019). EU-Vietnam Free Trade Agreement (EVFTA).</w:t>
      </w:r>
    </w:p>
    <w:p w14:paraId="0DC59E52" w14:textId="77777777" w:rsidR="00AE1FF9" w:rsidRDefault="00AE1FF9" w:rsidP="00AE1FF9">
      <w:pPr>
        <w:spacing w:before="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European Commission (2021). Commission Implementing Decision (EU) 2021/914 on Standard Contractual Clauses for the Transfer of Personal Data to Third Countries.</w:t>
      </w:r>
    </w:p>
    <w:p w14:paraId="7157729F" w14:textId="77777777" w:rsidR="00AE1FF9" w:rsidRDefault="00AE1FF9" w:rsidP="00AE1FF9">
      <w:pPr>
        <w:spacing w:before="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EuroCham Vietnam (2021). Sách Trắng EuroCham 2021.</w:t>
      </w:r>
    </w:p>
    <w:p w14:paraId="42D53EDD" w14:textId="77777777" w:rsidR="00AE1FF9" w:rsidRDefault="00AE1FF9" w:rsidP="00AE1FF9">
      <w:pPr>
        <w:spacing w:before="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Government of India (2023). Digital Personal Data Protection Act, 2023.</w:t>
      </w:r>
    </w:p>
    <w:p w14:paraId="09D97CEE" w14:textId="77777777" w:rsidR="00AE1FF9" w:rsidRDefault="00AE1FF9" w:rsidP="00AE1FF9">
      <w:pPr>
        <w:spacing w:before="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Hiệp hội Phần mềm và Dịch vụ Công nghệ thông tin Việt Nam (VINASA) (2025). Báo cáo thị trường Công nghệ thông tin và Dịch vụ số Việt Nam năm 2025.</w:t>
      </w:r>
    </w:p>
    <w:p w14:paraId="779A655D" w14:textId="77777777" w:rsidR="00AE1FF9" w:rsidRDefault="00AE1FF9" w:rsidP="00AE1FF9">
      <w:pPr>
        <w:spacing w:before="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Latham &amp; Watkins (2023). India’s Digital Personal Data Protection Act 2023 vs. the GDPR: A Comparison.</w:t>
      </w:r>
    </w:p>
    <w:p w14:paraId="792F95BF" w14:textId="77777777" w:rsidR="00AE1FF9" w:rsidRDefault="00AE1FF9" w:rsidP="00AE1FF9">
      <w:pPr>
        <w:spacing w:before="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National Privacy Commission (Philippines) (2016-2025). Guidelines, Circulars and Advisory Opinions on Data Privacy Compliance in the BPO Sector.</w:t>
      </w:r>
    </w:p>
    <w:p w14:paraId="3190AF0F" w14:textId="77777777" w:rsidR="00AE1FF9" w:rsidRDefault="00AE1FF9" w:rsidP="00AE1FF9">
      <w:pPr>
        <w:spacing w:before="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National Privacy Commission (Philippines) (2018). Comparative Overview of the Data Privacy Act of 2012 and the EU GDPR.</w:t>
      </w:r>
    </w:p>
    <w:p w14:paraId="169890DE" w14:textId="77777777" w:rsidR="00AE1FF9" w:rsidRDefault="00AE1FF9" w:rsidP="00AE1FF9">
      <w:pPr>
        <w:spacing w:before="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Nghị viện Châu Âu và Hội đồng Liên minh Châu Âu (2016). Quy định (EU) 2016/679 về bảo vệ dữ liệu cá nhân (General Data Protection Regulation - GDPR).</w:t>
      </w:r>
    </w:p>
    <w:p w14:paraId="75FA53E3" w14:textId="77777777" w:rsidR="00AE1FF9" w:rsidRDefault="00AE1FF9" w:rsidP="00AE1FF9">
      <w:pPr>
        <w:spacing w:before="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Quốc hội nước Cộng hòa xã hội chủ nghĩa Việt Nam (2025). Luật Bảo vệ dữ liệu cá nhân số 91/2025/QH15.</w:t>
      </w:r>
    </w:p>
    <w:p w14:paraId="1F7110FF" w14:textId="77777777" w:rsidR="00AE1FF9" w:rsidRDefault="00AE1FF9" w:rsidP="00AE1FF9">
      <w:pPr>
        <w:spacing w:before="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Republic of the Philippines (2012). Data Privacy Act of 2012.</w:t>
      </w:r>
    </w:p>
    <w:p w14:paraId="4FA5BEE8" w14:textId="77777777" w:rsidR="00AE1FF9" w:rsidRDefault="00AE1FF9" w:rsidP="00AE1FF9">
      <w:pPr>
        <w:spacing w:before="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Simmons &amp; Simmons (2026). European Data Protection Regulation: Territorial Scope and Application.</w:t>
      </w:r>
    </w:p>
    <w:p w14:paraId="2499B3EF" w14:textId="77777777" w:rsidR="00AE1FF9" w:rsidRDefault="00AE1FF9" w:rsidP="00AE1FF9">
      <w:pPr>
        <w:spacing w:before="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Transfers of Personal Data to Third Countries or International Organisations - Data Protection Commission Ireland (2026). Guidance on the Application of Chapter V of the GDPR on Transfers of Personal Data to Third Countries or International Organisations.</w:t>
      </w:r>
    </w:p>
    <w:p w14:paraId="64D5E9EF" w14:textId="77777777" w:rsidR="00AE1FF9" w:rsidRPr="00AE1FF9" w:rsidRDefault="00AE1FF9" w:rsidP="005F6514">
      <w:pPr>
        <w:spacing w:before="120"/>
        <w:jc w:val="both"/>
        <w:rPr>
          <w:rFonts w:ascii="Times New Roman" w:eastAsia="Times New Roman" w:hAnsi="Times New Roman" w:cs="Times New Roman"/>
          <w:sz w:val="26"/>
          <w:szCs w:val="26"/>
        </w:rPr>
      </w:pPr>
    </w:p>
    <w:p w14:paraId="44E0E9A5" w14:textId="77777777" w:rsidR="005F6514" w:rsidRPr="002B1C30" w:rsidRDefault="005F6514" w:rsidP="005F6514">
      <w:pPr>
        <w:spacing w:before="120"/>
        <w:jc w:val="both"/>
        <w:rPr>
          <w:rFonts w:ascii="Times New Roman" w:eastAsia="Times New Roman" w:hAnsi="Times New Roman" w:cs="Times New Roman"/>
          <w:sz w:val="26"/>
          <w:szCs w:val="26"/>
          <w:lang w:val="vi-VN"/>
        </w:rPr>
      </w:pPr>
      <w:r w:rsidRPr="002B1C30">
        <w:rPr>
          <w:rFonts w:ascii="Times New Roman" w:eastAsia="Times New Roman" w:hAnsi="Times New Roman" w:cs="Times New Roman"/>
          <w:sz w:val="26"/>
          <w:szCs w:val="26"/>
          <w:lang w:val="vi-VN"/>
        </w:rPr>
        <w:t>Ngày nhận bài: 18/3/2026</w:t>
      </w:r>
    </w:p>
    <w:p w14:paraId="03704898" w14:textId="77777777" w:rsidR="005F6514" w:rsidRPr="002B1C30" w:rsidRDefault="005F6514" w:rsidP="005F6514">
      <w:pPr>
        <w:spacing w:before="120"/>
        <w:jc w:val="both"/>
        <w:rPr>
          <w:rFonts w:ascii="Times New Roman" w:eastAsia="Times New Roman" w:hAnsi="Times New Roman" w:cs="Times New Roman"/>
          <w:sz w:val="26"/>
          <w:szCs w:val="26"/>
          <w:lang w:val="vi-VN"/>
        </w:rPr>
      </w:pPr>
      <w:r w:rsidRPr="002B1C30">
        <w:rPr>
          <w:rFonts w:ascii="Times New Roman" w:eastAsia="Times New Roman" w:hAnsi="Times New Roman" w:cs="Times New Roman"/>
          <w:sz w:val="26"/>
          <w:szCs w:val="26"/>
          <w:lang w:val="vi-VN"/>
        </w:rPr>
        <w:t>Ngày phản biện đánh giá và sửa chữa: 30/3/2026</w:t>
      </w:r>
    </w:p>
    <w:p w14:paraId="059DA70B" w14:textId="482D4D17" w:rsidR="005F6514" w:rsidRPr="002B1C30" w:rsidRDefault="005F6514" w:rsidP="005F6514">
      <w:pPr>
        <w:spacing w:before="120"/>
        <w:jc w:val="both"/>
        <w:rPr>
          <w:rFonts w:ascii="Times New Roman" w:eastAsia="Times New Roman" w:hAnsi="Times New Roman" w:cs="Times New Roman"/>
          <w:sz w:val="26"/>
          <w:szCs w:val="26"/>
          <w:lang w:val="vi-VN"/>
        </w:rPr>
      </w:pPr>
      <w:r w:rsidRPr="002B1C30">
        <w:rPr>
          <w:rFonts w:ascii="Times New Roman" w:eastAsia="Times New Roman" w:hAnsi="Times New Roman" w:cs="Times New Roman"/>
          <w:sz w:val="26"/>
          <w:szCs w:val="26"/>
          <w:lang w:val="vi-VN"/>
        </w:rPr>
        <w:t>Ngày chấp nhận đăng bài: 5/4/2026</w:t>
      </w:r>
    </w:p>
    <w:p w14:paraId="0C1E10D7" w14:textId="77777777" w:rsidR="005F6514" w:rsidRPr="002B1C30" w:rsidRDefault="005F6514" w:rsidP="005F6514">
      <w:pPr>
        <w:spacing w:before="120"/>
        <w:jc w:val="both"/>
        <w:rPr>
          <w:rFonts w:ascii="Times New Roman" w:eastAsia="Times New Roman" w:hAnsi="Times New Roman" w:cs="Times New Roman"/>
          <w:sz w:val="26"/>
          <w:szCs w:val="26"/>
          <w:lang w:val="vi-VN"/>
        </w:rPr>
      </w:pPr>
    </w:p>
    <w:p w14:paraId="6E3B7DEB" w14:textId="6CC094AD" w:rsidR="00374981" w:rsidRDefault="00374981" w:rsidP="005F6514">
      <w:pPr>
        <w:spacing w:before="120"/>
        <w:jc w:val="center"/>
        <w:rPr>
          <w:rFonts w:ascii="Times New Roman" w:eastAsia="Times New Roman" w:hAnsi="Times New Roman" w:cs="Times New Roman"/>
          <w:b/>
          <w:bCs/>
          <w:sz w:val="26"/>
          <w:szCs w:val="26"/>
        </w:rPr>
      </w:pPr>
      <w:r w:rsidRPr="00374981">
        <w:rPr>
          <w:rFonts w:ascii="Times New Roman" w:eastAsia="Times New Roman" w:hAnsi="Times New Roman" w:cs="Times New Roman"/>
          <w:b/>
          <w:bCs/>
          <w:sz w:val="26"/>
          <w:szCs w:val="26"/>
        </w:rPr>
        <w:t xml:space="preserve">Adapting to the Brussels Effect in </w:t>
      </w:r>
      <w:r w:rsidR="009909BE" w:rsidRPr="00374981">
        <w:rPr>
          <w:rFonts w:ascii="Times New Roman" w:eastAsia="Times New Roman" w:hAnsi="Times New Roman" w:cs="Times New Roman"/>
          <w:b/>
          <w:bCs/>
          <w:sz w:val="26"/>
          <w:szCs w:val="26"/>
        </w:rPr>
        <w:t>software outsourcing</w:t>
      </w:r>
      <w:r w:rsidRPr="00374981">
        <w:rPr>
          <w:rFonts w:ascii="Times New Roman" w:eastAsia="Times New Roman" w:hAnsi="Times New Roman" w:cs="Times New Roman"/>
          <w:b/>
          <w:bCs/>
          <w:sz w:val="26"/>
          <w:szCs w:val="26"/>
        </w:rPr>
        <w:t xml:space="preserve"> and IT Services: Lessons from India and the Philippines for Vietnam</w:t>
      </w:r>
    </w:p>
    <w:p w14:paraId="495CA4D6" w14:textId="77777777" w:rsidR="005F6514" w:rsidRPr="002B1C30" w:rsidRDefault="005F6514" w:rsidP="005F6514">
      <w:pPr>
        <w:spacing w:before="120"/>
        <w:jc w:val="right"/>
        <w:rPr>
          <w:rFonts w:ascii="Times New Roman" w:eastAsia="Times New Roman" w:hAnsi="Times New Roman" w:cs="Times New Roman"/>
          <w:sz w:val="26"/>
          <w:szCs w:val="26"/>
        </w:rPr>
      </w:pPr>
      <w:r w:rsidRPr="002B1C30">
        <w:rPr>
          <w:rFonts w:ascii="Times New Roman" w:eastAsia="Times New Roman" w:hAnsi="Times New Roman" w:cs="Times New Roman"/>
          <w:sz w:val="26"/>
          <w:szCs w:val="26"/>
        </w:rPr>
        <w:t>MSc. Le Hoang Minh</w:t>
      </w:r>
    </w:p>
    <w:p w14:paraId="022C8B93" w14:textId="77777777" w:rsidR="005F6514" w:rsidRPr="002B1C30" w:rsidRDefault="005F6514" w:rsidP="005F6514">
      <w:pPr>
        <w:spacing w:before="120"/>
        <w:jc w:val="right"/>
        <w:rPr>
          <w:rFonts w:ascii="Times New Roman" w:eastAsia="Times New Roman" w:hAnsi="Times New Roman" w:cs="Times New Roman"/>
          <w:sz w:val="26"/>
          <w:szCs w:val="26"/>
        </w:rPr>
      </w:pPr>
      <w:r w:rsidRPr="002B1C30">
        <w:rPr>
          <w:rFonts w:ascii="Times New Roman" w:eastAsia="Times New Roman" w:hAnsi="Times New Roman" w:cs="Times New Roman"/>
          <w:sz w:val="26"/>
          <w:szCs w:val="26"/>
        </w:rPr>
        <w:t>Vietnam Trade Office in Spain</w:t>
      </w:r>
    </w:p>
    <w:p w14:paraId="01F3341D" w14:textId="2900FFDE" w:rsidR="005F6514" w:rsidRPr="002B1C30" w:rsidRDefault="00A33455" w:rsidP="005F6514">
      <w:pPr>
        <w:spacing w:before="120"/>
        <w:jc w:val="right"/>
        <w:rPr>
          <w:rFonts w:ascii="Times New Roman" w:eastAsia="Times New Roman" w:hAnsi="Times New Roman" w:cs="Times New Roman"/>
          <w:sz w:val="26"/>
          <w:szCs w:val="26"/>
        </w:rPr>
      </w:pPr>
      <w:r w:rsidRPr="002B1C30">
        <w:rPr>
          <w:rFonts w:ascii="Times New Roman" w:eastAsia="Times New Roman" w:hAnsi="Times New Roman" w:cs="Times New Roman"/>
          <w:sz w:val="26"/>
          <w:szCs w:val="26"/>
        </w:rPr>
        <w:t xml:space="preserve">Email: </w:t>
      </w:r>
      <w:r w:rsidR="005F6514" w:rsidRPr="002B1C30">
        <w:rPr>
          <w:rFonts w:ascii="Times New Roman" w:eastAsia="Times New Roman" w:hAnsi="Times New Roman" w:cs="Times New Roman"/>
          <w:sz w:val="26"/>
          <w:szCs w:val="26"/>
        </w:rPr>
        <w:t>minhleh.moit@gmail.com</w:t>
      </w:r>
    </w:p>
    <w:p w14:paraId="6A22E85E" w14:textId="77777777" w:rsidR="005F6514" w:rsidRDefault="005F6514" w:rsidP="005F6514">
      <w:pPr>
        <w:pStyle w:val="Heading2"/>
        <w:spacing w:before="120" w:after="120"/>
        <w:ind w:firstLine="567"/>
        <w:jc w:val="both"/>
        <w:rPr>
          <w:rFonts w:eastAsia="Times New Roman"/>
        </w:rPr>
      </w:pPr>
      <w:r>
        <w:rPr>
          <w:rFonts w:eastAsia="Times New Roman"/>
        </w:rPr>
        <w:t>Abstract:</w:t>
      </w:r>
    </w:p>
    <w:p w14:paraId="1BE7C8F3" w14:textId="7218DF12" w:rsidR="009A52A7" w:rsidRDefault="009A52A7" w:rsidP="005F6514">
      <w:pPr>
        <w:spacing w:before="120"/>
        <w:ind w:firstLine="567"/>
        <w:jc w:val="both"/>
        <w:rPr>
          <w:rFonts w:ascii="Times New Roman" w:eastAsia="Times New Roman" w:hAnsi="Times New Roman" w:cs="Times New Roman"/>
          <w:sz w:val="26"/>
          <w:szCs w:val="26"/>
        </w:rPr>
      </w:pPr>
      <w:r w:rsidRPr="009A52A7">
        <w:rPr>
          <w:rFonts w:ascii="Times New Roman" w:eastAsia="Times New Roman" w:hAnsi="Times New Roman" w:cs="Times New Roman"/>
          <w:sz w:val="26"/>
          <w:szCs w:val="26"/>
        </w:rPr>
        <w:t>The concept of the “Brussels Effect” refers to the European Union’s capacity to project its regulatory standards beyond its borders and shape global market practices. In this context, the General Data Protection Regulation (GDPR) has transformed privacy compliance from a domestic legal obligation into a de facto condition for accessing European markets. For the software and IT outsourcing industry, this regulatory influence not only generates compliance and adaptation costs but also reconfigures sources of competitive advantage, as the ability to demonstrate transparent and reliable data governance has become an increasingly valuable commercial asset. This study examines how developing countries adapt to European data protection standards by analysing the response strategies of the IT outsourcing sectors in India and the Philippines. Drawing on these cases, the paper derives policy implications for Vietnam, arguing that regulatory alignment with the EU can serve as a strategic instrument for strengthening Vietnam’s position in the global digital supply chain and maximizing the opportunities created by the EU–Vietnam Free Trade Agreement.</w:t>
      </w:r>
    </w:p>
    <w:p w14:paraId="2B164FAD" w14:textId="3B55EE1B" w:rsidR="005F6514" w:rsidRDefault="005F6514" w:rsidP="005F6514">
      <w:pPr>
        <w:spacing w:before="120"/>
        <w:ind w:firstLine="567"/>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Keywords:</w:t>
      </w:r>
      <w:r>
        <w:rPr>
          <w:rFonts w:ascii="Times New Roman" w:eastAsia="Times New Roman" w:hAnsi="Times New Roman" w:cs="Times New Roman"/>
          <w:sz w:val="26"/>
          <w:szCs w:val="26"/>
        </w:rPr>
        <w:t xml:space="preserve"> Brussels </w:t>
      </w:r>
      <w:r w:rsidR="00D1206D">
        <w:rPr>
          <w:rFonts w:ascii="Times New Roman" w:eastAsia="Times New Roman" w:hAnsi="Times New Roman" w:cs="Times New Roman"/>
          <w:sz w:val="26"/>
          <w:szCs w:val="26"/>
        </w:rPr>
        <w:t>e</w:t>
      </w:r>
      <w:r>
        <w:rPr>
          <w:rFonts w:ascii="Times New Roman" w:eastAsia="Times New Roman" w:hAnsi="Times New Roman" w:cs="Times New Roman"/>
          <w:sz w:val="26"/>
          <w:szCs w:val="26"/>
        </w:rPr>
        <w:t>ffect</w:t>
      </w:r>
      <w:r w:rsidR="00D1206D">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GDPR</w:t>
      </w:r>
      <w:r w:rsidR="00D1206D">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IT Outsourcing</w:t>
      </w:r>
      <w:r w:rsidR="000E3815">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0E3815">
        <w:rPr>
          <w:rFonts w:ascii="Times New Roman" w:eastAsia="Times New Roman" w:hAnsi="Times New Roman" w:cs="Times New Roman"/>
          <w:sz w:val="26"/>
          <w:szCs w:val="26"/>
        </w:rPr>
        <w:t>d</w:t>
      </w:r>
      <w:r>
        <w:rPr>
          <w:rFonts w:ascii="Times New Roman" w:eastAsia="Times New Roman" w:hAnsi="Times New Roman" w:cs="Times New Roman"/>
          <w:sz w:val="26"/>
          <w:szCs w:val="26"/>
        </w:rPr>
        <w:t xml:space="preserve">ata </w:t>
      </w:r>
      <w:r w:rsidR="000E3815">
        <w:rPr>
          <w:rFonts w:ascii="Times New Roman" w:eastAsia="Times New Roman" w:hAnsi="Times New Roman" w:cs="Times New Roman"/>
          <w:sz w:val="26"/>
          <w:szCs w:val="26"/>
        </w:rPr>
        <w:t>p</w:t>
      </w:r>
      <w:r>
        <w:rPr>
          <w:rFonts w:ascii="Times New Roman" w:eastAsia="Times New Roman" w:hAnsi="Times New Roman" w:cs="Times New Roman"/>
          <w:sz w:val="26"/>
          <w:szCs w:val="26"/>
        </w:rPr>
        <w:t>rotection</w:t>
      </w:r>
      <w:r w:rsidR="000E3815">
        <w:rPr>
          <w:rFonts w:ascii="Times New Roman" w:eastAsia="Times New Roman" w:hAnsi="Times New Roman" w:cs="Times New Roman"/>
          <w:sz w:val="26"/>
          <w:szCs w:val="26"/>
        </w:rPr>
        <w:t>, EVFTA,</w:t>
      </w:r>
      <w:r>
        <w:rPr>
          <w:rFonts w:ascii="Times New Roman" w:eastAsia="Times New Roman" w:hAnsi="Times New Roman" w:cs="Times New Roman"/>
          <w:sz w:val="26"/>
          <w:szCs w:val="26"/>
        </w:rPr>
        <w:t xml:space="preserve"> Vietnam.</w:t>
      </w:r>
    </w:p>
    <w:p w14:paraId="6E9A815B" w14:textId="77777777" w:rsidR="00D1206D" w:rsidRDefault="00D1206D" w:rsidP="005F6514">
      <w:pPr>
        <w:spacing w:before="120"/>
        <w:ind w:firstLine="567"/>
        <w:jc w:val="both"/>
        <w:rPr>
          <w:rFonts w:ascii="Times New Roman" w:eastAsia="Times New Roman" w:hAnsi="Times New Roman" w:cs="Times New Roman"/>
          <w:sz w:val="26"/>
          <w:szCs w:val="26"/>
        </w:rPr>
      </w:pPr>
    </w:p>
    <w:p w14:paraId="11FB5AD2" w14:textId="77777777" w:rsidR="005F6514" w:rsidRPr="00DE00C5" w:rsidRDefault="005F6514" w:rsidP="005F6514">
      <w:pPr>
        <w:pBdr>
          <w:top w:val="nil"/>
          <w:left w:val="nil"/>
          <w:bottom w:val="nil"/>
          <w:right w:val="nil"/>
          <w:between w:val="nil"/>
        </w:pBdr>
        <w:spacing w:after="0" w:line="240" w:lineRule="auto"/>
        <w:rPr>
          <w:color w:val="000000"/>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ource serif 4">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4C599" w14:textId="77777777" w:rsidR="00036661" w:rsidRDefault="00036661" w:rsidP="000A7317">
      <w:pPr>
        <w:spacing w:after="0" w:line="240" w:lineRule="auto"/>
      </w:pPr>
      <w:r>
        <w:separator/>
      </w:r>
    </w:p>
  </w:footnote>
  <w:footnote w:type="continuationSeparator" w:id="0">
    <w:p w14:paraId="7A7815EE" w14:textId="77777777" w:rsidR="00036661" w:rsidRDefault="00036661" w:rsidP="000A7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D6C41"/>
    <w:multiLevelType w:val="hybridMultilevel"/>
    <w:tmpl w:val="8C0C3B2C"/>
    <w:lvl w:ilvl="0" w:tplc="7E588C9A">
      <w:start w:val="1"/>
      <w:numFmt w:val="decimal"/>
      <w:lvlText w:val="%1."/>
      <w:lvlJc w:val="left"/>
      <w:pPr>
        <w:tabs>
          <w:tab w:val="num" w:pos="900"/>
        </w:tabs>
        <w:ind w:left="540" w:hanging="360"/>
      </w:pPr>
    </w:lvl>
    <w:lvl w:ilvl="1" w:tplc="8BE0A08A">
      <w:numFmt w:val="decimal"/>
      <w:lvlText w:val=""/>
      <w:lvlJc w:val="left"/>
    </w:lvl>
    <w:lvl w:ilvl="2" w:tplc="4496A8F6">
      <w:numFmt w:val="decimal"/>
      <w:lvlText w:val=""/>
      <w:lvlJc w:val="left"/>
    </w:lvl>
    <w:lvl w:ilvl="3" w:tplc="4F5C000C">
      <w:numFmt w:val="decimal"/>
      <w:lvlText w:val=""/>
      <w:lvlJc w:val="left"/>
    </w:lvl>
    <w:lvl w:ilvl="4" w:tplc="10806DCA">
      <w:numFmt w:val="decimal"/>
      <w:lvlText w:val=""/>
      <w:lvlJc w:val="left"/>
    </w:lvl>
    <w:lvl w:ilvl="5" w:tplc="54C0DABC">
      <w:numFmt w:val="decimal"/>
      <w:lvlText w:val=""/>
      <w:lvlJc w:val="left"/>
    </w:lvl>
    <w:lvl w:ilvl="6" w:tplc="FDD8D2E4">
      <w:numFmt w:val="decimal"/>
      <w:lvlText w:val=""/>
      <w:lvlJc w:val="left"/>
    </w:lvl>
    <w:lvl w:ilvl="7" w:tplc="19040E20">
      <w:numFmt w:val="decimal"/>
      <w:lvlText w:val=""/>
      <w:lvlJc w:val="left"/>
    </w:lvl>
    <w:lvl w:ilvl="8" w:tplc="255C8FFA">
      <w:numFmt w:val="decimal"/>
      <w:lvlText w:val=""/>
      <w:lvlJc w:val="left"/>
    </w:lvl>
  </w:abstractNum>
  <w:num w:numId="1" w16cid:durableId="201326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895"/>
    <w:rsid w:val="00036661"/>
    <w:rsid w:val="00041A95"/>
    <w:rsid w:val="00096117"/>
    <w:rsid w:val="000A7317"/>
    <w:rsid w:val="000B17C6"/>
    <w:rsid w:val="000E3815"/>
    <w:rsid w:val="00152CE4"/>
    <w:rsid w:val="001C543F"/>
    <w:rsid w:val="001F73F3"/>
    <w:rsid w:val="00223921"/>
    <w:rsid w:val="002B1C30"/>
    <w:rsid w:val="002B46AB"/>
    <w:rsid w:val="00374981"/>
    <w:rsid w:val="00382682"/>
    <w:rsid w:val="00383C95"/>
    <w:rsid w:val="003A3D8F"/>
    <w:rsid w:val="003B168D"/>
    <w:rsid w:val="00441372"/>
    <w:rsid w:val="00484893"/>
    <w:rsid w:val="004D550B"/>
    <w:rsid w:val="004E2114"/>
    <w:rsid w:val="005C5B02"/>
    <w:rsid w:val="005F6514"/>
    <w:rsid w:val="00605158"/>
    <w:rsid w:val="00676412"/>
    <w:rsid w:val="007F7C4F"/>
    <w:rsid w:val="008012D2"/>
    <w:rsid w:val="00816CD4"/>
    <w:rsid w:val="008A5E93"/>
    <w:rsid w:val="008B0D97"/>
    <w:rsid w:val="008D08F2"/>
    <w:rsid w:val="00912CF7"/>
    <w:rsid w:val="00936207"/>
    <w:rsid w:val="009909BE"/>
    <w:rsid w:val="009A52A7"/>
    <w:rsid w:val="00A259D5"/>
    <w:rsid w:val="00A33455"/>
    <w:rsid w:val="00A5219A"/>
    <w:rsid w:val="00AA097C"/>
    <w:rsid w:val="00AD053D"/>
    <w:rsid w:val="00AE1FF9"/>
    <w:rsid w:val="00AF2D59"/>
    <w:rsid w:val="00B61895"/>
    <w:rsid w:val="00B80F2F"/>
    <w:rsid w:val="00BF0491"/>
    <w:rsid w:val="00C50ADB"/>
    <w:rsid w:val="00C53261"/>
    <w:rsid w:val="00C63BB6"/>
    <w:rsid w:val="00D1206D"/>
    <w:rsid w:val="00D90BB1"/>
    <w:rsid w:val="00DD4ECF"/>
    <w:rsid w:val="00E0781C"/>
    <w:rsid w:val="00E40B8C"/>
    <w:rsid w:val="00E95309"/>
    <w:rsid w:val="00F53E2F"/>
    <w:rsid w:val="00FE2696"/>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6009A"/>
  <w15:docId w15:val="{F6F15D01-B1D2-4B1D-888F-F221ADD6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2">
    <w:name w:val="heading 2"/>
    <w:basedOn w:val="Normal"/>
    <w:next w:val="Normal"/>
    <w:link w:val="Heading2Char"/>
    <w:uiPriority w:val="9"/>
    <w:unhideWhenUsed/>
    <w:qFormat/>
    <w:rsid w:val="000A7317"/>
    <w:pPr>
      <w:spacing w:after="0" w:line="240" w:lineRule="auto"/>
      <w:ind w:left="-30"/>
      <w:outlineLvl w:val="1"/>
    </w:pPr>
    <w:rPr>
      <w:rFonts w:ascii="Times New Roman" w:eastAsia="source serif 4" w:hAnsi="Times New Roman" w:cs="Times New Roman"/>
      <w:b/>
      <w:bCs/>
      <w:color w:val="000000"/>
      <w:sz w:val="26"/>
      <w:szCs w:val="26"/>
      <w:lang w:val="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EndnoteText">
    <w:name w:val="endnote text"/>
    <w:basedOn w:val="Normal"/>
    <w:link w:val="EndnoteTextChar"/>
    <w:uiPriority w:val="99"/>
    <w:semiHidden/>
    <w:unhideWhenUsed/>
    <w:rsid w:val="000A73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7317"/>
    <w:rPr>
      <w:sz w:val="20"/>
      <w:szCs w:val="20"/>
    </w:rPr>
  </w:style>
  <w:style w:type="character" w:styleId="EndnoteReference">
    <w:name w:val="endnote reference"/>
    <w:basedOn w:val="DefaultParagraphFont"/>
    <w:uiPriority w:val="99"/>
    <w:semiHidden/>
    <w:unhideWhenUsed/>
    <w:rsid w:val="000A7317"/>
    <w:rPr>
      <w:vertAlign w:val="superscript"/>
    </w:rPr>
  </w:style>
  <w:style w:type="character" w:customStyle="1" w:styleId="Heading2Char">
    <w:name w:val="Heading 2 Char"/>
    <w:basedOn w:val="DefaultParagraphFont"/>
    <w:link w:val="Heading2"/>
    <w:uiPriority w:val="9"/>
    <w:rsid w:val="000A7317"/>
    <w:rPr>
      <w:rFonts w:ascii="Times New Roman" w:eastAsia="source serif 4" w:hAnsi="Times New Roman" w:cs="Times New Roman"/>
      <w:b/>
      <w:bCs/>
      <w:color w:val="000000"/>
      <w:sz w:val="26"/>
      <w:szCs w:val="26"/>
      <w:lang w:val="vi-VN"/>
    </w:rPr>
  </w:style>
  <w:style w:type="character" w:styleId="Hyperlink">
    <w:name w:val="Hyperlink"/>
    <w:basedOn w:val="DefaultParagraphFont"/>
    <w:uiPriority w:val="99"/>
    <w:unhideWhenUsed/>
    <w:rsid w:val="00223921"/>
    <w:rPr>
      <w:color w:val="467886" w:themeColor="hyperlink"/>
      <w:u w:val="single"/>
    </w:rPr>
  </w:style>
  <w:style w:type="character" w:customStyle="1" w:styleId="UnresolvedMention1">
    <w:name w:val="Unresolved Mention1"/>
    <w:basedOn w:val="DefaultParagraphFont"/>
    <w:uiPriority w:val="99"/>
    <w:semiHidden/>
    <w:unhideWhenUsed/>
    <w:rsid w:val="00223921"/>
    <w:rPr>
      <w:color w:val="605E5C"/>
      <w:shd w:val="clear" w:color="auto" w:fill="E1DFDD"/>
    </w:rPr>
  </w:style>
  <w:style w:type="paragraph" w:styleId="FootnoteText">
    <w:name w:val="footnote text"/>
    <w:basedOn w:val="Normal"/>
    <w:link w:val="FootnoteTextChar"/>
    <w:uiPriority w:val="99"/>
    <w:semiHidden/>
    <w:unhideWhenUsed/>
    <w:rsid w:val="00AD053D"/>
    <w:pPr>
      <w:spacing w:after="0" w:line="240" w:lineRule="auto"/>
    </w:pPr>
    <w:rPr>
      <w:rFonts w:asciiTheme="minorHAnsi" w:eastAsiaTheme="minorEastAsia"/>
      <w:sz w:val="20"/>
      <w:szCs w:val="20"/>
    </w:rPr>
  </w:style>
  <w:style w:type="character" w:customStyle="1" w:styleId="FootnoteTextChar">
    <w:name w:val="Footnote Text Char"/>
    <w:basedOn w:val="DefaultParagraphFont"/>
    <w:link w:val="FootnoteText"/>
    <w:uiPriority w:val="99"/>
    <w:semiHidden/>
    <w:rsid w:val="00AD053D"/>
    <w:rPr>
      <w:rFonts w:asciiTheme="minorHAnsi" w:eastAsiaTheme="minorEastAsia"/>
      <w:sz w:val="20"/>
      <w:szCs w:val="20"/>
    </w:rPr>
  </w:style>
  <w:style w:type="character" w:styleId="FootnoteReference">
    <w:name w:val="footnote reference"/>
    <w:basedOn w:val="DefaultParagraphFont"/>
    <w:uiPriority w:val="99"/>
    <w:semiHidden/>
    <w:unhideWhenUsed/>
    <w:rsid w:val="00AD053D"/>
    <w:rPr>
      <w:vertAlign w:val="superscript"/>
    </w:rPr>
  </w:style>
  <w:style w:type="paragraph" w:styleId="BalloonText">
    <w:name w:val="Balloon Text"/>
    <w:basedOn w:val="Normal"/>
    <w:link w:val="BalloonTextChar"/>
    <w:uiPriority w:val="99"/>
    <w:semiHidden/>
    <w:unhideWhenUsed/>
    <w:rsid w:val="00676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412"/>
    <w:rPr>
      <w:rFonts w:ascii="Segoe UI" w:hAnsi="Segoe UI" w:cs="Segoe UI"/>
      <w:sz w:val="18"/>
      <w:szCs w:val="18"/>
    </w:rPr>
  </w:style>
  <w:style w:type="paragraph" w:styleId="Revision">
    <w:name w:val="Revision"/>
    <w:hidden/>
    <w:uiPriority w:val="99"/>
    <w:semiHidden/>
    <w:rsid w:val="00D120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F26CD-65A9-4EE6-A0F7-1C0E222D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4025</Words>
  <Characters>22943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Administrator</cp:lastModifiedBy>
  <cp:revision>35</cp:revision>
  <cp:lastPrinted>2026-06-06T10:37:00Z</cp:lastPrinted>
  <dcterms:created xsi:type="dcterms:W3CDTF">2026-06-06T10:36:00Z</dcterms:created>
  <dcterms:modified xsi:type="dcterms:W3CDTF">2026-06-08T17:06:00Z</dcterms:modified>
</cp:coreProperties>
</file>