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B3BA1" w14:textId="6BDB5064" w:rsidR="0028569D" w:rsidRDefault="00256DF0" w:rsidP="005A44A2">
      <w:pPr>
        <w:spacing w:before="120" w:after="0" w:line="240" w:lineRule="auto"/>
        <w:jc w:val="center"/>
        <w:rPr>
          <w:rFonts w:ascii="Times New Roman" w:hAnsi="Times New Roman" w:cs="Times New Roman"/>
          <w:b/>
          <w:sz w:val="24"/>
          <w:szCs w:val="24"/>
        </w:rPr>
      </w:pPr>
      <w:r w:rsidRPr="008B67D2">
        <w:rPr>
          <w:rFonts w:ascii="Times New Roman" w:hAnsi="Times New Roman" w:cs="Times New Roman"/>
          <w:b/>
          <w:sz w:val="24"/>
          <w:szCs w:val="24"/>
        </w:rPr>
        <w:t xml:space="preserve">Tăng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rưởng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ín </w:t>
      </w:r>
      <w:r w:rsidR="003776D6">
        <w:rPr>
          <w:rFonts w:ascii="Times New Roman" w:hAnsi="Times New Roman" w:cs="Times New Roman"/>
          <w:b/>
          <w:sz w:val="24"/>
          <w:szCs w:val="24"/>
        </w:rPr>
        <w:t>d</w:t>
      </w:r>
      <w:r w:rsidRPr="008B67D2">
        <w:rPr>
          <w:rFonts w:ascii="Times New Roman" w:hAnsi="Times New Roman" w:cs="Times New Roman"/>
          <w:b/>
          <w:sz w:val="24"/>
          <w:szCs w:val="24"/>
        </w:rPr>
        <w:t xml:space="preserve">ụng </w:t>
      </w:r>
      <w:r w:rsidR="003776D6">
        <w:rPr>
          <w:rFonts w:ascii="Times New Roman" w:hAnsi="Times New Roman" w:cs="Times New Roman"/>
          <w:b/>
          <w:sz w:val="24"/>
          <w:szCs w:val="24"/>
        </w:rPr>
        <w:t>v</w:t>
      </w:r>
      <w:r w:rsidR="005347FD">
        <w:rPr>
          <w:rFonts w:ascii="Times New Roman" w:hAnsi="Times New Roman" w:cs="Times New Roman"/>
          <w:b/>
          <w:sz w:val="24"/>
          <w:szCs w:val="24"/>
        </w:rPr>
        <w:t>à</w:t>
      </w:r>
      <w:r w:rsidRPr="008B67D2">
        <w:rPr>
          <w:rFonts w:ascii="Times New Roman" w:hAnsi="Times New Roman" w:cs="Times New Roman"/>
          <w:b/>
          <w:sz w:val="24"/>
          <w:szCs w:val="24"/>
        </w:rPr>
        <w:t xml:space="preserve">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ỷ </w:t>
      </w:r>
      <w:r w:rsidR="003776D6">
        <w:rPr>
          <w:rFonts w:ascii="Times New Roman" w:hAnsi="Times New Roman" w:cs="Times New Roman"/>
          <w:b/>
          <w:sz w:val="24"/>
          <w:szCs w:val="24"/>
        </w:rPr>
        <w:t>s</w:t>
      </w:r>
      <w:r w:rsidRPr="008B67D2">
        <w:rPr>
          <w:rFonts w:ascii="Times New Roman" w:hAnsi="Times New Roman" w:cs="Times New Roman"/>
          <w:b/>
          <w:sz w:val="24"/>
          <w:szCs w:val="24"/>
        </w:rPr>
        <w:t xml:space="preserve">uất </w:t>
      </w:r>
      <w:r w:rsidR="003776D6">
        <w:rPr>
          <w:rFonts w:ascii="Times New Roman" w:hAnsi="Times New Roman" w:cs="Times New Roman"/>
          <w:b/>
          <w:sz w:val="24"/>
          <w:szCs w:val="24"/>
        </w:rPr>
        <w:t>s</w:t>
      </w:r>
      <w:r w:rsidRPr="008B67D2">
        <w:rPr>
          <w:rFonts w:ascii="Times New Roman" w:hAnsi="Times New Roman" w:cs="Times New Roman"/>
          <w:b/>
          <w:sz w:val="24"/>
          <w:szCs w:val="24"/>
        </w:rPr>
        <w:t xml:space="preserve">inh </w:t>
      </w:r>
      <w:r w:rsidR="003776D6">
        <w:rPr>
          <w:rFonts w:ascii="Times New Roman" w:hAnsi="Times New Roman" w:cs="Times New Roman"/>
          <w:b/>
          <w:sz w:val="24"/>
          <w:szCs w:val="24"/>
        </w:rPr>
        <w:t>l</w:t>
      </w:r>
      <w:r w:rsidRPr="008B67D2">
        <w:rPr>
          <w:rFonts w:ascii="Times New Roman" w:hAnsi="Times New Roman" w:cs="Times New Roman"/>
          <w:b/>
          <w:sz w:val="24"/>
          <w:szCs w:val="24"/>
        </w:rPr>
        <w:t xml:space="preserve">ợi </w:t>
      </w:r>
      <w:r w:rsidR="003776D6">
        <w:rPr>
          <w:rFonts w:ascii="Times New Roman" w:hAnsi="Times New Roman" w:cs="Times New Roman"/>
          <w:b/>
          <w:sz w:val="24"/>
          <w:szCs w:val="24"/>
        </w:rPr>
        <w:t>c</w:t>
      </w:r>
      <w:r w:rsidRPr="008B67D2">
        <w:rPr>
          <w:rFonts w:ascii="Times New Roman" w:hAnsi="Times New Roman" w:cs="Times New Roman"/>
          <w:b/>
          <w:sz w:val="24"/>
          <w:szCs w:val="24"/>
        </w:rPr>
        <w:t xml:space="preserve">ổ </w:t>
      </w:r>
      <w:r w:rsidR="003776D6">
        <w:rPr>
          <w:rFonts w:ascii="Times New Roman" w:hAnsi="Times New Roman" w:cs="Times New Roman"/>
          <w:b/>
          <w:sz w:val="24"/>
          <w:szCs w:val="24"/>
        </w:rPr>
        <w:t>p</w:t>
      </w:r>
      <w:r w:rsidRPr="008B67D2">
        <w:rPr>
          <w:rFonts w:ascii="Times New Roman" w:hAnsi="Times New Roman" w:cs="Times New Roman"/>
          <w:b/>
          <w:sz w:val="24"/>
          <w:szCs w:val="24"/>
        </w:rPr>
        <w:t>hiếu</w:t>
      </w:r>
      <w:r w:rsidR="003776D6">
        <w:rPr>
          <w:rFonts w:ascii="Times New Roman" w:hAnsi="Times New Roman" w:cs="Times New Roman"/>
          <w:b/>
          <w:sz w:val="24"/>
          <w:szCs w:val="24"/>
        </w:rPr>
        <w:t xml:space="preserve"> ngân hàng:</w:t>
      </w:r>
      <w:r w:rsidR="00AF4574">
        <w:rPr>
          <w:rFonts w:ascii="Times New Roman" w:hAnsi="Times New Roman" w:cs="Times New Roman"/>
          <w:b/>
          <w:sz w:val="24"/>
          <w:szCs w:val="24"/>
        </w:rPr>
        <w:t xml:space="preserve"> Vai trò</w:t>
      </w:r>
      <w:r w:rsidRPr="008B67D2">
        <w:rPr>
          <w:rFonts w:ascii="Times New Roman" w:hAnsi="Times New Roman" w:cs="Times New Roman"/>
          <w:b/>
          <w:sz w:val="24"/>
          <w:szCs w:val="24"/>
        </w:rPr>
        <w:t xml:space="preserve"> </w:t>
      </w:r>
      <w:r w:rsidR="00AF4574">
        <w:rPr>
          <w:rFonts w:ascii="Times New Roman" w:hAnsi="Times New Roman" w:cs="Times New Roman"/>
          <w:b/>
          <w:sz w:val="24"/>
          <w:szCs w:val="24"/>
        </w:rPr>
        <w:t xml:space="preserve">điều tiết </w:t>
      </w:r>
      <w:r w:rsidR="003776D6">
        <w:rPr>
          <w:rFonts w:ascii="Times New Roman" w:hAnsi="Times New Roman" w:cs="Times New Roman"/>
          <w:b/>
          <w:sz w:val="24"/>
          <w:szCs w:val="24"/>
        </w:rPr>
        <w:t>c</w:t>
      </w:r>
      <w:r w:rsidRPr="008B67D2">
        <w:rPr>
          <w:rFonts w:ascii="Times New Roman" w:hAnsi="Times New Roman" w:cs="Times New Roman"/>
          <w:b/>
          <w:sz w:val="24"/>
          <w:szCs w:val="24"/>
        </w:rPr>
        <w:t xml:space="preserve">ủa </w:t>
      </w:r>
      <w:r w:rsidR="003776D6">
        <w:rPr>
          <w:rFonts w:ascii="Times New Roman" w:hAnsi="Times New Roman" w:cs="Times New Roman"/>
          <w:b/>
          <w:sz w:val="24"/>
          <w:szCs w:val="24"/>
        </w:rPr>
        <w:t>k</w:t>
      </w:r>
      <w:r w:rsidRPr="008B67D2">
        <w:rPr>
          <w:rFonts w:ascii="Times New Roman" w:hAnsi="Times New Roman" w:cs="Times New Roman"/>
          <w:b/>
          <w:sz w:val="24"/>
          <w:szCs w:val="24"/>
        </w:rPr>
        <w:t xml:space="preserve">hông </w:t>
      </w:r>
      <w:r w:rsidR="003776D6">
        <w:rPr>
          <w:rFonts w:ascii="Times New Roman" w:hAnsi="Times New Roman" w:cs="Times New Roman"/>
          <w:b/>
          <w:sz w:val="24"/>
          <w:szCs w:val="24"/>
        </w:rPr>
        <w:t>m</w:t>
      </w:r>
      <w:r w:rsidRPr="008B67D2">
        <w:rPr>
          <w:rFonts w:ascii="Times New Roman" w:hAnsi="Times New Roman" w:cs="Times New Roman"/>
          <w:b/>
          <w:sz w:val="24"/>
          <w:szCs w:val="24"/>
        </w:rPr>
        <w:t xml:space="preserve">inh </w:t>
      </w:r>
      <w:r w:rsidR="003776D6">
        <w:rPr>
          <w:rFonts w:ascii="Times New Roman" w:hAnsi="Times New Roman" w:cs="Times New Roman"/>
          <w:b/>
          <w:sz w:val="24"/>
          <w:szCs w:val="24"/>
        </w:rPr>
        <w:t>b</w:t>
      </w:r>
      <w:r w:rsidRPr="008B67D2">
        <w:rPr>
          <w:rFonts w:ascii="Times New Roman" w:hAnsi="Times New Roman" w:cs="Times New Roman"/>
          <w:b/>
          <w:sz w:val="24"/>
          <w:szCs w:val="24"/>
        </w:rPr>
        <w:t xml:space="preserve">ạch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hông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in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rong </w:t>
      </w:r>
      <w:r w:rsidR="003776D6">
        <w:rPr>
          <w:rFonts w:ascii="Times New Roman" w:hAnsi="Times New Roman" w:cs="Times New Roman"/>
          <w:b/>
          <w:sz w:val="24"/>
          <w:szCs w:val="24"/>
        </w:rPr>
        <w:t>b</w:t>
      </w:r>
      <w:r w:rsidRPr="008B67D2">
        <w:rPr>
          <w:rFonts w:ascii="Times New Roman" w:hAnsi="Times New Roman" w:cs="Times New Roman"/>
          <w:b/>
          <w:sz w:val="24"/>
          <w:szCs w:val="24"/>
        </w:rPr>
        <w:t xml:space="preserve">áo </w:t>
      </w:r>
      <w:r w:rsidR="003776D6">
        <w:rPr>
          <w:rFonts w:ascii="Times New Roman" w:hAnsi="Times New Roman" w:cs="Times New Roman"/>
          <w:b/>
          <w:sz w:val="24"/>
          <w:szCs w:val="24"/>
        </w:rPr>
        <w:t>c</w:t>
      </w:r>
      <w:r w:rsidRPr="008B67D2">
        <w:rPr>
          <w:rFonts w:ascii="Times New Roman" w:hAnsi="Times New Roman" w:cs="Times New Roman"/>
          <w:b/>
          <w:sz w:val="24"/>
          <w:szCs w:val="24"/>
        </w:rPr>
        <w:t xml:space="preserve">áo </w:t>
      </w:r>
      <w:r w:rsidR="003776D6">
        <w:rPr>
          <w:rFonts w:ascii="Times New Roman" w:hAnsi="Times New Roman" w:cs="Times New Roman"/>
          <w:b/>
          <w:sz w:val="24"/>
          <w:szCs w:val="24"/>
        </w:rPr>
        <w:t>t</w:t>
      </w:r>
      <w:r w:rsidRPr="008B67D2">
        <w:rPr>
          <w:rFonts w:ascii="Times New Roman" w:hAnsi="Times New Roman" w:cs="Times New Roman"/>
          <w:b/>
          <w:sz w:val="24"/>
          <w:szCs w:val="24"/>
        </w:rPr>
        <w:t xml:space="preserve">ài </w:t>
      </w:r>
      <w:r w:rsidR="003776D6">
        <w:rPr>
          <w:rFonts w:ascii="Times New Roman" w:hAnsi="Times New Roman" w:cs="Times New Roman"/>
          <w:b/>
          <w:sz w:val="24"/>
          <w:szCs w:val="24"/>
        </w:rPr>
        <w:t>c</w:t>
      </w:r>
      <w:r w:rsidRPr="008B67D2">
        <w:rPr>
          <w:rFonts w:ascii="Times New Roman" w:hAnsi="Times New Roman" w:cs="Times New Roman"/>
          <w:b/>
          <w:sz w:val="24"/>
          <w:szCs w:val="24"/>
        </w:rPr>
        <w:t>hính</w:t>
      </w:r>
      <w:r w:rsidR="008B3441">
        <w:rPr>
          <w:rFonts w:ascii="Times New Roman" w:hAnsi="Times New Roman" w:cs="Times New Roman"/>
          <w:b/>
          <w:sz w:val="24"/>
          <w:szCs w:val="24"/>
        </w:rPr>
        <w:t xml:space="preserve"> tại các ngân hàng thương mại Việt Nam</w:t>
      </w:r>
    </w:p>
    <w:p w14:paraId="51CEE25E" w14:textId="77777777" w:rsidR="005A44A2" w:rsidRPr="008B67D2" w:rsidRDefault="005A44A2" w:rsidP="005A44A2">
      <w:pPr>
        <w:spacing w:before="120" w:after="0" w:line="240" w:lineRule="auto"/>
        <w:jc w:val="center"/>
        <w:rPr>
          <w:rFonts w:ascii="Times New Roman" w:hAnsi="Times New Roman" w:cs="Times New Roman"/>
          <w:b/>
          <w:sz w:val="24"/>
          <w:szCs w:val="24"/>
        </w:rPr>
      </w:pPr>
    </w:p>
    <w:p w14:paraId="61113D57" w14:textId="1273F2A6" w:rsidR="00AF4574" w:rsidRDefault="00256DF0" w:rsidP="005A44A2">
      <w:pPr>
        <w:spacing w:before="120" w:after="0" w:line="240" w:lineRule="auto"/>
        <w:jc w:val="center"/>
        <w:rPr>
          <w:rFonts w:ascii="Times New Roman" w:hAnsi="Times New Roman" w:cs="Times New Roman"/>
          <w:sz w:val="24"/>
          <w:szCs w:val="24"/>
        </w:rPr>
      </w:pPr>
      <w:r w:rsidRPr="008B67D2">
        <w:rPr>
          <w:rFonts w:ascii="Times New Roman" w:hAnsi="Times New Roman" w:cs="Times New Roman"/>
          <w:sz w:val="24"/>
          <w:szCs w:val="24"/>
        </w:rPr>
        <w:t>Vũ Trọng Hiền</w:t>
      </w:r>
      <w:r w:rsidR="005A44A2" w:rsidRPr="000A23FE">
        <w:rPr>
          <w:rFonts w:ascii="Times New Roman" w:hAnsi="Times New Roman" w:cs="Times New Roman"/>
          <w:sz w:val="24"/>
          <w:szCs w:val="24"/>
          <w:vertAlign w:val="superscript"/>
        </w:rPr>
        <w:t>1</w:t>
      </w:r>
      <w:r w:rsidR="005A44A2">
        <w:rPr>
          <w:rFonts w:ascii="Times New Roman" w:hAnsi="Times New Roman" w:cs="Times New Roman"/>
          <w:sz w:val="24"/>
          <w:szCs w:val="24"/>
        </w:rPr>
        <w:t xml:space="preserve"> -</w:t>
      </w:r>
      <w:r w:rsidRPr="008B67D2">
        <w:rPr>
          <w:rFonts w:ascii="Times New Roman" w:hAnsi="Times New Roman" w:cs="Times New Roman"/>
          <w:sz w:val="24"/>
          <w:szCs w:val="24"/>
        </w:rPr>
        <w:t xml:space="preserve"> Nguyễn Thanh Thương</w:t>
      </w:r>
      <w:r w:rsidR="005A44A2" w:rsidRPr="00606BE6">
        <w:rPr>
          <w:rFonts w:ascii="Times New Roman" w:hAnsi="Times New Roman" w:cs="Times New Roman"/>
          <w:sz w:val="24"/>
          <w:szCs w:val="24"/>
          <w:vertAlign w:val="superscript"/>
        </w:rPr>
        <w:t>1</w:t>
      </w:r>
      <w:r w:rsidR="005A44A2">
        <w:rPr>
          <w:rFonts w:ascii="Times New Roman" w:hAnsi="Times New Roman" w:cs="Times New Roman"/>
          <w:sz w:val="24"/>
          <w:szCs w:val="24"/>
        </w:rPr>
        <w:t xml:space="preserve"> -</w:t>
      </w:r>
      <w:r w:rsidRPr="008B67D2">
        <w:rPr>
          <w:rFonts w:ascii="Times New Roman" w:hAnsi="Times New Roman" w:cs="Times New Roman"/>
          <w:sz w:val="24"/>
          <w:szCs w:val="24"/>
        </w:rPr>
        <w:t xml:space="preserve"> Trần Thị Ngọc Khuê</w:t>
      </w:r>
      <w:r w:rsidR="005A44A2" w:rsidRPr="00606BE6">
        <w:rPr>
          <w:rFonts w:ascii="Times New Roman" w:hAnsi="Times New Roman" w:cs="Times New Roman"/>
          <w:sz w:val="24"/>
          <w:szCs w:val="24"/>
          <w:vertAlign w:val="superscript"/>
        </w:rPr>
        <w:t>1</w:t>
      </w:r>
      <w:r w:rsidR="005A44A2">
        <w:rPr>
          <w:rFonts w:ascii="Times New Roman" w:hAnsi="Times New Roman" w:cs="Times New Roman"/>
          <w:sz w:val="24"/>
          <w:szCs w:val="24"/>
        </w:rPr>
        <w:t xml:space="preserve"> -</w:t>
      </w:r>
      <w:r w:rsidRPr="008B67D2">
        <w:rPr>
          <w:rFonts w:ascii="Times New Roman" w:hAnsi="Times New Roman" w:cs="Times New Roman"/>
          <w:sz w:val="24"/>
          <w:szCs w:val="24"/>
        </w:rPr>
        <w:t xml:space="preserve"> Võ Phú Điền</w:t>
      </w:r>
      <w:r w:rsidR="005A44A2" w:rsidRPr="00606BE6">
        <w:rPr>
          <w:rFonts w:ascii="Times New Roman" w:hAnsi="Times New Roman" w:cs="Times New Roman"/>
          <w:sz w:val="24"/>
          <w:szCs w:val="24"/>
          <w:vertAlign w:val="superscript"/>
        </w:rPr>
        <w:t>1</w:t>
      </w:r>
      <w:r w:rsidR="005A44A2">
        <w:rPr>
          <w:rFonts w:ascii="Times New Roman" w:hAnsi="Times New Roman" w:cs="Times New Roman"/>
          <w:sz w:val="24"/>
          <w:szCs w:val="24"/>
        </w:rPr>
        <w:t xml:space="preserve"> -</w:t>
      </w:r>
      <w:r w:rsidRPr="008B67D2">
        <w:rPr>
          <w:rFonts w:ascii="Times New Roman" w:hAnsi="Times New Roman" w:cs="Times New Roman"/>
          <w:sz w:val="24"/>
          <w:szCs w:val="24"/>
        </w:rPr>
        <w:t xml:space="preserve"> </w:t>
      </w:r>
    </w:p>
    <w:p w14:paraId="477B607C" w14:textId="05308FC4" w:rsidR="007C797D" w:rsidRPr="008B67D2" w:rsidRDefault="00256DF0" w:rsidP="005A44A2">
      <w:pPr>
        <w:spacing w:before="120" w:after="0" w:line="240" w:lineRule="auto"/>
        <w:jc w:val="center"/>
        <w:rPr>
          <w:rFonts w:ascii="Times New Roman" w:hAnsi="Times New Roman" w:cs="Times New Roman"/>
          <w:sz w:val="24"/>
          <w:szCs w:val="24"/>
        </w:rPr>
      </w:pPr>
      <w:r w:rsidRPr="008B67D2">
        <w:rPr>
          <w:rFonts w:ascii="Times New Roman" w:hAnsi="Times New Roman" w:cs="Times New Roman"/>
          <w:sz w:val="24"/>
          <w:szCs w:val="24"/>
        </w:rPr>
        <w:t>Nguyễn Thị Ngọc Lan</w:t>
      </w:r>
      <w:r w:rsidR="005A44A2" w:rsidRPr="00606BE6">
        <w:rPr>
          <w:rFonts w:ascii="Times New Roman" w:hAnsi="Times New Roman" w:cs="Times New Roman"/>
          <w:sz w:val="24"/>
          <w:szCs w:val="24"/>
          <w:vertAlign w:val="superscript"/>
        </w:rPr>
        <w:t>1</w:t>
      </w:r>
      <w:r w:rsidR="005A44A2">
        <w:rPr>
          <w:rFonts w:ascii="Times New Roman" w:hAnsi="Times New Roman" w:cs="Times New Roman"/>
          <w:sz w:val="24"/>
          <w:szCs w:val="24"/>
        </w:rPr>
        <w:t xml:space="preserve"> -</w:t>
      </w:r>
      <w:r w:rsidRPr="008B67D2">
        <w:rPr>
          <w:rFonts w:ascii="Times New Roman" w:hAnsi="Times New Roman" w:cs="Times New Roman"/>
          <w:sz w:val="24"/>
          <w:szCs w:val="24"/>
        </w:rPr>
        <w:t xml:space="preserve"> Bùi Lê Thả</w:t>
      </w:r>
      <w:r w:rsidR="007C797D" w:rsidRPr="008B67D2">
        <w:rPr>
          <w:rFonts w:ascii="Times New Roman" w:hAnsi="Times New Roman" w:cs="Times New Roman"/>
          <w:sz w:val="24"/>
          <w:szCs w:val="24"/>
        </w:rPr>
        <w:t>o My</w:t>
      </w:r>
      <w:r w:rsidR="005A44A2" w:rsidRPr="00606BE6">
        <w:rPr>
          <w:rFonts w:ascii="Times New Roman" w:hAnsi="Times New Roman" w:cs="Times New Roman"/>
          <w:sz w:val="24"/>
          <w:szCs w:val="24"/>
          <w:vertAlign w:val="superscript"/>
        </w:rPr>
        <w:t>1</w:t>
      </w:r>
    </w:p>
    <w:p w14:paraId="63315C72" w14:textId="3308144A" w:rsidR="00256DF0" w:rsidRDefault="005A44A2" w:rsidP="005A44A2">
      <w:pPr>
        <w:spacing w:before="120" w:after="0" w:line="240" w:lineRule="auto"/>
        <w:jc w:val="center"/>
        <w:rPr>
          <w:rFonts w:ascii="Times New Roman" w:hAnsi="Times New Roman" w:cs="Times New Roman"/>
          <w:bCs/>
          <w:sz w:val="24"/>
          <w:szCs w:val="24"/>
        </w:rPr>
      </w:pPr>
      <w:r w:rsidRPr="00606BE6">
        <w:rPr>
          <w:rFonts w:ascii="Times New Roman" w:hAnsi="Times New Roman" w:cs="Times New Roman"/>
          <w:sz w:val="24"/>
          <w:szCs w:val="24"/>
          <w:vertAlign w:val="superscript"/>
        </w:rPr>
        <w:t>1</w:t>
      </w:r>
      <w:r w:rsidR="00256DF0" w:rsidRPr="008B67D2">
        <w:rPr>
          <w:rFonts w:ascii="Times New Roman" w:hAnsi="Times New Roman" w:cs="Times New Roman"/>
          <w:bCs/>
          <w:sz w:val="24"/>
          <w:szCs w:val="24"/>
        </w:rPr>
        <w:t>Trường Đại học Công nghiệp T</w:t>
      </w:r>
      <w:r w:rsidR="00985EB0">
        <w:rPr>
          <w:rFonts w:ascii="Times New Roman" w:hAnsi="Times New Roman" w:cs="Times New Roman"/>
          <w:bCs/>
          <w:sz w:val="24"/>
          <w:szCs w:val="24"/>
        </w:rPr>
        <w:t>hành phố</w:t>
      </w:r>
      <w:r w:rsidR="00256DF0" w:rsidRPr="008B67D2">
        <w:rPr>
          <w:rFonts w:ascii="Times New Roman" w:hAnsi="Times New Roman" w:cs="Times New Roman"/>
          <w:bCs/>
          <w:sz w:val="24"/>
          <w:szCs w:val="24"/>
        </w:rPr>
        <w:t xml:space="preserve"> Hồ Chí Minh</w:t>
      </w:r>
    </w:p>
    <w:p w14:paraId="0D179A0C" w14:textId="77777777" w:rsidR="005A44A2" w:rsidRPr="008B67D2" w:rsidRDefault="005A44A2" w:rsidP="005A44A2">
      <w:pPr>
        <w:spacing w:before="120" w:after="0" w:line="240" w:lineRule="auto"/>
        <w:jc w:val="center"/>
        <w:rPr>
          <w:rFonts w:ascii="Times New Roman" w:hAnsi="Times New Roman" w:cs="Times New Roman"/>
          <w:bCs/>
          <w:sz w:val="24"/>
          <w:szCs w:val="24"/>
        </w:rPr>
      </w:pPr>
    </w:p>
    <w:p w14:paraId="77B474BA" w14:textId="5D7D70EF" w:rsidR="00256DF0" w:rsidRPr="008B67D2" w:rsidRDefault="00256DF0" w:rsidP="005A44A2">
      <w:pPr>
        <w:spacing w:before="120" w:after="0" w:line="240" w:lineRule="auto"/>
        <w:jc w:val="center"/>
        <w:rPr>
          <w:rFonts w:ascii="Times New Roman" w:hAnsi="Times New Roman" w:cs="Times New Roman"/>
          <w:b/>
          <w:bCs/>
          <w:sz w:val="24"/>
          <w:szCs w:val="24"/>
        </w:rPr>
      </w:pPr>
      <w:r w:rsidRPr="008B67D2">
        <w:rPr>
          <w:rFonts w:ascii="Times New Roman" w:hAnsi="Times New Roman" w:cs="Times New Roman"/>
          <w:b/>
          <w:bCs/>
          <w:sz w:val="24"/>
          <w:szCs w:val="24"/>
        </w:rPr>
        <w:t>Tóm tắt</w:t>
      </w:r>
      <w:r w:rsidR="005A44A2">
        <w:rPr>
          <w:rFonts w:ascii="Times New Roman" w:hAnsi="Times New Roman" w:cs="Times New Roman"/>
          <w:b/>
          <w:bCs/>
          <w:sz w:val="24"/>
          <w:szCs w:val="24"/>
        </w:rPr>
        <w:t>:</w:t>
      </w:r>
    </w:p>
    <w:p w14:paraId="60EEF250" w14:textId="57FF3CAA" w:rsidR="00256DF0" w:rsidRPr="008B67D2" w:rsidRDefault="00256DF0" w:rsidP="005A44A2">
      <w:pPr>
        <w:spacing w:before="120" w:after="0" w:line="240" w:lineRule="auto"/>
        <w:jc w:val="both"/>
        <w:rPr>
          <w:rFonts w:ascii="Times New Roman" w:eastAsia="Times New Roman" w:hAnsi="Times New Roman" w:cs="Times New Roman"/>
          <w:sz w:val="24"/>
          <w:szCs w:val="24"/>
        </w:rPr>
      </w:pPr>
      <w:r w:rsidRPr="008B67D2">
        <w:rPr>
          <w:rFonts w:ascii="Times New Roman" w:eastAsia="Times New Roman" w:hAnsi="Times New Roman" w:cs="Times New Roman"/>
          <w:color w:val="000000"/>
          <w:sz w:val="24"/>
          <w:szCs w:val="24"/>
        </w:rPr>
        <w:t xml:space="preserve">Bài nghiên cứu </w:t>
      </w:r>
      <w:r w:rsidR="0049252F">
        <w:rPr>
          <w:rFonts w:ascii="Times New Roman" w:eastAsia="Times New Roman" w:hAnsi="Times New Roman" w:cs="Times New Roman"/>
          <w:color w:val="000000"/>
          <w:sz w:val="24"/>
          <w:szCs w:val="24"/>
        </w:rPr>
        <w:t>này xem xét</w:t>
      </w:r>
      <w:r w:rsidR="00B47BE2">
        <w:rPr>
          <w:rFonts w:ascii="Times New Roman" w:eastAsia="Times New Roman" w:hAnsi="Times New Roman" w:cs="Times New Roman"/>
          <w:color w:val="000000"/>
          <w:sz w:val="24"/>
          <w:szCs w:val="24"/>
        </w:rPr>
        <w:t xml:space="preserve"> vai trò điều tiết</w:t>
      </w:r>
      <w:r w:rsidR="0049252F" w:rsidRPr="008B67D2">
        <w:rPr>
          <w:rFonts w:ascii="Times New Roman" w:eastAsia="Times New Roman" w:hAnsi="Times New Roman" w:cs="Times New Roman"/>
          <w:color w:val="000000"/>
          <w:sz w:val="24"/>
          <w:szCs w:val="24"/>
        </w:rPr>
        <w:t xml:space="preserve"> của</w:t>
      </w:r>
      <w:r w:rsidR="0049252F">
        <w:rPr>
          <w:rFonts w:ascii="Times New Roman" w:eastAsia="Times New Roman" w:hAnsi="Times New Roman" w:cs="Times New Roman"/>
          <w:color w:val="000000"/>
          <w:sz w:val="24"/>
          <w:szCs w:val="24"/>
        </w:rPr>
        <w:t xml:space="preserve"> </w:t>
      </w:r>
      <w:r w:rsidR="0049252F" w:rsidRPr="008B67D2">
        <w:rPr>
          <w:rFonts w:ascii="Times New Roman" w:eastAsia="Times New Roman" w:hAnsi="Times New Roman" w:cs="Times New Roman"/>
          <w:color w:val="000000"/>
          <w:sz w:val="24"/>
          <w:szCs w:val="24"/>
        </w:rPr>
        <w:t xml:space="preserve">không minh bạch thông tin trong báo cáo tài chính </w:t>
      </w:r>
      <w:r w:rsidR="0049252F">
        <w:rPr>
          <w:rFonts w:ascii="Times New Roman" w:eastAsia="Times New Roman" w:hAnsi="Times New Roman" w:cs="Times New Roman"/>
          <w:color w:val="000000"/>
          <w:sz w:val="24"/>
          <w:szCs w:val="24"/>
        </w:rPr>
        <w:t>lên</w:t>
      </w:r>
      <w:r w:rsidR="0049252F" w:rsidRPr="008B67D2">
        <w:rPr>
          <w:rFonts w:ascii="Times New Roman" w:eastAsia="Times New Roman" w:hAnsi="Times New Roman" w:cs="Times New Roman"/>
          <w:color w:val="000000"/>
          <w:sz w:val="24"/>
          <w:szCs w:val="24"/>
        </w:rPr>
        <w:t xml:space="preserve"> </w:t>
      </w:r>
      <w:r w:rsidRPr="008B67D2">
        <w:rPr>
          <w:rFonts w:ascii="Times New Roman" w:eastAsia="Times New Roman" w:hAnsi="Times New Roman" w:cs="Times New Roman"/>
          <w:color w:val="000000"/>
          <w:sz w:val="24"/>
          <w:szCs w:val="24"/>
        </w:rPr>
        <w:t>tác động của tăng trưởng tín dụng</w:t>
      </w:r>
      <w:r w:rsidR="0049252F">
        <w:rPr>
          <w:rFonts w:ascii="Times New Roman" w:eastAsia="Times New Roman" w:hAnsi="Times New Roman" w:cs="Times New Roman"/>
          <w:color w:val="000000"/>
          <w:sz w:val="24"/>
          <w:szCs w:val="24"/>
        </w:rPr>
        <w:t xml:space="preserve"> đến</w:t>
      </w:r>
      <w:r w:rsidRPr="008B67D2">
        <w:rPr>
          <w:rFonts w:ascii="Times New Roman" w:eastAsia="Times New Roman" w:hAnsi="Times New Roman" w:cs="Times New Roman"/>
          <w:color w:val="000000"/>
          <w:sz w:val="24"/>
          <w:szCs w:val="24"/>
        </w:rPr>
        <w:t xml:space="preserve"> tỷ suất sinh lợi cổ phiếu</w:t>
      </w:r>
      <w:r w:rsidR="0049252F">
        <w:rPr>
          <w:rFonts w:ascii="Times New Roman" w:eastAsia="Times New Roman" w:hAnsi="Times New Roman" w:cs="Times New Roman"/>
          <w:color w:val="000000"/>
          <w:sz w:val="24"/>
          <w:szCs w:val="24"/>
        </w:rPr>
        <w:t xml:space="preserve"> tại các ngân hàng thương mại Việt Nam</w:t>
      </w:r>
      <w:r w:rsidRPr="008B67D2">
        <w:rPr>
          <w:rFonts w:ascii="Times New Roman" w:eastAsia="Times New Roman" w:hAnsi="Times New Roman" w:cs="Times New Roman"/>
          <w:color w:val="000000"/>
          <w:sz w:val="24"/>
          <w:szCs w:val="24"/>
        </w:rPr>
        <w:t>. Bài nghiên cứu sử dụng</w:t>
      </w:r>
      <w:bookmarkStart w:id="0" w:name="_GoBack"/>
      <w:bookmarkEnd w:id="0"/>
      <w:r w:rsidRPr="008B67D2">
        <w:rPr>
          <w:rFonts w:ascii="Times New Roman" w:eastAsia="Times New Roman" w:hAnsi="Times New Roman" w:cs="Times New Roman"/>
          <w:color w:val="000000"/>
          <w:sz w:val="24"/>
          <w:szCs w:val="24"/>
        </w:rPr>
        <w:t xml:space="preserve"> hồi quy GLS với dữ liệu 19 ngân hàng thương mại Việt Nam trong giai đoạn quan sát 2006-2024. </w:t>
      </w:r>
      <w:proofErr w:type="gramStart"/>
      <w:r w:rsidR="00763E01">
        <w:rPr>
          <w:rFonts w:ascii="Times New Roman" w:eastAsia="Times New Roman" w:hAnsi="Times New Roman" w:cs="Times New Roman"/>
          <w:color w:val="000000"/>
          <w:sz w:val="24"/>
          <w:szCs w:val="24"/>
        </w:rPr>
        <w:t>Kết quả n</w:t>
      </w:r>
      <w:r w:rsidRPr="008B67D2">
        <w:rPr>
          <w:rFonts w:ascii="Times New Roman" w:eastAsia="Times New Roman" w:hAnsi="Times New Roman" w:cs="Times New Roman"/>
          <w:color w:val="000000"/>
          <w:sz w:val="24"/>
          <w:szCs w:val="24"/>
        </w:rPr>
        <w:t xml:space="preserve">ghiên cứu </w:t>
      </w:r>
      <w:r w:rsidR="005A44A2">
        <w:rPr>
          <w:rFonts w:ascii="Times New Roman" w:eastAsia="Times New Roman" w:hAnsi="Times New Roman" w:cs="Times New Roman"/>
          <w:color w:val="000000"/>
          <w:sz w:val="24"/>
          <w:szCs w:val="24"/>
        </w:rPr>
        <w:t>cho thấy,</w:t>
      </w:r>
      <w:r w:rsidRPr="008B67D2">
        <w:rPr>
          <w:rFonts w:ascii="Times New Roman" w:eastAsia="Times New Roman" w:hAnsi="Times New Roman" w:cs="Times New Roman"/>
          <w:color w:val="000000"/>
          <w:sz w:val="24"/>
          <w:szCs w:val="24"/>
        </w:rPr>
        <w:t xml:space="preserve"> tăng trưởng tín dụng tác động cùng chiều đến tỷ suất sinh lợi cổ phiếu, </w:t>
      </w:r>
      <w:r w:rsidR="00DF33B4">
        <w:rPr>
          <w:rFonts w:ascii="Times New Roman" w:eastAsia="Times New Roman" w:hAnsi="Times New Roman" w:cs="Times New Roman"/>
          <w:color w:val="000000"/>
          <w:sz w:val="24"/>
          <w:szCs w:val="24"/>
        </w:rPr>
        <w:t xml:space="preserve">và </w:t>
      </w:r>
      <w:r w:rsidRPr="008B67D2">
        <w:rPr>
          <w:rFonts w:ascii="Times New Roman" w:eastAsia="Times New Roman" w:hAnsi="Times New Roman" w:cs="Times New Roman"/>
          <w:color w:val="000000"/>
          <w:sz w:val="24"/>
          <w:szCs w:val="24"/>
        </w:rPr>
        <w:t xml:space="preserve">mức độ không minh bạch trong báo cáo tài chính </w:t>
      </w:r>
      <w:r w:rsidR="00DF33B4">
        <w:rPr>
          <w:rFonts w:ascii="Times New Roman" w:eastAsia="Times New Roman" w:hAnsi="Times New Roman" w:cs="Times New Roman"/>
          <w:color w:val="000000"/>
          <w:sz w:val="24"/>
          <w:szCs w:val="24"/>
        </w:rPr>
        <w:t xml:space="preserve">là yếu tố </w:t>
      </w:r>
      <w:r w:rsidRPr="008B67D2">
        <w:rPr>
          <w:rFonts w:ascii="Times New Roman" w:eastAsia="Times New Roman" w:hAnsi="Times New Roman" w:cs="Times New Roman"/>
          <w:color w:val="000000"/>
          <w:sz w:val="24"/>
          <w:szCs w:val="24"/>
        </w:rPr>
        <w:t>làm suy yếu</w:t>
      </w:r>
      <w:r w:rsidR="00DF33B4">
        <w:rPr>
          <w:rFonts w:ascii="Times New Roman" w:eastAsia="Times New Roman" w:hAnsi="Times New Roman" w:cs="Times New Roman"/>
          <w:color w:val="000000"/>
          <w:sz w:val="24"/>
          <w:szCs w:val="24"/>
        </w:rPr>
        <w:t xml:space="preserve"> đi</w:t>
      </w:r>
      <w:r w:rsidRPr="008B67D2">
        <w:rPr>
          <w:rFonts w:ascii="Times New Roman" w:eastAsia="Times New Roman" w:hAnsi="Times New Roman" w:cs="Times New Roman"/>
          <w:color w:val="000000"/>
          <w:sz w:val="24"/>
          <w:szCs w:val="24"/>
        </w:rPr>
        <w:t xml:space="preserve"> tác động này.</w:t>
      </w:r>
      <w:proofErr w:type="gramEnd"/>
      <w:r w:rsidRPr="008B67D2">
        <w:rPr>
          <w:rFonts w:ascii="Times New Roman" w:eastAsia="Times New Roman" w:hAnsi="Times New Roman" w:cs="Times New Roman"/>
          <w:color w:val="000000"/>
          <w:sz w:val="24"/>
          <w:szCs w:val="24"/>
        </w:rPr>
        <w:t xml:space="preserve"> </w:t>
      </w:r>
      <w:r w:rsidR="00F40F82">
        <w:rPr>
          <w:rFonts w:ascii="Times New Roman" w:eastAsia="Times New Roman" w:hAnsi="Times New Roman" w:cs="Times New Roman"/>
          <w:color w:val="000000"/>
          <w:sz w:val="24"/>
          <w:szCs w:val="24"/>
        </w:rPr>
        <w:t>N</w:t>
      </w:r>
      <w:r w:rsidRPr="008B67D2">
        <w:rPr>
          <w:rFonts w:ascii="Times New Roman" w:eastAsia="Times New Roman" w:hAnsi="Times New Roman" w:cs="Times New Roman"/>
          <w:color w:val="000000"/>
          <w:sz w:val="24"/>
          <w:szCs w:val="24"/>
        </w:rPr>
        <w:t xml:space="preserve">ghiên cứu </w:t>
      </w:r>
      <w:r w:rsidR="00F40F82">
        <w:rPr>
          <w:rFonts w:ascii="Times New Roman" w:eastAsia="Times New Roman" w:hAnsi="Times New Roman" w:cs="Times New Roman"/>
          <w:color w:val="000000"/>
          <w:sz w:val="24"/>
          <w:szCs w:val="24"/>
        </w:rPr>
        <w:t xml:space="preserve">đưa ra các </w:t>
      </w:r>
      <w:r w:rsidRPr="008B67D2">
        <w:rPr>
          <w:rFonts w:ascii="Times New Roman" w:eastAsia="Times New Roman" w:hAnsi="Times New Roman" w:cs="Times New Roman"/>
          <w:color w:val="000000"/>
          <w:sz w:val="24"/>
          <w:szCs w:val="24"/>
        </w:rPr>
        <w:t xml:space="preserve">hàm ý chính sách trong việc nâng cao tính minh bạch thông tin </w:t>
      </w:r>
      <w:r w:rsidR="00F40F82">
        <w:rPr>
          <w:rFonts w:ascii="Times New Roman" w:eastAsia="Times New Roman" w:hAnsi="Times New Roman" w:cs="Times New Roman"/>
          <w:color w:val="000000"/>
          <w:sz w:val="24"/>
          <w:szCs w:val="24"/>
        </w:rPr>
        <w:t xml:space="preserve">báo cáo </w:t>
      </w:r>
      <w:r w:rsidRPr="008B67D2">
        <w:rPr>
          <w:rFonts w:ascii="Times New Roman" w:eastAsia="Times New Roman" w:hAnsi="Times New Roman" w:cs="Times New Roman"/>
          <w:color w:val="000000"/>
          <w:sz w:val="24"/>
          <w:szCs w:val="24"/>
        </w:rPr>
        <w:t>tài chính, từ đó góp phần cải thiện tỷ suất sinh lợi cổ phiếu của các ngân hàng thương mại Việt Nam.</w:t>
      </w:r>
    </w:p>
    <w:p w14:paraId="49D2D2E2" w14:textId="3020D5CB" w:rsidR="00256DF0" w:rsidRDefault="00256DF0" w:rsidP="005A44A2">
      <w:pPr>
        <w:spacing w:before="120" w:after="0" w:line="240" w:lineRule="auto"/>
        <w:jc w:val="both"/>
        <w:rPr>
          <w:rFonts w:ascii="Times New Roman" w:eastAsia="Times New Roman" w:hAnsi="Times New Roman" w:cs="Times New Roman"/>
          <w:color w:val="000000"/>
          <w:sz w:val="24"/>
          <w:szCs w:val="24"/>
        </w:rPr>
      </w:pPr>
      <w:r w:rsidRPr="008B67D2">
        <w:rPr>
          <w:rFonts w:ascii="Times New Roman" w:eastAsia="Times New Roman" w:hAnsi="Times New Roman" w:cs="Times New Roman"/>
          <w:b/>
          <w:bCs/>
          <w:color w:val="000000"/>
          <w:sz w:val="24"/>
          <w:szCs w:val="24"/>
        </w:rPr>
        <w:t>Từ khóa</w:t>
      </w:r>
      <w:r w:rsidRPr="008B67D2">
        <w:rPr>
          <w:rFonts w:ascii="Times New Roman" w:eastAsia="Times New Roman" w:hAnsi="Times New Roman" w:cs="Times New Roman"/>
          <w:color w:val="000000"/>
          <w:sz w:val="24"/>
          <w:szCs w:val="24"/>
        </w:rPr>
        <w:t xml:space="preserve">: </w:t>
      </w:r>
      <w:r w:rsidR="005A44A2">
        <w:rPr>
          <w:rFonts w:ascii="Times New Roman" w:eastAsia="Times New Roman" w:hAnsi="Times New Roman" w:cs="Times New Roman"/>
          <w:color w:val="000000"/>
          <w:sz w:val="24"/>
          <w:szCs w:val="24"/>
        </w:rPr>
        <w:t>t</w:t>
      </w:r>
      <w:r w:rsidRPr="008B67D2">
        <w:rPr>
          <w:rFonts w:ascii="Times New Roman" w:eastAsia="Times New Roman" w:hAnsi="Times New Roman" w:cs="Times New Roman"/>
          <w:color w:val="000000"/>
          <w:sz w:val="24"/>
          <w:szCs w:val="24"/>
        </w:rPr>
        <w:t xml:space="preserve">ăng trưởng tín dụng, </w:t>
      </w:r>
      <w:r w:rsidR="005A44A2">
        <w:rPr>
          <w:rFonts w:ascii="Times New Roman" w:eastAsia="Times New Roman" w:hAnsi="Times New Roman" w:cs="Times New Roman"/>
          <w:color w:val="000000"/>
          <w:sz w:val="24"/>
          <w:szCs w:val="24"/>
        </w:rPr>
        <w:t>t</w:t>
      </w:r>
      <w:r w:rsidRPr="008B67D2">
        <w:rPr>
          <w:rFonts w:ascii="Times New Roman" w:eastAsia="Times New Roman" w:hAnsi="Times New Roman" w:cs="Times New Roman"/>
          <w:color w:val="000000"/>
          <w:sz w:val="24"/>
          <w:szCs w:val="24"/>
        </w:rPr>
        <w:t xml:space="preserve">ỷ suất sinh lợi cổ phiếu, </w:t>
      </w:r>
      <w:r w:rsidR="005A44A2">
        <w:rPr>
          <w:rFonts w:ascii="Times New Roman" w:eastAsia="Times New Roman" w:hAnsi="Times New Roman" w:cs="Times New Roman"/>
          <w:color w:val="000000"/>
          <w:sz w:val="24"/>
          <w:szCs w:val="24"/>
        </w:rPr>
        <w:t>t</w:t>
      </w:r>
      <w:r w:rsidR="005347FD">
        <w:rPr>
          <w:rFonts w:ascii="Times New Roman" w:eastAsia="Times New Roman" w:hAnsi="Times New Roman" w:cs="Times New Roman"/>
          <w:color w:val="000000"/>
          <w:sz w:val="24"/>
          <w:szCs w:val="24"/>
        </w:rPr>
        <w:t xml:space="preserve">ính </w:t>
      </w:r>
      <w:r w:rsidRPr="008B67D2">
        <w:rPr>
          <w:rFonts w:ascii="Times New Roman" w:eastAsia="Times New Roman" w:hAnsi="Times New Roman" w:cs="Times New Roman"/>
          <w:color w:val="000000"/>
          <w:sz w:val="24"/>
          <w:szCs w:val="24"/>
        </w:rPr>
        <w:t xml:space="preserve">không minh bạch thông tin, </w:t>
      </w:r>
      <w:r w:rsidR="005A44A2">
        <w:rPr>
          <w:rFonts w:ascii="Times New Roman" w:eastAsia="Times New Roman" w:hAnsi="Times New Roman" w:cs="Times New Roman"/>
          <w:color w:val="000000"/>
          <w:sz w:val="24"/>
          <w:szCs w:val="24"/>
        </w:rPr>
        <w:t>n</w:t>
      </w:r>
      <w:r w:rsidRPr="008B67D2">
        <w:rPr>
          <w:rFonts w:ascii="Times New Roman" w:eastAsia="Times New Roman" w:hAnsi="Times New Roman" w:cs="Times New Roman"/>
          <w:color w:val="000000"/>
          <w:sz w:val="24"/>
          <w:szCs w:val="24"/>
        </w:rPr>
        <w:t>gân hàng thương mại.</w:t>
      </w:r>
    </w:p>
    <w:p w14:paraId="202AA4D9" w14:textId="65DD1B98" w:rsidR="00256DF0" w:rsidRPr="008B67D2" w:rsidRDefault="005A44A2" w:rsidP="005A44A2">
      <w:pPr>
        <w:widowControl w:val="0"/>
        <w:numPr>
          <w:ilvl w:val="0"/>
          <w:numId w:val="1"/>
        </w:numPr>
        <w:tabs>
          <w:tab w:val="left" w:pos="314"/>
        </w:tabs>
        <w:kinsoku w:val="0"/>
        <w:autoSpaceDE w:val="0"/>
        <w:autoSpaceDN w:val="0"/>
        <w:adjustRightInd w:val="0"/>
        <w:spacing w:before="120" w:after="0" w:line="240" w:lineRule="auto"/>
        <w:jc w:val="both"/>
        <w:textAlignment w:val="baseline"/>
        <w:rPr>
          <w:rFonts w:ascii="Times New Roman" w:hAnsi="Times New Roman" w:cs="Times New Roman"/>
          <w:sz w:val="24"/>
          <w:szCs w:val="24"/>
        </w:rPr>
      </w:pPr>
      <w:r>
        <w:rPr>
          <w:rFonts w:ascii="Times New Roman" w:hAnsi="Times New Roman" w:cs="Times New Roman"/>
          <w:b/>
          <w:noProof/>
          <w:color w:val="000000"/>
          <w:sz w:val="24"/>
          <w:szCs w:val="24"/>
        </w:rPr>
        <w:t>Đặt vấn đề</w:t>
      </w:r>
    </w:p>
    <w:p w14:paraId="1AFE07E5" w14:textId="593C35A4" w:rsidR="009D35A2" w:rsidRPr="00883ED1" w:rsidRDefault="004105D7" w:rsidP="005A44A2">
      <w:pPr>
        <w:widowControl w:val="0"/>
        <w:tabs>
          <w:tab w:val="left" w:pos="314"/>
        </w:tabs>
        <w:kinsoku w:val="0"/>
        <w:autoSpaceDE w:val="0"/>
        <w:autoSpaceDN w:val="0"/>
        <w:adjustRightInd w:val="0"/>
        <w:spacing w:before="120" w:after="0" w:line="240" w:lineRule="auto"/>
        <w:ind w:left="20"/>
        <w:jc w:val="both"/>
        <w:textAlignment w:val="baseline"/>
        <w:rPr>
          <w:rFonts w:ascii="Times New Roman" w:hAnsi="Times New Roman" w:cs="Times New Roman"/>
          <w:sz w:val="24"/>
          <w:szCs w:val="24"/>
        </w:rPr>
      </w:pPr>
      <w:r w:rsidRPr="00883ED1">
        <w:rPr>
          <w:rFonts w:ascii="Times New Roman" w:hAnsi="Times New Roman" w:cs="Times New Roman"/>
          <w:sz w:val="24"/>
          <w:szCs w:val="24"/>
        </w:rPr>
        <w:t xml:space="preserve">Trong bối cảnh </w:t>
      </w:r>
      <w:r w:rsidR="003C7410" w:rsidRPr="00883ED1">
        <w:rPr>
          <w:rFonts w:ascii="Times New Roman" w:hAnsi="Times New Roman" w:cs="Times New Roman"/>
          <w:sz w:val="24"/>
          <w:szCs w:val="24"/>
        </w:rPr>
        <w:t xml:space="preserve">các nền </w:t>
      </w:r>
      <w:r w:rsidRPr="00883ED1">
        <w:rPr>
          <w:rFonts w:ascii="Times New Roman" w:hAnsi="Times New Roman" w:cs="Times New Roman"/>
          <w:sz w:val="24"/>
          <w:szCs w:val="24"/>
        </w:rPr>
        <w:t xml:space="preserve">kinh tế toàn cầu đang đối mặt với nhiều biến động khó lường, từ những thay đổi trong chính sách </w:t>
      </w:r>
      <w:r w:rsidR="003C7410" w:rsidRPr="00883ED1">
        <w:rPr>
          <w:rFonts w:ascii="Times New Roman" w:hAnsi="Times New Roman" w:cs="Times New Roman"/>
          <w:sz w:val="24"/>
          <w:szCs w:val="24"/>
        </w:rPr>
        <w:t xml:space="preserve">tài chính, </w:t>
      </w:r>
      <w:r w:rsidRPr="00883ED1">
        <w:rPr>
          <w:rFonts w:ascii="Times New Roman" w:hAnsi="Times New Roman" w:cs="Times New Roman"/>
          <w:sz w:val="24"/>
          <w:szCs w:val="24"/>
        </w:rPr>
        <w:t xml:space="preserve">tiền tệ đến những rủi ro địa chính trị, </w:t>
      </w:r>
      <w:r w:rsidR="009D35A2" w:rsidRPr="00883ED1">
        <w:rPr>
          <w:rFonts w:ascii="Times New Roman" w:hAnsi="Times New Roman" w:cs="Times New Roman"/>
          <w:sz w:val="24"/>
          <w:szCs w:val="24"/>
        </w:rPr>
        <w:t>các ngân hàng thương mại Việt Nam chịu ảnh hưởng nhiều từ những biến động này</w:t>
      </w:r>
      <w:r w:rsidR="00883ED1" w:rsidRPr="00883ED1">
        <w:rPr>
          <w:rFonts w:ascii="Times New Roman" w:hAnsi="Times New Roman" w:cs="Times New Roman"/>
          <w:sz w:val="24"/>
          <w:szCs w:val="24"/>
        </w:rPr>
        <w:t>, dẫn đến</w:t>
      </w:r>
      <w:r w:rsidR="009D35A2" w:rsidRPr="00883ED1">
        <w:rPr>
          <w:rFonts w:ascii="Times New Roman" w:hAnsi="Times New Roman" w:cs="Times New Roman"/>
          <w:sz w:val="24"/>
          <w:szCs w:val="24"/>
        </w:rPr>
        <w:t xml:space="preserve"> tỷ suất sinh lợi cổ phiếu</w:t>
      </w:r>
      <w:r w:rsidR="00883ED1" w:rsidRPr="00883ED1">
        <w:rPr>
          <w:rFonts w:ascii="Times New Roman" w:hAnsi="Times New Roman" w:cs="Times New Roman"/>
          <w:sz w:val="24"/>
          <w:szCs w:val="24"/>
        </w:rPr>
        <w:t xml:space="preserve"> của các ngân hàng</w:t>
      </w:r>
      <w:r w:rsidR="009D35A2" w:rsidRPr="00883ED1">
        <w:rPr>
          <w:rFonts w:ascii="Times New Roman" w:hAnsi="Times New Roman" w:cs="Times New Roman"/>
          <w:sz w:val="24"/>
          <w:szCs w:val="24"/>
        </w:rPr>
        <w:t xml:space="preserve"> cũng có những biến động</w:t>
      </w:r>
      <w:r w:rsidR="00F83119" w:rsidRPr="00883ED1">
        <w:rPr>
          <w:rFonts w:ascii="Times New Roman" w:hAnsi="Times New Roman" w:cs="Times New Roman"/>
          <w:sz w:val="24"/>
          <w:szCs w:val="24"/>
        </w:rPr>
        <w:t xml:space="preserve">. </w:t>
      </w:r>
      <w:r w:rsidR="00883ED1" w:rsidRPr="00883ED1">
        <w:rPr>
          <w:rFonts w:ascii="Times New Roman" w:hAnsi="Times New Roman" w:cs="Times New Roman"/>
          <w:sz w:val="24"/>
          <w:szCs w:val="24"/>
        </w:rPr>
        <w:t xml:space="preserve">Việc nhận diện thúc đẩy các yếu tố làm gia tăng tỷ suất sinh lợi cổ phiếu nhận được nhiều quan tâm đến từ các nhà nghiên cứu cũng như các nhà đầu tư chứng khoán. </w:t>
      </w:r>
      <w:r w:rsidR="009C5B11">
        <w:rPr>
          <w:rFonts w:ascii="Times New Roman" w:hAnsi="Times New Roman" w:cs="Times New Roman"/>
          <w:sz w:val="24"/>
          <w:szCs w:val="24"/>
        </w:rPr>
        <w:t>Nhóm tác giả tập trung nghiên cứu vào ảnh hưởng của không minh bạch thông tin trong báo cáo tài chính đến mối quan hệ giữa tăng trưởng tín dụng và tỷ suất sinh lợi cổ phiếu</w:t>
      </w:r>
      <w:r w:rsidR="004F709C">
        <w:rPr>
          <w:rFonts w:ascii="Times New Roman" w:hAnsi="Times New Roman" w:cs="Times New Roman"/>
          <w:sz w:val="24"/>
          <w:szCs w:val="24"/>
        </w:rPr>
        <w:t xml:space="preserve"> của các ngân hàng</w:t>
      </w:r>
      <w:r w:rsidR="009C5B11">
        <w:rPr>
          <w:rFonts w:ascii="Times New Roman" w:hAnsi="Times New Roman" w:cs="Times New Roman"/>
          <w:sz w:val="24"/>
          <w:szCs w:val="24"/>
        </w:rPr>
        <w:t xml:space="preserve">, khi mà chủ đề này vẫn còn khá mới và </w:t>
      </w:r>
      <w:r w:rsidR="004F709C">
        <w:rPr>
          <w:rFonts w:ascii="Times New Roman" w:hAnsi="Times New Roman" w:cs="Times New Roman"/>
          <w:sz w:val="24"/>
          <w:szCs w:val="24"/>
        </w:rPr>
        <w:t xml:space="preserve">vẫn </w:t>
      </w:r>
      <w:r w:rsidR="009C5B11">
        <w:rPr>
          <w:rFonts w:ascii="Times New Roman" w:hAnsi="Times New Roman" w:cs="Times New Roman"/>
          <w:sz w:val="24"/>
          <w:szCs w:val="24"/>
        </w:rPr>
        <w:t>chưa nhận được sự quan tâm đúng mức tại thị trường Việt Nam.</w:t>
      </w:r>
    </w:p>
    <w:p w14:paraId="4C82310E" w14:textId="2D3C96FF" w:rsidR="003005BC" w:rsidRPr="004E7F50" w:rsidRDefault="005F19CC" w:rsidP="005A44A2">
      <w:pPr>
        <w:pStyle w:val="ListParagraph"/>
        <w:widowControl w:val="0"/>
        <w:numPr>
          <w:ilvl w:val="0"/>
          <w:numId w:val="1"/>
        </w:numPr>
        <w:tabs>
          <w:tab w:val="left" w:pos="314"/>
        </w:tabs>
        <w:kinsoku w:val="0"/>
        <w:autoSpaceDE w:val="0"/>
        <w:autoSpaceDN w:val="0"/>
        <w:adjustRightInd w:val="0"/>
        <w:spacing w:before="120" w:after="0" w:line="240" w:lineRule="auto"/>
        <w:jc w:val="both"/>
        <w:textAlignment w:val="baseline"/>
        <w:rPr>
          <w:rFonts w:ascii="Times New Roman" w:eastAsia="Times New Roman" w:hAnsi="Times New Roman" w:cs="Times New Roman"/>
          <w:color w:val="000000"/>
          <w:sz w:val="24"/>
          <w:szCs w:val="24"/>
          <w:lang w:val="vi-VN"/>
        </w:rPr>
      </w:pPr>
      <w:r>
        <w:rPr>
          <w:rFonts w:ascii="Times New Roman" w:hAnsi="Times New Roman" w:cs="Times New Roman"/>
          <w:b/>
          <w:noProof/>
          <w:color w:val="000000"/>
          <w:sz w:val="24"/>
          <w:szCs w:val="24"/>
        </w:rPr>
        <w:t>T</w:t>
      </w:r>
      <w:r w:rsidR="00AA4834" w:rsidRPr="004E7F50">
        <w:rPr>
          <w:rFonts w:ascii="Times New Roman" w:hAnsi="Times New Roman" w:cs="Times New Roman"/>
          <w:b/>
          <w:noProof/>
          <w:color w:val="000000"/>
          <w:sz w:val="24"/>
          <w:szCs w:val="24"/>
        </w:rPr>
        <w:t>ổng quan các nghiên cứu trước</w:t>
      </w:r>
    </w:p>
    <w:p w14:paraId="7A8C7EE6" w14:textId="5158A050" w:rsidR="00905A44" w:rsidRDefault="00905A44" w:rsidP="005A44A2">
      <w:pPr>
        <w:widowControl w:val="0"/>
        <w:kinsoku w:val="0"/>
        <w:autoSpaceDE w:val="0"/>
        <w:autoSpaceDN w:val="0"/>
        <w:adjustRightInd w:val="0"/>
        <w:spacing w:before="120" w:after="0" w:line="240" w:lineRule="auto"/>
        <w:ind w:left="20"/>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Nguyễn Thị Thiều Quang và </w:t>
      </w:r>
      <w:r w:rsidR="00D83A2D">
        <w:rPr>
          <w:rFonts w:ascii="Times New Roman" w:hAnsi="Times New Roman" w:cs="Times New Roman"/>
          <w:sz w:val="24"/>
          <w:szCs w:val="24"/>
        </w:rPr>
        <w:t>Hà Xuân Thùy (2021) xem xét tác động của các yếu tố đặc điểm ngân hàng đến tỷ suất sinh lợi cổ phiếu ngân hàng.</w:t>
      </w:r>
      <w:proofErr w:type="gramEnd"/>
      <w:r w:rsidR="00D83A2D">
        <w:rPr>
          <w:rFonts w:ascii="Times New Roman" w:hAnsi="Times New Roman" w:cs="Times New Roman"/>
          <w:sz w:val="24"/>
          <w:szCs w:val="24"/>
        </w:rPr>
        <w:t xml:space="preserve"> </w:t>
      </w:r>
      <w:proofErr w:type="gramStart"/>
      <w:r w:rsidR="005A44A2">
        <w:rPr>
          <w:rFonts w:ascii="Times New Roman" w:hAnsi="Times New Roman" w:cs="Times New Roman"/>
          <w:sz w:val="24"/>
          <w:szCs w:val="24"/>
        </w:rPr>
        <w:t>Kết quả nghiên cứu cho</w:t>
      </w:r>
      <w:r w:rsidR="00D83A2D">
        <w:rPr>
          <w:rFonts w:ascii="Times New Roman" w:hAnsi="Times New Roman" w:cs="Times New Roman"/>
          <w:sz w:val="24"/>
          <w:szCs w:val="24"/>
        </w:rPr>
        <w:t xml:space="preserve"> thấy</w:t>
      </w:r>
      <w:r w:rsidR="005A44A2">
        <w:rPr>
          <w:rFonts w:ascii="Times New Roman" w:hAnsi="Times New Roman" w:cs="Times New Roman"/>
          <w:sz w:val="24"/>
          <w:szCs w:val="24"/>
        </w:rPr>
        <w:t>,</w:t>
      </w:r>
      <w:r w:rsidR="00D83A2D">
        <w:rPr>
          <w:rFonts w:ascii="Times New Roman" w:hAnsi="Times New Roman" w:cs="Times New Roman"/>
          <w:sz w:val="24"/>
          <w:szCs w:val="24"/>
        </w:rPr>
        <w:t xml:space="preserve"> tác động ngược chiều của hệ số thanh khoản, chất lượng tín dụng và dư nợ cho vay đến tỷ suất sinh lợi cổ phiếu.</w:t>
      </w:r>
      <w:proofErr w:type="gramEnd"/>
      <w:r w:rsidR="00D83A2D">
        <w:rPr>
          <w:rFonts w:ascii="Times New Roman" w:hAnsi="Times New Roman" w:cs="Times New Roman"/>
          <w:sz w:val="24"/>
          <w:szCs w:val="24"/>
        </w:rPr>
        <w:t xml:space="preserve"> </w:t>
      </w:r>
      <w:r w:rsidR="00DC2078">
        <w:rPr>
          <w:rFonts w:ascii="Times New Roman" w:hAnsi="Times New Roman" w:cs="Times New Roman"/>
          <w:sz w:val="24"/>
          <w:szCs w:val="24"/>
        </w:rPr>
        <w:t xml:space="preserve">Trương Phương Huyền (2025) cũng nghiên cứu về các yếu tố ảnh hưởng đến tỷ suất sinh lợi của các ngân hàng thương mại Việt Nam, kết quả chỉ ra quy mô ngân hàng, thanh khoản, tỷ lệ vốn tự có và tăng trưởng nền kinh tế tác động cùng chiều đến tỷ suất sinh lợi cổ phiếu. </w:t>
      </w:r>
      <w:r w:rsidR="00BD6961">
        <w:rPr>
          <w:rFonts w:ascii="Times New Roman" w:hAnsi="Times New Roman" w:cs="Times New Roman"/>
          <w:sz w:val="24"/>
          <w:szCs w:val="24"/>
        </w:rPr>
        <w:t xml:space="preserve">Tác động của tăng trưởng tín dụng đến tỷ suất sinh lợi cổ phiếu vẫn chưa nhận được sự quan tâm đúng mức trong khi tốc độ tăng trưởng tín dụng vẫn được nhiều nhà nghiên cứu và các nhà làm chính sách thảo luận trong những năm gần đây. </w:t>
      </w:r>
      <w:proofErr w:type="gramStart"/>
      <w:r w:rsidR="008E6E6E">
        <w:rPr>
          <w:rFonts w:ascii="Times New Roman" w:hAnsi="Times New Roman" w:cs="Times New Roman"/>
          <w:sz w:val="24"/>
          <w:szCs w:val="24"/>
        </w:rPr>
        <w:t>Đặc biệt, các ảnh hưởng của không minh bạch thông tin trong báo cáo tài chính đến mối quan hệ này chưa được khai thác cụ thể và là một chủ đề mới mà nhóm tác giả tiếp cận.</w:t>
      </w:r>
      <w:proofErr w:type="gramEnd"/>
      <w:r w:rsidR="008E6E6E">
        <w:rPr>
          <w:rFonts w:ascii="Times New Roman" w:hAnsi="Times New Roman" w:cs="Times New Roman"/>
          <w:sz w:val="24"/>
          <w:szCs w:val="24"/>
        </w:rPr>
        <w:t xml:space="preserve"> </w:t>
      </w:r>
    </w:p>
    <w:p w14:paraId="1A4B24E2" w14:textId="09562D5B" w:rsidR="00905A44" w:rsidRDefault="004E7F50" w:rsidP="005A44A2">
      <w:pPr>
        <w:widowControl w:val="0"/>
        <w:kinsoku w:val="0"/>
        <w:autoSpaceDE w:val="0"/>
        <w:autoSpaceDN w:val="0"/>
        <w:adjustRightInd w:val="0"/>
        <w:spacing w:before="120"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Parija và Chhatwani (2024) xem xét về vai trò của không minh bạch thông tin trong báo cáo tài chính đến mối quan hệ giữa tăng trưởng tín dụng và tỷ suất sinh lợi cổ phiếu và nhận thấy</w:t>
      </w:r>
      <w:r w:rsidR="005A44A2">
        <w:rPr>
          <w:rFonts w:ascii="Times New Roman" w:hAnsi="Times New Roman" w:cs="Times New Roman"/>
          <w:sz w:val="24"/>
          <w:szCs w:val="24"/>
        </w:rPr>
        <w:t>,</w:t>
      </w:r>
      <w:r>
        <w:rPr>
          <w:rFonts w:ascii="Times New Roman" w:hAnsi="Times New Roman" w:cs="Times New Roman"/>
          <w:sz w:val="24"/>
          <w:szCs w:val="24"/>
        </w:rPr>
        <w:t xml:space="preserve"> những ngân hàng có mức độ không minh bạch thông tin trong báo cáo tài chính cao làm giảm đi tác động của tăng trưởng tín dụng đến tỷ suất sinh lợi cổ phiếu, tức là làm cho tỷ suất sinh lợi cổ phiếu sụt giảm. </w:t>
      </w:r>
    </w:p>
    <w:p w14:paraId="166CFFC1" w14:textId="4A16A4F8" w:rsidR="00744C60" w:rsidRPr="00744C60" w:rsidRDefault="00744C60" w:rsidP="005A44A2">
      <w:pPr>
        <w:widowControl w:val="0"/>
        <w:kinsoku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rPr>
      </w:pPr>
      <w:proofErr w:type="gramStart"/>
      <w:r w:rsidRPr="00744C60">
        <w:rPr>
          <w:rFonts w:ascii="Times New Roman" w:eastAsia="Times New Roman" w:hAnsi="Times New Roman" w:cs="Times New Roman"/>
          <w:sz w:val="24"/>
          <w:szCs w:val="24"/>
        </w:rPr>
        <w:t>Lý thuyết kỳ vọng hợp lý cho rằng</w:t>
      </w:r>
      <w:r w:rsidR="005A44A2">
        <w:rPr>
          <w:rFonts w:ascii="Times New Roman" w:eastAsia="Times New Roman" w:hAnsi="Times New Roman" w:cs="Times New Roman"/>
          <w:sz w:val="24"/>
          <w:szCs w:val="24"/>
        </w:rPr>
        <w:t>,</w:t>
      </w:r>
      <w:r w:rsidRPr="00744C60">
        <w:rPr>
          <w:rFonts w:ascii="Times New Roman" w:eastAsia="Times New Roman" w:hAnsi="Times New Roman" w:cs="Times New Roman"/>
          <w:sz w:val="24"/>
          <w:szCs w:val="24"/>
        </w:rPr>
        <w:t xml:space="preserve"> các ngân hàng sẽ đưa ra quyết định cho vay dựa trên các thông tin sẵn có và kỳ vọng về khả năng sinh lời trong tương lai.</w:t>
      </w:r>
      <w:proofErr w:type="gramEnd"/>
      <w:r w:rsidRPr="00744C60">
        <w:rPr>
          <w:rFonts w:ascii="Times New Roman" w:eastAsia="Times New Roman" w:hAnsi="Times New Roman" w:cs="Times New Roman"/>
          <w:sz w:val="24"/>
          <w:szCs w:val="24"/>
        </w:rPr>
        <w:t xml:space="preserve"> Khi tăng trưởng tín dụng diễn ra, các ngân hàng có thể kỳ vọng việc mở rộng cho vay sẽ dẫn đến tăng trưởng doanh </w:t>
      </w:r>
      <w:proofErr w:type="gramStart"/>
      <w:r w:rsidRPr="00744C60">
        <w:rPr>
          <w:rFonts w:ascii="Times New Roman" w:eastAsia="Times New Roman" w:hAnsi="Times New Roman" w:cs="Times New Roman"/>
          <w:sz w:val="24"/>
          <w:szCs w:val="24"/>
        </w:rPr>
        <w:t>thu</w:t>
      </w:r>
      <w:proofErr w:type="gramEnd"/>
      <w:r w:rsidRPr="00744C60">
        <w:rPr>
          <w:rFonts w:ascii="Times New Roman" w:eastAsia="Times New Roman" w:hAnsi="Times New Roman" w:cs="Times New Roman"/>
          <w:sz w:val="24"/>
          <w:szCs w:val="24"/>
        </w:rPr>
        <w:t xml:space="preserve"> và lợi nhuận. </w:t>
      </w:r>
      <w:proofErr w:type="gramStart"/>
      <w:r w:rsidRPr="00744C60">
        <w:rPr>
          <w:rFonts w:ascii="Times New Roman" w:eastAsia="Times New Roman" w:hAnsi="Times New Roman" w:cs="Times New Roman"/>
          <w:sz w:val="24"/>
          <w:szCs w:val="24"/>
        </w:rPr>
        <w:t>Tuy nhiên, điều này cũng phụ thuộc vào việc đánh giá chính xác rủi ro tín dụng và khả năng trả nợ của khách hàng.</w:t>
      </w:r>
      <w:proofErr w:type="gramEnd"/>
      <w:r>
        <w:rPr>
          <w:rFonts w:ascii="Times New Roman" w:eastAsia="Times New Roman" w:hAnsi="Times New Roman" w:cs="Times New Roman"/>
          <w:sz w:val="24"/>
          <w:szCs w:val="24"/>
        </w:rPr>
        <w:t xml:space="preserve"> S</w:t>
      </w:r>
      <w:r w:rsidRPr="00744C60">
        <w:rPr>
          <w:rFonts w:ascii="Times New Roman" w:eastAsia="Times New Roman" w:hAnsi="Times New Roman" w:cs="Times New Roman"/>
          <w:sz w:val="24"/>
          <w:szCs w:val="24"/>
        </w:rPr>
        <w:t xml:space="preserve">ự gia tăng tín dụng thường dẫn đến việc các nhà đầu tư điều chỉnh kỳ vọng của mình </w:t>
      </w:r>
      <w:proofErr w:type="gramStart"/>
      <w:r w:rsidRPr="00744C60">
        <w:rPr>
          <w:rFonts w:ascii="Times New Roman" w:eastAsia="Times New Roman" w:hAnsi="Times New Roman" w:cs="Times New Roman"/>
          <w:sz w:val="24"/>
          <w:szCs w:val="24"/>
        </w:rPr>
        <w:t>theo</w:t>
      </w:r>
      <w:proofErr w:type="gramEnd"/>
      <w:r w:rsidRPr="00744C60">
        <w:rPr>
          <w:rFonts w:ascii="Times New Roman" w:eastAsia="Times New Roman" w:hAnsi="Times New Roman" w:cs="Times New Roman"/>
          <w:sz w:val="24"/>
          <w:szCs w:val="24"/>
        </w:rPr>
        <w:t xml:space="preserve"> hướng lạc quan hơn. Khi tín dụng được mở rộng, các ngân hàng có khả năng tăng cường hoạt động cho vay và đầu tư, từ đó không chỉ thúc đẩy doanh </w:t>
      </w:r>
      <w:proofErr w:type="gramStart"/>
      <w:r w:rsidRPr="00744C60">
        <w:rPr>
          <w:rFonts w:ascii="Times New Roman" w:eastAsia="Times New Roman" w:hAnsi="Times New Roman" w:cs="Times New Roman"/>
          <w:sz w:val="24"/>
          <w:szCs w:val="24"/>
        </w:rPr>
        <w:t>thu</w:t>
      </w:r>
      <w:proofErr w:type="gramEnd"/>
      <w:r w:rsidRPr="00744C60">
        <w:rPr>
          <w:rFonts w:ascii="Times New Roman" w:eastAsia="Times New Roman" w:hAnsi="Times New Roman" w:cs="Times New Roman"/>
          <w:sz w:val="24"/>
          <w:szCs w:val="24"/>
        </w:rPr>
        <w:t xml:space="preserve"> mà còn cải thiện đáng kể tỷ suất sinh lợi cổ phiếu. </w:t>
      </w:r>
      <w:proofErr w:type="gramStart"/>
      <w:r>
        <w:rPr>
          <w:rFonts w:ascii="Times New Roman" w:eastAsia="Times New Roman" w:hAnsi="Times New Roman" w:cs="Times New Roman"/>
          <w:sz w:val="24"/>
          <w:szCs w:val="24"/>
        </w:rPr>
        <w:t>Vì vậy, nhóm tác giả kỳ vọng tăng trưởng tín dụng tác động cùng chiều đến tỷ suất sinh lợi cổ phiếu.</w:t>
      </w:r>
      <w:proofErr w:type="gramEnd"/>
      <w:r>
        <w:rPr>
          <w:rFonts w:ascii="Times New Roman" w:eastAsia="Times New Roman" w:hAnsi="Times New Roman" w:cs="Times New Roman"/>
          <w:sz w:val="24"/>
          <w:szCs w:val="24"/>
        </w:rPr>
        <w:t xml:space="preserve"> </w:t>
      </w:r>
    </w:p>
    <w:p w14:paraId="0835E3B3" w14:textId="1F60B71B" w:rsidR="00744C60" w:rsidRPr="00FC6C5E" w:rsidRDefault="00FC6C5E" w:rsidP="005A44A2">
      <w:pPr>
        <w:spacing w:before="120" w:after="0" w:line="240" w:lineRule="auto"/>
        <w:jc w:val="both"/>
        <w:rPr>
          <w:rFonts w:ascii="Times New Roman" w:eastAsia="Times New Roman" w:hAnsi="Times New Roman" w:cs="Times New Roman"/>
          <w:sz w:val="24"/>
          <w:szCs w:val="24"/>
        </w:rPr>
      </w:pPr>
      <w:proofErr w:type="gramStart"/>
      <w:r w:rsidRPr="00FC6C5E">
        <w:rPr>
          <w:rFonts w:ascii="Times New Roman" w:eastAsia="Times New Roman" w:hAnsi="Times New Roman" w:cs="Times New Roman"/>
          <w:sz w:val="24"/>
          <w:szCs w:val="24"/>
        </w:rPr>
        <w:t xml:space="preserve">Theo lý thuyết lạc quan quá mức, tâm lý lạc quan </w:t>
      </w:r>
      <w:r w:rsidR="00FD144D">
        <w:rPr>
          <w:rFonts w:ascii="Times New Roman" w:eastAsia="Times New Roman" w:hAnsi="Times New Roman" w:cs="Times New Roman"/>
          <w:sz w:val="24"/>
          <w:szCs w:val="24"/>
        </w:rPr>
        <w:t xml:space="preserve">quá mức </w:t>
      </w:r>
      <w:r w:rsidRPr="00FC6C5E">
        <w:rPr>
          <w:rFonts w:ascii="Times New Roman" w:eastAsia="Times New Roman" w:hAnsi="Times New Roman" w:cs="Times New Roman"/>
          <w:sz w:val="24"/>
          <w:szCs w:val="24"/>
        </w:rPr>
        <w:t>của nhà đầu tư dẫn đến việc họ bỏ qua các rủi ro tín dụng tiềm ẩn, đặc biệt trong bối cảnh thông tin tài chính thiếu minh bạch.</w:t>
      </w:r>
      <w:proofErr w:type="gramEnd"/>
      <w:r w:rsidRPr="00FC6C5E">
        <w:rPr>
          <w:rFonts w:ascii="Times New Roman" w:eastAsia="Times New Roman" w:hAnsi="Times New Roman" w:cs="Times New Roman"/>
          <w:sz w:val="24"/>
          <w:szCs w:val="24"/>
        </w:rPr>
        <w:t xml:space="preserve"> </w:t>
      </w:r>
      <w:proofErr w:type="gramStart"/>
      <w:r w:rsidRPr="00FC6C5E">
        <w:rPr>
          <w:rFonts w:ascii="Times New Roman" w:eastAsia="Times New Roman" w:hAnsi="Times New Roman" w:cs="Times New Roman"/>
          <w:sz w:val="24"/>
          <w:szCs w:val="24"/>
        </w:rPr>
        <w:t>Sự thiếu minh bạch trong thông tin tài chính đã tạo ra những khó khăn lớn trong việc đánh giá chính xác các rủi ro từ các khoản vay.</w:t>
      </w:r>
      <w:proofErr w:type="gramEnd"/>
      <w:r w:rsidRPr="00FC6C5E">
        <w:rPr>
          <w:rFonts w:ascii="Times New Roman" w:eastAsia="Times New Roman" w:hAnsi="Times New Roman" w:cs="Times New Roman"/>
          <w:sz w:val="24"/>
          <w:szCs w:val="24"/>
        </w:rPr>
        <w:t xml:space="preserve"> </w:t>
      </w:r>
      <w:proofErr w:type="gramStart"/>
      <w:r w:rsidRPr="00FC6C5E">
        <w:rPr>
          <w:rFonts w:ascii="Times New Roman" w:eastAsia="Times New Roman" w:hAnsi="Times New Roman" w:cs="Times New Roman"/>
          <w:sz w:val="24"/>
          <w:szCs w:val="24"/>
        </w:rPr>
        <w:t>Khi nhà đầu tư chỉ tập trung vào những tín hiệu tích cực ngắn hạn mà không xem xét kỹ lưỡng các yếu tố rủi ro, họ dễ dàng rơi vào tình trạng chủ quan, dẫn đến những quyết định đầu tư không hợp lý.</w:t>
      </w:r>
      <w:proofErr w:type="gramEnd"/>
      <w:r w:rsidRPr="00FC6C5E">
        <w:rPr>
          <w:rFonts w:ascii="Times New Roman" w:eastAsia="Times New Roman" w:hAnsi="Times New Roman" w:cs="Times New Roman"/>
          <w:sz w:val="24"/>
          <w:szCs w:val="24"/>
        </w:rPr>
        <w:t xml:space="preserve"> </w:t>
      </w:r>
      <w:proofErr w:type="gramStart"/>
      <w:r w:rsidRPr="00FC6C5E">
        <w:rPr>
          <w:rFonts w:ascii="Times New Roman" w:eastAsia="Times New Roman" w:hAnsi="Times New Roman" w:cs="Times New Roman"/>
          <w:sz w:val="24"/>
          <w:szCs w:val="24"/>
        </w:rPr>
        <w:t>Việc này không chỉ ảnh hưởng đến lợi nhuận của các ngân hàng mà còn có thể gây ra những hệ lụy nghiêm trọng cho toàn bộ hệ thống tài chính nếu các rủi ro này không được nhận diện và quản lý kịp thời.</w:t>
      </w:r>
      <w:proofErr w:type="gramEnd"/>
      <w:r w:rsidR="00FD144D">
        <w:rPr>
          <w:rFonts w:ascii="Times New Roman" w:eastAsia="Times New Roman" w:hAnsi="Times New Roman" w:cs="Times New Roman"/>
          <w:sz w:val="24"/>
          <w:szCs w:val="24"/>
        </w:rPr>
        <w:t xml:space="preserve"> </w:t>
      </w:r>
      <w:proofErr w:type="gramStart"/>
      <w:r w:rsidR="00FD144D">
        <w:rPr>
          <w:rFonts w:ascii="Times New Roman" w:eastAsia="Times New Roman" w:hAnsi="Times New Roman" w:cs="Times New Roman"/>
          <w:sz w:val="24"/>
          <w:szCs w:val="24"/>
        </w:rPr>
        <w:t>Vì vậy, nhóm tác giả kỳ vọng tính không minh bạch thông tin trong báo cáo tài chính sẽ tác động ngược chiều đến mối quan hệ giữa tăng trưởng tín dụng và tỷ suất sinh lợi cổ phiếu.</w:t>
      </w:r>
      <w:proofErr w:type="gramEnd"/>
    </w:p>
    <w:p w14:paraId="1C688588" w14:textId="6D7ECE3A" w:rsidR="00256DF0" w:rsidRPr="008B67D2" w:rsidRDefault="005A44A2" w:rsidP="005A44A2">
      <w:pPr>
        <w:widowControl w:val="0"/>
        <w:numPr>
          <w:ilvl w:val="0"/>
          <w:numId w:val="3"/>
        </w:numPr>
        <w:kinsoku w:val="0"/>
        <w:autoSpaceDE w:val="0"/>
        <w:autoSpaceDN w:val="0"/>
        <w:adjustRightInd w:val="0"/>
        <w:spacing w:before="120" w:after="0" w:line="240" w:lineRule="auto"/>
        <w:jc w:val="both"/>
        <w:textAlignment w:val="baseline"/>
        <w:rPr>
          <w:rFonts w:ascii="Times New Roman" w:hAnsi="Times New Roman" w:cs="Times New Roman"/>
          <w:sz w:val="24"/>
          <w:szCs w:val="24"/>
        </w:rPr>
      </w:pPr>
      <w:r>
        <w:rPr>
          <w:rFonts w:ascii="Times New Roman" w:hAnsi="Times New Roman" w:cs="Times New Roman"/>
          <w:b/>
          <w:noProof/>
          <w:color w:val="000000"/>
          <w:sz w:val="24"/>
          <w:szCs w:val="24"/>
        </w:rPr>
        <w:t xml:space="preserve"> </w:t>
      </w:r>
      <w:r w:rsidR="00256DF0" w:rsidRPr="008B67D2">
        <w:rPr>
          <w:rFonts w:ascii="Times New Roman" w:hAnsi="Times New Roman" w:cs="Times New Roman"/>
          <w:b/>
          <w:noProof/>
          <w:color w:val="000000"/>
          <w:sz w:val="24"/>
          <w:szCs w:val="24"/>
        </w:rPr>
        <w:t>Phương</w:t>
      </w:r>
      <w:r w:rsidR="00256DF0" w:rsidRPr="008B67D2">
        <w:rPr>
          <w:rFonts w:ascii="Times New Roman" w:hAnsi="Times New Roman" w:cs="Times New Roman"/>
          <w:b/>
          <w:color w:val="000000"/>
          <w:spacing w:val="-1"/>
          <w:sz w:val="24"/>
          <w:szCs w:val="24"/>
        </w:rPr>
        <w:t xml:space="preserve"> </w:t>
      </w:r>
      <w:r w:rsidR="00256DF0" w:rsidRPr="008B67D2">
        <w:rPr>
          <w:rFonts w:ascii="Times New Roman" w:hAnsi="Times New Roman" w:cs="Times New Roman"/>
          <w:b/>
          <w:noProof/>
          <w:color w:val="000000"/>
          <w:sz w:val="24"/>
          <w:szCs w:val="24"/>
        </w:rPr>
        <w:t>pháp</w:t>
      </w:r>
      <w:r w:rsidR="00256DF0" w:rsidRPr="008B67D2">
        <w:rPr>
          <w:rFonts w:ascii="Times New Roman" w:hAnsi="Times New Roman" w:cs="Times New Roman"/>
          <w:b/>
          <w:color w:val="000000"/>
          <w:spacing w:val="-1"/>
          <w:sz w:val="24"/>
          <w:szCs w:val="24"/>
        </w:rPr>
        <w:t xml:space="preserve"> </w:t>
      </w:r>
      <w:r w:rsidR="00256DF0" w:rsidRPr="008B67D2">
        <w:rPr>
          <w:rFonts w:ascii="Times New Roman" w:hAnsi="Times New Roman" w:cs="Times New Roman"/>
          <w:b/>
          <w:noProof/>
          <w:color w:val="000000"/>
          <w:sz w:val="24"/>
          <w:szCs w:val="24"/>
        </w:rPr>
        <w:t>nghiên</w:t>
      </w:r>
      <w:r w:rsidR="00256DF0" w:rsidRPr="008B67D2">
        <w:rPr>
          <w:rFonts w:ascii="Times New Roman" w:hAnsi="Times New Roman" w:cs="Times New Roman"/>
          <w:b/>
          <w:color w:val="000000"/>
          <w:spacing w:val="-1"/>
          <w:sz w:val="24"/>
          <w:szCs w:val="24"/>
        </w:rPr>
        <w:t xml:space="preserve"> </w:t>
      </w:r>
      <w:r w:rsidR="00256DF0" w:rsidRPr="008B67D2">
        <w:rPr>
          <w:rFonts w:ascii="Times New Roman" w:hAnsi="Times New Roman" w:cs="Times New Roman"/>
          <w:b/>
          <w:noProof/>
          <w:color w:val="000000"/>
          <w:sz w:val="24"/>
          <w:szCs w:val="24"/>
        </w:rPr>
        <w:t>cứu</w:t>
      </w:r>
    </w:p>
    <w:p w14:paraId="70D7758A" w14:textId="1857A4D0" w:rsidR="00256DF0" w:rsidRPr="008B67D2" w:rsidRDefault="00256DF0" w:rsidP="005A44A2">
      <w:pPr>
        <w:widowControl w:val="0"/>
        <w:kinsoku w:val="0"/>
        <w:autoSpaceDE w:val="0"/>
        <w:autoSpaceDN w:val="0"/>
        <w:adjustRightInd w:val="0"/>
        <w:spacing w:before="120" w:after="0" w:line="240" w:lineRule="auto"/>
        <w:ind w:left="20" w:right="20"/>
        <w:jc w:val="both"/>
        <w:textAlignment w:val="baseline"/>
        <w:rPr>
          <w:rFonts w:ascii="Times New Roman" w:hAnsi="Times New Roman" w:cs="Times New Roman"/>
          <w:sz w:val="24"/>
          <w:szCs w:val="24"/>
        </w:rPr>
      </w:pPr>
      <w:r w:rsidRPr="008B67D2">
        <w:rPr>
          <w:rFonts w:ascii="Times New Roman" w:hAnsi="Times New Roman" w:cs="Times New Roman"/>
          <w:noProof/>
          <w:color w:val="000000"/>
          <w:sz w:val="24"/>
          <w:szCs w:val="24"/>
        </w:rPr>
        <w:t>Nhóm</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tác</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giả</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xây</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dựng</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nên</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mô</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hình</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nghiên</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cứu</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từ</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khung</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lý</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thuyết</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và</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tổng</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quan</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các</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nghiên</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cứu</w:t>
      </w:r>
      <w:r w:rsidRPr="008B67D2">
        <w:rPr>
          <w:rFonts w:ascii="Times New Roman" w:hAnsi="Times New Roman" w:cs="Times New Roman"/>
          <w:color w:val="000000"/>
          <w:w w:val="93"/>
          <w:sz w:val="24"/>
          <w:szCs w:val="24"/>
        </w:rPr>
        <w:t xml:space="preserve"> </w:t>
      </w:r>
      <w:r w:rsidRPr="008B67D2">
        <w:rPr>
          <w:rFonts w:ascii="Times New Roman" w:hAnsi="Times New Roman" w:cs="Times New Roman"/>
          <w:noProof/>
          <w:color w:val="000000"/>
          <w:sz w:val="24"/>
          <w:szCs w:val="24"/>
        </w:rPr>
        <w:t>trước,</w:t>
      </w:r>
      <w:r w:rsidRPr="008B67D2">
        <w:rPr>
          <w:rFonts w:ascii="Times New Roman" w:hAnsi="Times New Roman" w:cs="Times New Roman"/>
          <w:color w:val="000000"/>
          <w:sz w:val="24"/>
          <w:szCs w:val="24"/>
        </w:rPr>
        <w:t xml:space="preserve"> </w:t>
      </w:r>
      <w:r w:rsidRPr="008B67D2">
        <w:rPr>
          <w:rFonts w:ascii="Times New Roman" w:hAnsi="Times New Roman" w:cs="Times New Roman"/>
          <w:noProof/>
          <w:color w:val="000000"/>
          <w:sz w:val="24"/>
          <w:szCs w:val="24"/>
        </w:rPr>
        <w:t>trong</w:t>
      </w:r>
      <w:r w:rsidRPr="008B67D2">
        <w:rPr>
          <w:rFonts w:ascii="Times New Roman" w:hAnsi="Times New Roman" w:cs="Times New Roman"/>
          <w:color w:val="000000"/>
          <w:w w:val="94"/>
          <w:sz w:val="24"/>
          <w:szCs w:val="24"/>
        </w:rPr>
        <w:t xml:space="preserve"> </w:t>
      </w:r>
      <w:r w:rsidRPr="008B67D2">
        <w:rPr>
          <w:rFonts w:ascii="Times New Roman" w:hAnsi="Times New Roman" w:cs="Times New Roman"/>
          <w:noProof/>
          <w:color w:val="000000"/>
          <w:sz w:val="24"/>
          <w:szCs w:val="24"/>
        </w:rPr>
        <w:t>đó</w:t>
      </w:r>
      <w:r w:rsidRPr="008B67D2">
        <w:rPr>
          <w:rFonts w:ascii="Times New Roman" w:hAnsi="Times New Roman" w:cs="Times New Roman"/>
          <w:color w:val="000000"/>
          <w:w w:val="94"/>
          <w:sz w:val="24"/>
          <w:szCs w:val="24"/>
        </w:rPr>
        <w:t xml:space="preserve"> </w:t>
      </w:r>
      <w:r w:rsidRPr="008B67D2">
        <w:rPr>
          <w:rFonts w:ascii="Times New Roman" w:hAnsi="Times New Roman" w:cs="Times New Roman"/>
          <w:noProof/>
          <w:color w:val="000000"/>
          <w:sz w:val="24"/>
          <w:szCs w:val="24"/>
        </w:rPr>
        <w:t>chủ</w:t>
      </w:r>
      <w:r w:rsidRPr="008B67D2">
        <w:rPr>
          <w:rFonts w:ascii="Times New Roman" w:hAnsi="Times New Roman" w:cs="Times New Roman"/>
          <w:color w:val="000000"/>
          <w:w w:val="94"/>
          <w:sz w:val="24"/>
          <w:szCs w:val="24"/>
        </w:rPr>
        <w:t xml:space="preserve"> </w:t>
      </w:r>
      <w:r w:rsidRPr="008B67D2">
        <w:rPr>
          <w:rFonts w:ascii="Times New Roman" w:hAnsi="Times New Roman" w:cs="Times New Roman"/>
          <w:noProof/>
          <w:color w:val="000000"/>
          <w:sz w:val="24"/>
          <w:szCs w:val="24"/>
        </w:rPr>
        <w:t>yếu</w:t>
      </w:r>
      <w:r w:rsidRPr="008B67D2">
        <w:rPr>
          <w:rFonts w:ascii="Times New Roman" w:hAnsi="Times New Roman" w:cs="Times New Roman"/>
          <w:color w:val="000000"/>
          <w:w w:val="94"/>
          <w:sz w:val="24"/>
          <w:szCs w:val="24"/>
        </w:rPr>
        <w:t xml:space="preserve"> </w:t>
      </w:r>
      <w:r w:rsidRPr="008B67D2">
        <w:rPr>
          <w:rFonts w:ascii="Times New Roman" w:hAnsi="Times New Roman" w:cs="Times New Roman"/>
          <w:noProof/>
          <w:color w:val="000000"/>
          <w:sz w:val="24"/>
          <w:szCs w:val="24"/>
        </w:rPr>
        <w:t>là</w:t>
      </w:r>
      <w:r w:rsidRPr="008B67D2">
        <w:rPr>
          <w:rFonts w:ascii="Times New Roman" w:hAnsi="Times New Roman" w:cs="Times New Roman"/>
          <w:color w:val="000000"/>
          <w:w w:val="94"/>
          <w:sz w:val="24"/>
          <w:szCs w:val="24"/>
        </w:rPr>
        <w:t xml:space="preserve"> </w:t>
      </w:r>
      <w:r w:rsidRPr="008B67D2">
        <w:rPr>
          <w:rFonts w:ascii="Times New Roman" w:hAnsi="Times New Roman" w:cs="Times New Roman"/>
          <w:noProof/>
          <w:color w:val="000000"/>
          <w:sz w:val="24"/>
          <w:szCs w:val="24"/>
        </w:rPr>
        <w:t>nghiên</w:t>
      </w:r>
      <w:r w:rsidRPr="008B67D2">
        <w:rPr>
          <w:rFonts w:ascii="Times New Roman" w:hAnsi="Times New Roman" w:cs="Times New Roman"/>
          <w:color w:val="000000"/>
          <w:w w:val="94"/>
          <w:sz w:val="24"/>
          <w:szCs w:val="24"/>
        </w:rPr>
        <w:t xml:space="preserve"> </w:t>
      </w:r>
      <w:r w:rsidRPr="008B67D2">
        <w:rPr>
          <w:rFonts w:ascii="Times New Roman" w:hAnsi="Times New Roman" w:cs="Times New Roman"/>
          <w:noProof/>
          <w:color w:val="000000"/>
          <w:sz w:val="24"/>
          <w:szCs w:val="24"/>
        </w:rPr>
        <w:t>cứu</w:t>
      </w:r>
      <w:r w:rsidRPr="008B67D2">
        <w:rPr>
          <w:rFonts w:ascii="Times New Roman" w:hAnsi="Times New Roman" w:cs="Times New Roman"/>
          <w:color w:val="000000"/>
          <w:w w:val="94"/>
          <w:sz w:val="24"/>
          <w:szCs w:val="24"/>
        </w:rPr>
        <w:t xml:space="preserve"> </w:t>
      </w:r>
      <w:r w:rsidR="00895096">
        <w:rPr>
          <w:rFonts w:ascii="Times New Roman" w:hAnsi="Times New Roman" w:cs="Times New Roman"/>
          <w:color w:val="000000"/>
          <w:w w:val="94"/>
          <w:sz w:val="24"/>
          <w:szCs w:val="24"/>
        </w:rPr>
        <w:t xml:space="preserve">của </w:t>
      </w:r>
      <w:r w:rsidRPr="008B67D2">
        <w:rPr>
          <w:rFonts w:ascii="Times New Roman" w:hAnsi="Times New Roman" w:cs="Times New Roman"/>
          <w:noProof/>
          <w:color w:val="000000"/>
          <w:sz w:val="24"/>
          <w:szCs w:val="24"/>
        </w:rPr>
        <w:t>Parija</w:t>
      </w:r>
      <w:r w:rsidRPr="008B67D2">
        <w:rPr>
          <w:rFonts w:ascii="Times New Roman" w:hAnsi="Times New Roman" w:cs="Times New Roman"/>
          <w:noProof/>
          <w:color w:val="000000"/>
          <w:sz w:val="24"/>
          <w:szCs w:val="24"/>
          <w:lang w:val="vi-VN"/>
        </w:rPr>
        <w:t xml:space="preserve"> và </w:t>
      </w:r>
      <w:r w:rsidR="00895096">
        <w:rPr>
          <w:rFonts w:ascii="Times New Roman" w:hAnsi="Times New Roman" w:cs="Times New Roman"/>
          <w:sz w:val="24"/>
          <w:szCs w:val="24"/>
        </w:rPr>
        <w:t>Chhatwani (2024)</w:t>
      </w:r>
      <w:r w:rsidR="0006396D">
        <w:rPr>
          <w:rFonts w:ascii="Times New Roman" w:hAnsi="Times New Roman" w:cs="Times New Roman"/>
          <w:sz w:val="24"/>
          <w:szCs w:val="24"/>
        </w:rPr>
        <w:t>, như sau:</w:t>
      </w:r>
    </w:p>
    <w:p w14:paraId="14C525BF" w14:textId="3285E0EC" w:rsidR="00256DF0" w:rsidRPr="008B67D2" w:rsidRDefault="00256DF0" w:rsidP="005A44A2">
      <w:pPr>
        <w:spacing w:before="120" w:after="0" w:line="240" w:lineRule="auto"/>
        <w:jc w:val="both"/>
        <w:rPr>
          <w:rFonts w:ascii="Times New Roman" w:eastAsia="Calibri" w:hAnsi="Times New Roman" w:cs="Times New Roman"/>
          <w:b/>
          <w:sz w:val="24"/>
          <w:szCs w:val="24"/>
        </w:rPr>
      </w:pPr>
      <m:oMathPara>
        <m:oMath>
          <m:r>
            <m:rPr>
              <m:sty m:val="bi"/>
            </m:rPr>
            <w:rPr>
              <w:rFonts w:ascii="Cambria Math" w:eastAsia="Calibri" w:hAnsi="Cambria Math" w:cs="Times New Roman"/>
              <w:sz w:val="24"/>
              <w:szCs w:val="24"/>
            </w:rPr>
            <m:t>SR=</m:t>
          </m:r>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0</m:t>
              </m:r>
            </m:sub>
          </m:sSub>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CREDIT+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OPACITY*∆CREDIT+</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OPACITY</m:t>
          </m:r>
          <m:r>
            <m:rPr>
              <m:sty m:val="b"/>
            </m:rPr>
            <w:rPr>
              <w:rFonts w:ascii="Cambria Math" w:eastAsia="Calibri" w:hAnsi="Cambria Math" w:cs="Times New Roman"/>
              <w:sz w:val="24"/>
              <w:szCs w:val="24"/>
            </w:rPr>
            <m:t>+</m:t>
          </m:r>
          <m:sSub>
            <m:sSubPr>
              <m:ctrlPr>
                <w:rPr>
                  <w:rFonts w:ascii="Cambria Math" w:eastAsia="Calibri" w:hAnsi="Cambria Math" w:cs="Times New Roman"/>
                  <w:b/>
                  <w:sz w:val="24"/>
                  <w:szCs w:val="24"/>
                </w:rPr>
              </m:ctrlPr>
            </m:sSubPr>
            <m:e>
              <m:r>
                <m:rPr>
                  <m:sty m:val="b"/>
                </m:rPr>
                <w:rPr>
                  <w:rFonts w:ascii="Cambria Math" w:eastAsia="Calibri" w:hAnsi="Cambria Math" w:cs="Times New Roman"/>
                  <w:sz w:val="24"/>
                  <w:szCs w:val="24"/>
                </w:rPr>
                <m:t>β</m:t>
              </m:r>
            </m:e>
            <m:sub>
              <m:r>
                <m:rPr>
                  <m:sty m:val="bi"/>
                </m:rPr>
                <w:rPr>
                  <w:rFonts w:ascii="Cambria Math" w:eastAsia="Calibri" w:hAnsi="Cambria Math" w:cs="Times New Roman"/>
                  <w:sz w:val="24"/>
                  <w:szCs w:val="24"/>
                </w:rPr>
                <m:t>4</m:t>
              </m:r>
            </m:sub>
          </m:sSub>
          <m:r>
            <m:rPr>
              <m:sty m:val="b"/>
            </m:rPr>
            <w:rPr>
              <w:rFonts w:ascii="Cambria Math" w:eastAsia="Calibri" w:hAnsi="Cambria Math" w:cs="Times New Roman"/>
              <w:sz w:val="24"/>
              <w:szCs w:val="24"/>
            </w:rPr>
            <m:t>BETA+</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r>
            <m:rPr>
              <m:sty m:val="b"/>
            </m:rPr>
            <w:rPr>
              <w:rFonts w:ascii="Cambria Math" w:eastAsia="Calibri" w:hAnsi="Cambria Math" w:cs="Times New Roman"/>
              <w:sz w:val="24"/>
              <w:szCs w:val="24"/>
            </w:rPr>
            <m:t>BM+</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6</m:t>
              </m:r>
            </m:sub>
          </m:sSub>
          <m:r>
            <m:rPr>
              <m:sty m:val="b"/>
            </m:rPr>
            <w:rPr>
              <w:rFonts w:ascii="Cambria Math" w:eastAsia="Calibri" w:hAnsi="Cambria Math" w:cs="Times New Roman"/>
              <w:sz w:val="24"/>
              <w:szCs w:val="24"/>
            </w:rPr>
            <m:t>LSR+</m:t>
          </m:r>
          <m:sSub>
            <m:sSubPr>
              <m:ctrlPr>
                <w:rPr>
                  <w:rFonts w:ascii="Cambria Math" w:hAnsi="Cambria Math"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7</m:t>
              </m:r>
            </m:sub>
          </m:sSub>
          <m:r>
            <m:rPr>
              <m:sty m:val="bi"/>
            </m:rPr>
            <w:rPr>
              <w:rFonts w:ascii="Cambria Math" w:hAnsi="Cambria Math" w:cs="Times New Roman"/>
              <w:sz w:val="24"/>
              <w:szCs w:val="24"/>
            </w:rPr>
            <m:t>SIZE</m:t>
          </m:r>
          <m:r>
            <m:rPr>
              <m:sty m:val="b"/>
            </m:rPr>
            <w:rPr>
              <w:rFonts w:ascii="Cambria Math" w:eastAsia="Calibri" w:hAnsi="Cambria Math" w:cs="Times New Roman"/>
              <w:sz w:val="24"/>
              <w:szCs w:val="24"/>
            </w:rPr>
            <m:t>+</m:t>
          </m:r>
          <m:r>
            <m:rPr>
              <m:sty m:val="bi"/>
            </m:rPr>
            <w:rPr>
              <w:rFonts w:ascii="Cambria Math" w:hAnsi="Cambria Math" w:cs="Times New Roman"/>
              <w:sz w:val="24"/>
              <w:szCs w:val="24"/>
            </w:rPr>
            <m:t>ε</m:t>
          </m:r>
        </m:oMath>
      </m:oMathPara>
    </w:p>
    <w:p w14:paraId="16F04A38" w14:textId="74DE2173" w:rsidR="003C49FC" w:rsidRPr="00806669" w:rsidRDefault="003C49FC" w:rsidP="005A44A2">
      <w:pPr>
        <w:spacing w:before="120" w:after="0" w:line="240" w:lineRule="auto"/>
        <w:ind w:right="20"/>
        <w:jc w:val="both"/>
        <w:rPr>
          <w:rFonts w:ascii="Times New Roman" w:eastAsia="Times New Roman" w:hAnsi="Times New Roman" w:cs="Times New Roman"/>
          <w:color w:val="000000"/>
          <w:sz w:val="24"/>
          <w:szCs w:val="24"/>
        </w:rPr>
      </w:pPr>
      <w:r w:rsidRPr="00782D22">
        <w:rPr>
          <w:rFonts w:ascii="Times New Roman" w:eastAsia="Times New Roman" w:hAnsi="Times New Roman" w:cs="Times New Roman"/>
          <w:color w:val="000000"/>
          <w:sz w:val="24"/>
          <w:szCs w:val="24"/>
          <w:lang w:val="vi-VN"/>
        </w:rPr>
        <w:t>Nhóm tác giả</w:t>
      </w:r>
      <w:r>
        <w:rPr>
          <w:rFonts w:ascii="Times New Roman" w:eastAsia="Times New Roman" w:hAnsi="Times New Roman" w:cs="Times New Roman"/>
          <w:color w:val="000000"/>
          <w:sz w:val="24"/>
          <w:szCs w:val="24"/>
        </w:rPr>
        <w:t xml:space="preserve"> cũng đưa ra cách thức đo lường các biến nghiên cứu và dấu kỳ vọng. </w:t>
      </w:r>
      <w:r w:rsidR="005A44A2">
        <w:rPr>
          <w:rFonts w:ascii="Times New Roman" w:eastAsia="Times New Roman" w:hAnsi="Times New Roman" w:cs="Times New Roman"/>
          <w:color w:val="000000"/>
          <w:sz w:val="24"/>
          <w:szCs w:val="24"/>
        </w:rPr>
        <w:t>(Bảng 1)</w:t>
      </w:r>
    </w:p>
    <w:p w14:paraId="402A2A9D" w14:textId="61C39EAD" w:rsidR="00256DF0" w:rsidRPr="003904AE" w:rsidRDefault="003C49FC" w:rsidP="005A44A2">
      <w:pPr>
        <w:spacing w:before="120" w:after="0" w:line="240" w:lineRule="auto"/>
        <w:ind w:left="560" w:right="20"/>
        <w:jc w:val="center"/>
        <w:rPr>
          <w:rFonts w:ascii="Times New Roman" w:eastAsia="Times New Roman" w:hAnsi="Times New Roman" w:cs="Times New Roman"/>
          <w:sz w:val="24"/>
          <w:szCs w:val="24"/>
        </w:rPr>
      </w:pPr>
      <w:r w:rsidRPr="00782D22">
        <w:rPr>
          <w:rFonts w:ascii="Times New Roman" w:eastAsia="Times New Roman" w:hAnsi="Times New Roman" w:cs="Times New Roman"/>
          <w:b/>
          <w:bCs/>
          <w:color w:val="000000"/>
          <w:sz w:val="24"/>
          <w:szCs w:val="24"/>
          <w:lang w:val="vi-VN"/>
        </w:rPr>
        <w:t>Bảng 1</w:t>
      </w:r>
      <w:r w:rsidR="005A44A2">
        <w:rPr>
          <w:rFonts w:ascii="Times New Roman" w:eastAsia="Times New Roman" w:hAnsi="Times New Roman" w:cs="Times New Roman"/>
          <w:b/>
          <w:bCs/>
          <w:color w:val="000000"/>
          <w:sz w:val="24"/>
          <w:szCs w:val="24"/>
        </w:rPr>
        <w:t>.</w:t>
      </w:r>
      <w:r w:rsidRPr="00782D22">
        <w:rPr>
          <w:rFonts w:ascii="Times New Roman" w:eastAsia="Times New Roman" w:hAnsi="Times New Roman" w:cs="Times New Roman"/>
          <w:b/>
          <w:bCs/>
          <w:color w:val="000000"/>
          <w:sz w:val="24"/>
          <w:szCs w:val="24"/>
          <w:lang w:val="vi-VN"/>
        </w:rPr>
        <w:t xml:space="preserve"> Biến nghiên cứu</w:t>
      </w:r>
    </w:p>
    <w:tbl>
      <w:tblPr>
        <w:tblW w:w="8932" w:type="dxa"/>
        <w:tblLayout w:type="fixed"/>
        <w:tblCellMar>
          <w:top w:w="15" w:type="dxa"/>
          <w:left w:w="15" w:type="dxa"/>
          <w:bottom w:w="15" w:type="dxa"/>
          <w:right w:w="15" w:type="dxa"/>
        </w:tblCellMar>
        <w:tblLook w:val="04A0" w:firstRow="1" w:lastRow="0" w:firstColumn="1" w:lastColumn="0" w:noHBand="0" w:noVBand="1"/>
      </w:tblPr>
      <w:tblGrid>
        <w:gridCol w:w="1977"/>
        <w:gridCol w:w="5538"/>
        <w:gridCol w:w="1417"/>
      </w:tblGrid>
      <w:tr w:rsidR="003C49FC" w:rsidRPr="003C49FC" w14:paraId="40254623" w14:textId="06DAC191" w:rsidTr="003904AE">
        <w:trPr>
          <w:trHeight w:val="30"/>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AD0405" w14:textId="77777777"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Biến nghiên cứu</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866F97" w14:textId="77777777"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Đo lường</w:t>
            </w:r>
          </w:p>
        </w:tc>
        <w:tc>
          <w:tcPr>
            <w:tcW w:w="1417" w:type="dxa"/>
            <w:tcBorders>
              <w:top w:val="single" w:sz="6" w:space="0" w:color="000000"/>
              <w:left w:val="single" w:sz="6" w:space="0" w:color="000000"/>
              <w:bottom w:val="single" w:sz="6" w:space="0" w:color="000000"/>
              <w:right w:val="single" w:sz="6" w:space="0" w:color="000000"/>
            </w:tcBorders>
          </w:tcPr>
          <w:p w14:paraId="716CF9BE" w14:textId="5D74FDF3" w:rsidR="003C49FC" w:rsidRPr="003C49FC" w:rsidRDefault="003C49FC" w:rsidP="005A44A2">
            <w:pPr>
              <w:spacing w:before="120" w:after="0" w:line="240" w:lineRule="auto"/>
              <w:jc w:val="center"/>
              <w:rPr>
                <w:rFonts w:ascii="Times New Roman" w:eastAsia="Times New Roman" w:hAnsi="Times New Roman" w:cs="Times New Roman"/>
                <w:b/>
                <w:bCs/>
                <w:sz w:val="24"/>
                <w:szCs w:val="24"/>
              </w:rPr>
            </w:pPr>
            <w:r w:rsidRPr="003C49FC">
              <w:rPr>
                <w:rFonts w:ascii="Times New Roman" w:eastAsia="Times New Roman" w:hAnsi="Times New Roman" w:cs="Times New Roman"/>
                <w:b/>
                <w:bCs/>
                <w:sz w:val="24"/>
                <w:szCs w:val="24"/>
              </w:rPr>
              <w:t>Dấu kỳ vọng</w:t>
            </w:r>
          </w:p>
        </w:tc>
      </w:tr>
      <w:tr w:rsidR="003C49FC" w:rsidRPr="003C49FC" w14:paraId="398EB278" w14:textId="7638110A" w:rsidTr="003904AE">
        <w:trPr>
          <w:trHeight w:val="233"/>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71BF2C" w14:textId="77777777"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SR</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5B21FC" w14:textId="05CEEA51"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Tỷ lệ phần trăm thay đổi giá cổ phiếu qua các năm</w:t>
            </w:r>
          </w:p>
        </w:tc>
        <w:tc>
          <w:tcPr>
            <w:tcW w:w="1417" w:type="dxa"/>
            <w:tcBorders>
              <w:top w:val="single" w:sz="6" w:space="0" w:color="000000"/>
              <w:left w:val="single" w:sz="6" w:space="0" w:color="000000"/>
              <w:bottom w:val="single" w:sz="6" w:space="0" w:color="000000"/>
              <w:right w:val="single" w:sz="6" w:space="0" w:color="000000"/>
            </w:tcBorders>
          </w:tcPr>
          <w:p w14:paraId="67399E94" w14:textId="2D391336" w:rsidR="003C49FC" w:rsidRPr="003C49FC" w:rsidRDefault="003C49FC" w:rsidP="005A44A2">
            <w:pPr>
              <w:spacing w:before="120" w:after="0" w:line="240" w:lineRule="auto"/>
              <w:jc w:val="both"/>
              <w:rPr>
                <w:rFonts w:ascii="Times New Roman" w:eastAsia="Times New Roman" w:hAnsi="Times New Roman" w:cs="Times New Roman"/>
                <w:sz w:val="24"/>
                <w:szCs w:val="24"/>
              </w:rPr>
            </w:pPr>
          </w:p>
        </w:tc>
      </w:tr>
      <w:tr w:rsidR="003C49FC" w:rsidRPr="003C49FC" w14:paraId="43C82C27" w14:textId="7D2510BE" w:rsidTr="003904AE">
        <w:trPr>
          <w:trHeight w:val="53"/>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D1A7AD" w14:textId="0196313C"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CREDIT</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9ED543" w14:textId="6DFFD7B3"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Tỷ lệ phần trăm thay đổi dư nợ cho vay qua các năm</w:t>
            </w:r>
          </w:p>
        </w:tc>
        <w:tc>
          <w:tcPr>
            <w:tcW w:w="1417" w:type="dxa"/>
            <w:tcBorders>
              <w:top w:val="single" w:sz="6" w:space="0" w:color="000000"/>
              <w:left w:val="single" w:sz="6" w:space="0" w:color="000000"/>
              <w:bottom w:val="single" w:sz="6" w:space="0" w:color="000000"/>
              <w:right w:val="single" w:sz="6" w:space="0" w:color="000000"/>
            </w:tcBorders>
          </w:tcPr>
          <w:p w14:paraId="24E4014A" w14:textId="69B50E78"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w:t>
            </w:r>
          </w:p>
        </w:tc>
      </w:tr>
      <w:tr w:rsidR="003C49FC" w:rsidRPr="003C49FC" w14:paraId="4AF2073D" w14:textId="2F95ECCA" w:rsidTr="003904AE">
        <w:trPr>
          <w:trHeight w:val="112"/>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529EDE" w14:textId="77777777"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OPACITY</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2AE8AF" w14:textId="0B02E9AA"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 xml:space="preserve">Tỷ lệ tài sản ngoài bảng cân đối kế toán </w:t>
            </w:r>
            <w:r>
              <w:rPr>
                <w:rFonts w:ascii="Times New Roman" w:eastAsia="Times New Roman" w:hAnsi="Times New Roman" w:cs="Times New Roman"/>
                <w:sz w:val="24"/>
                <w:szCs w:val="24"/>
              </w:rPr>
              <w:t>trên</w:t>
            </w:r>
            <w:r w:rsidRPr="003C49FC">
              <w:rPr>
                <w:rFonts w:ascii="Times New Roman" w:eastAsia="Times New Roman" w:hAnsi="Times New Roman" w:cs="Times New Roman"/>
                <w:sz w:val="24"/>
                <w:szCs w:val="24"/>
              </w:rPr>
              <w:t xml:space="preserve"> tổng tài sản</w:t>
            </w:r>
          </w:p>
        </w:tc>
        <w:tc>
          <w:tcPr>
            <w:tcW w:w="1417" w:type="dxa"/>
            <w:tcBorders>
              <w:top w:val="single" w:sz="6" w:space="0" w:color="000000"/>
              <w:left w:val="single" w:sz="6" w:space="0" w:color="000000"/>
              <w:bottom w:val="single" w:sz="6" w:space="0" w:color="000000"/>
              <w:right w:val="single" w:sz="6" w:space="0" w:color="000000"/>
            </w:tcBorders>
          </w:tcPr>
          <w:p w14:paraId="0770EF98" w14:textId="4D51FF50"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w:t>
            </w:r>
          </w:p>
        </w:tc>
      </w:tr>
      <w:tr w:rsidR="003C49FC" w:rsidRPr="003C49FC" w14:paraId="3F91BBC9" w14:textId="7B91C1D2" w:rsidTr="003904AE">
        <w:trPr>
          <w:trHeight w:val="30"/>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CF5239F" w14:textId="77777777"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BETA</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69E368" w14:textId="2F87BF9E"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 xml:space="preserve">Hệ số </w:t>
            </w:r>
            <w:r w:rsidR="003904AE">
              <w:rPr>
                <w:rFonts w:ascii="Times New Roman" w:eastAsia="Times New Roman" w:hAnsi="Times New Roman" w:cs="Times New Roman"/>
                <w:sz w:val="24"/>
                <w:szCs w:val="24"/>
              </w:rPr>
              <w:t xml:space="preserve">beta </w:t>
            </w:r>
            <w:r w:rsidRPr="003C49FC">
              <w:rPr>
                <w:rFonts w:ascii="Times New Roman" w:eastAsia="Times New Roman" w:hAnsi="Times New Roman" w:cs="Times New Roman"/>
                <w:sz w:val="24"/>
                <w:szCs w:val="24"/>
              </w:rPr>
              <w:t xml:space="preserve">đo </w:t>
            </w:r>
            <w:r w:rsidR="003904AE">
              <w:rPr>
                <w:rFonts w:ascii="Times New Roman" w:eastAsia="Times New Roman" w:hAnsi="Times New Roman" w:cs="Times New Roman"/>
                <w:sz w:val="24"/>
                <w:szCs w:val="24"/>
              </w:rPr>
              <w:t xml:space="preserve">lường </w:t>
            </w:r>
            <w:r w:rsidRPr="003C49FC">
              <w:rPr>
                <w:rFonts w:ascii="Times New Roman" w:eastAsia="Times New Roman" w:hAnsi="Times New Roman" w:cs="Times New Roman"/>
                <w:sz w:val="24"/>
                <w:szCs w:val="24"/>
              </w:rPr>
              <w:t>mức độ biến động của cổ phiếu so với biến động của thị trường</w:t>
            </w:r>
          </w:p>
        </w:tc>
        <w:tc>
          <w:tcPr>
            <w:tcW w:w="1417" w:type="dxa"/>
            <w:tcBorders>
              <w:top w:val="single" w:sz="6" w:space="0" w:color="000000"/>
              <w:left w:val="single" w:sz="6" w:space="0" w:color="000000"/>
              <w:bottom w:val="single" w:sz="6" w:space="0" w:color="000000"/>
              <w:right w:val="single" w:sz="6" w:space="0" w:color="000000"/>
            </w:tcBorders>
          </w:tcPr>
          <w:p w14:paraId="45FA63AE" w14:textId="249FED71"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w:t>
            </w:r>
          </w:p>
        </w:tc>
      </w:tr>
      <w:tr w:rsidR="003C49FC" w:rsidRPr="003C49FC" w14:paraId="76A6A3C7" w14:textId="353E265A" w:rsidTr="003904AE">
        <w:trPr>
          <w:trHeight w:val="117"/>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DDD9EC" w14:textId="77777777"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SIZE</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885D2E" w14:textId="19D442DA" w:rsidR="003C49FC" w:rsidRPr="003C49FC" w:rsidRDefault="00C576A1" w:rsidP="005A44A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Log </w:t>
            </w:r>
            <w:r w:rsidR="003C49FC" w:rsidRPr="003C49FC">
              <w:rPr>
                <w:rFonts w:ascii="Times New Roman" w:eastAsia="Times New Roman" w:hAnsi="Times New Roman" w:cs="Times New Roman"/>
                <w:sz w:val="24"/>
                <w:szCs w:val="24"/>
                <w:shd w:val="clear" w:color="auto" w:fill="FFFFFF"/>
              </w:rPr>
              <w:t>của tổng tài sản</w:t>
            </w:r>
          </w:p>
        </w:tc>
        <w:tc>
          <w:tcPr>
            <w:tcW w:w="1417" w:type="dxa"/>
            <w:tcBorders>
              <w:top w:val="single" w:sz="6" w:space="0" w:color="000000"/>
              <w:left w:val="single" w:sz="6" w:space="0" w:color="000000"/>
              <w:bottom w:val="single" w:sz="6" w:space="0" w:color="000000"/>
              <w:right w:val="single" w:sz="6" w:space="0" w:color="000000"/>
            </w:tcBorders>
          </w:tcPr>
          <w:p w14:paraId="671B6EE5" w14:textId="05D92969" w:rsidR="003C49FC" w:rsidRPr="003C49FC" w:rsidRDefault="003C49FC" w:rsidP="005A44A2">
            <w:pPr>
              <w:spacing w:before="120" w:after="0" w:line="240" w:lineRule="auto"/>
              <w:jc w:val="center"/>
              <w:rPr>
                <w:rFonts w:ascii="Times New Roman" w:eastAsia="Times New Roman" w:hAnsi="Times New Roman" w:cs="Times New Roman"/>
                <w:sz w:val="24"/>
                <w:szCs w:val="24"/>
                <w:shd w:val="clear" w:color="auto" w:fill="FFFFFF"/>
              </w:rPr>
            </w:pPr>
            <w:r w:rsidRPr="003C49FC">
              <w:rPr>
                <w:rFonts w:ascii="Times New Roman" w:eastAsia="Times New Roman" w:hAnsi="Times New Roman" w:cs="Times New Roman"/>
                <w:sz w:val="24"/>
                <w:szCs w:val="24"/>
              </w:rPr>
              <w:t>+</w:t>
            </w:r>
          </w:p>
        </w:tc>
      </w:tr>
      <w:tr w:rsidR="003C49FC" w:rsidRPr="003C49FC" w14:paraId="6211D0F1" w14:textId="622BBD29" w:rsidTr="003904AE">
        <w:trPr>
          <w:trHeight w:val="339"/>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E61329" w14:textId="4ED66D90"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lastRenderedPageBreak/>
              <w:t>BM</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3AED1C" w14:textId="2A1B6490"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 xml:space="preserve">Tỷ lệ giá trị sổ sách </w:t>
            </w:r>
            <w:r w:rsidR="00C576A1">
              <w:rPr>
                <w:rFonts w:ascii="Times New Roman" w:eastAsia="Times New Roman" w:hAnsi="Times New Roman" w:cs="Times New Roman"/>
                <w:sz w:val="24"/>
                <w:szCs w:val="24"/>
              </w:rPr>
              <w:t>trên</w:t>
            </w:r>
            <w:r w:rsidRPr="003C49FC">
              <w:rPr>
                <w:rFonts w:ascii="Times New Roman" w:eastAsia="Times New Roman" w:hAnsi="Times New Roman" w:cs="Times New Roman"/>
                <w:sz w:val="24"/>
                <w:szCs w:val="24"/>
              </w:rPr>
              <w:t xml:space="preserve"> giá trị thị trường</w:t>
            </w:r>
          </w:p>
        </w:tc>
        <w:tc>
          <w:tcPr>
            <w:tcW w:w="1417" w:type="dxa"/>
            <w:tcBorders>
              <w:top w:val="single" w:sz="6" w:space="0" w:color="000000"/>
              <w:left w:val="single" w:sz="6" w:space="0" w:color="000000"/>
              <w:bottom w:val="single" w:sz="6" w:space="0" w:color="000000"/>
              <w:right w:val="single" w:sz="6" w:space="0" w:color="000000"/>
            </w:tcBorders>
          </w:tcPr>
          <w:p w14:paraId="463A5493" w14:textId="2FE13C1D"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w:t>
            </w:r>
          </w:p>
        </w:tc>
      </w:tr>
      <w:tr w:rsidR="003C49FC" w:rsidRPr="003C49FC" w14:paraId="37138A48" w14:textId="283E5F75" w:rsidTr="003904AE">
        <w:trPr>
          <w:trHeight w:val="446"/>
        </w:trPr>
        <w:tc>
          <w:tcPr>
            <w:tcW w:w="1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898BE2" w14:textId="77777777" w:rsidR="003C49FC" w:rsidRPr="003C49FC" w:rsidRDefault="003C49FC" w:rsidP="005A44A2">
            <w:pPr>
              <w:spacing w:before="120" w:after="0" w:line="240" w:lineRule="auto"/>
              <w:jc w:val="both"/>
              <w:rPr>
                <w:rFonts w:ascii="Times New Roman" w:eastAsia="Times New Roman" w:hAnsi="Times New Roman" w:cs="Times New Roman"/>
                <w:sz w:val="24"/>
                <w:szCs w:val="24"/>
              </w:rPr>
            </w:pPr>
            <w:r w:rsidRPr="003C49FC">
              <w:rPr>
                <w:rFonts w:ascii="Times New Roman" w:eastAsia="Times New Roman" w:hAnsi="Times New Roman" w:cs="Times New Roman"/>
                <w:b/>
                <w:bCs/>
                <w:sz w:val="24"/>
                <w:szCs w:val="24"/>
              </w:rPr>
              <w:t>LSR</w:t>
            </w:r>
          </w:p>
        </w:tc>
        <w:tc>
          <w:tcPr>
            <w:tcW w:w="55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F1CCB8" w14:textId="490AEF23" w:rsidR="003C49FC" w:rsidRPr="003C49FC" w:rsidRDefault="005B26A1" w:rsidP="005A44A2">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Biến trễ của SR (</w:t>
            </w:r>
            <w:r w:rsidRPr="003C49FC">
              <w:rPr>
                <w:rFonts w:ascii="Times New Roman" w:eastAsia="Times New Roman" w:hAnsi="Times New Roman" w:cs="Times New Roman"/>
                <w:sz w:val="24"/>
                <w:szCs w:val="24"/>
              </w:rPr>
              <w:t>Tỷ lệ phần trăm thay đổi giá cổ phiếu qua các năm</w:t>
            </w:r>
            <w:r>
              <w:rPr>
                <w:rFonts w:ascii="Times New Roman" w:eastAsia="Times New Roman" w:hAnsi="Times New Roman" w:cs="Times New Roman"/>
                <w:sz w:val="24"/>
                <w:szCs w:val="24"/>
              </w:rPr>
              <w:t>)</w:t>
            </w:r>
          </w:p>
        </w:tc>
        <w:tc>
          <w:tcPr>
            <w:tcW w:w="1417" w:type="dxa"/>
            <w:tcBorders>
              <w:top w:val="single" w:sz="6" w:space="0" w:color="000000"/>
              <w:left w:val="single" w:sz="6" w:space="0" w:color="000000"/>
              <w:bottom w:val="single" w:sz="6" w:space="0" w:color="000000"/>
              <w:right w:val="single" w:sz="6" w:space="0" w:color="000000"/>
            </w:tcBorders>
          </w:tcPr>
          <w:p w14:paraId="01B32753" w14:textId="227D3F77" w:rsidR="003C49FC" w:rsidRPr="003C49FC" w:rsidRDefault="003C49FC" w:rsidP="005A44A2">
            <w:pPr>
              <w:spacing w:before="120" w:after="0" w:line="240" w:lineRule="auto"/>
              <w:jc w:val="center"/>
              <w:rPr>
                <w:rFonts w:ascii="Times New Roman" w:eastAsia="Times New Roman" w:hAnsi="Times New Roman" w:cs="Times New Roman"/>
                <w:sz w:val="24"/>
                <w:szCs w:val="24"/>
              </w:rPr>
            </w:pPr>
            <w:r w:rsidRPr="003C49FC">
              <w:rPr>
                <w:rFonts w:ascii="Times New Roman" w:eastAsia="Times New Roman" w:hAnsi="Times New Roman" w:cs="Times New Roman"/>
                <w:sz w:val="24"/>
                <w:szCs w:val="24"/>
              </w:rPr>
              <w:t>+</w:t>
            </w:r>
          </w:p>
        </w:tc>
      </w:tr>
    </w:tbl>
    <w:p w14:paraId="58BCC5AE" w14:textId="77777777" w:rsidR="008C40FB" w:rsidRDefault="00DF0C48" w:rsidP="005A44A2">
      <w:pPr>
        <w:spacing w:before="120" w:after="0" w:line="240" w:lineRule="auto"/>
        <w:jc w:val="center"/>
        <w:rPr>
          <w:rFonts w:ascii="Times New Roman" w:eastAsia="Times New Roman" w:hAnsi="Times New Roman" w:cs="Times New Roman"/>
          <w:sz w:val="24"/>
          <w:szCs w:val="24"/>
        </w:rPr>
      </w:pPr>
      <w:r w:rsidRPr="00782D22">
        <w:rPr>
          <w:rFonts w:ascii="Times New Roman" w:eastAsia="Times New Roman" w:hAnsi="Times New Roman" w:cs="Times New Roman"/>
          <w:i/>
          <w:iCs/>
          <w:color w:val="000000"/>
          <w:sz w:val="20"/>
          <w:szCs w:val="20"/>
          <w:lang w:val="vi-VN"/>
        </w:rPr>
        <w:t xml:space="preserve">(Biến nghiên cứu, cách thức đo lường và dấu kỳ vọng dựa trên khung lý thuyết và lược khảo các nghiên cứu trước, chủ yếu là nghiên cứu của </w:t>
      </w:r>
      <w:r w:rsidRPr="00DF0C48">
        <w:rPr>
          <w:rFonts w:ascii="Times New Roman" w:hAnsi="Times New Roman" w:cs="Times New Roman"/>
          <w:i/>
          <w:iCs/>
          <w:noProof/>
          <w:color w:val="000000"/>
          <w:sz w:val="20"/>
          <w:szCs w:val="20"/>
        </w:rPr>
        <w:t>Parija</w:t>
      </w:r>
      <w:r w:rsidRPr="00DF0C48">
        <w:rPr>
          <w:rFonts w:ascii="Times New Roman" w:hAnsi="Times New Roman" w:cs="Times New Roman"/>
          <w:i/>
          <w:iCs/>
          <w:noProof/>
          <w:color w:val="000000"/>
          <w:sz w:val="20"/>
          <w:szCs w:val="20"/>
          <w:lang w:val="vi-VN"/>
        </w:rPr>
        <w:t xml:space="preserve"> và </w:t>
      </w:r>
      <w:r w:rsidRPr="00DF0C48">
        <w:rPr>
          <w:rFonts w:ascii="Times New Roman" w:hAnsi="Times New Roman" w:cs="Times New Roman"/>
          <w:i/>
          <w:iCs/>
          <w:sz w:val="20"/>
          <w:szCs w:val="20"/>
        </w:rPr>
        <w:t>Chhatwani (2024))</w:t>
      </w:r>
    </w:p>
    <w:p w14:paraId="2CB1A2CD" w14:textId="24831D85" w:rsidR="00256DF0" w:rsidRPr="00646662" w:rsidRDefault="00256DF0" w:rsidP="005A44A2">
      <w:pPr>
        <w:spacing w:before="120" w:after="0" w:line="240" w:lineRule="auto"/>
        <w:jc w:val="both"/>
        <w:rPr>
          <w:rFonts w:ascii="Times New Roman" w:eastAsia="Times New Roman" w:hAnsi="Times New Roman" w:cs="Times New Roman"/>
          <w:sz w:val="24"/>
          <w:szCs w:val="24"/>
        </w:rPr>
      </w:pPr>
      <w:r w:rsidRPr="008B67D2">
        <w:rPr>
          <w:rFonts w:ascii="Times New Roman" w:eastAsia="Times New Roman" w:hAnsi="Times New Roman" w:cs="Times New Roman"/>
          <w:color w:val="000000"/>
          <w:sz w:val="24"/>
          <w:szCs w:val="24"/>
          <w:lang w:val="vi-VN"/>
        </w:rPr>
        <w:t xml:space="preserve">Nhóm tác giả sử dụng mẫu dữ liệu từ 19 ngân hàng thương mại Việt Nam niêm yết ở Sở </w:t>
      </w:r>
      <w:r w:rsidR="00B203CA">
        <w:rPr>
          <w:rFonts w:ascii="Times New Roman" w:eastAsia="Times New Roman" w:hAnsi="Times New Roman" w:cs="Times New Roman"/>
          <w:color w:val="000000"/>
          <w:sz w:val="24"/>
          <w:szCs w:val="24"/>
        </w:rPr>
        <w:t>G</w:t>
      </w:r>
      <w:r w:rsidRPr="008B67D2">
        <w:rPr>
          <w:rFonts w:ascii="Times New Roman" w:eastAsia="Times New Roman" w:hAnsi="Times New Roman" w:cs="Times New Roman"/>
          <w:color w:val="000000"/>
          <w:sz w:val="24"/>
          <w:szCs w:val="24"/>
          <w:lang w:val="vi-VN"/>
        </w:rPr>
        <w:t xml:space="preserve">iao dịch </w:t>
      </w:r>
      <w:r w:rsidR="00B203CA">
        <w:rPr>
          <w:rFonts w:ascii="Times New Roman" w:eastAsia="Times New Roman" w:hAnsi="Times New Roman" w:cs="Times New Roman"/>
          <w:color w:val="000000"/>
          <w:sz w:val="24"/>
          <w:szCs w:val="24"/>
        </w:rPr>
        <w:t>C</w:t>
      </w:r>
      <w:r w:rsidRPr="008B67D2">
        <w:rPr>
          <w:rFonts w:ascii="Times New Roman" w:eastAsia="Times New Roman" w:hAnsi="Times New Roman" w:cs="Times New Roman"/>
          <w:color w:val="000000"/>
          <w:sz w:val="24"/>
          <w:szCs w:val="24"/>
          <w:lang w:val="vi-VN"/>
        </w:rPr>
        <w:t>hứng khoán TP.H</w:t>
      </w:r>
      <w:r w:rsidR="005A44A2">
        <w:rPr>
          <w:rFonts w:ascii="Times New Roman" w:eastAsia="Times New Roman" w:hAnsi="Times New Roman" w:cs="Times New Roman"/>
          <w:color w:val="000000"/>
          <w:sz w:val="24"/>
          <w:szCs w:val="24"/>
        </w:rPr>
        <w:t>ồ Chí Minh</w:t>
      </w:r>
      <w:r w:rsidRPr="008B67D2">
        <w:rPr>
          <w:rFonts w:ascii="Times New Roman" w:eastAsia="Times New Roman" w:hAnsi="Times New Roman" w:cs="Times New Roman"/>
          <w:color w:val="000000"/>
          <w:sz w:val="24"/>
          <w:szCs w:val="24"/>
          <w:lang w:val="vi-VN"/>
        </w:rPr>
        <w:t xml:space="preserve"> và Hà Nội từ giai đoạn 2006-2024. </w:t>
      </w:r>
      <w:proofErr w:type="gramStart"/>
      <w:r w:rsidR="00646662">
        <w:rPr>
          <w:rFonts w:ascii="Times New Roman" w:eastAsia="Times New Roman" w:hAnsi="Times New Roman" w:cs="Times New Roman"/>
          <w:color w:val="000000"/>
          <w:sz w:val="24"/>
          <w:szCs w:val="24"/>
        </w:rPr>
        <w:t>Nhóm tác giả</w:t>
      </w:r>
      <w:r w:rsidRPr="008B67D2">
        <w:rPr>
          <w:rFonts w:ascii="Times New Roman" w:eastAsia="Times New Roman" w:hAnsi="Times New Roman" w:cs="Times New Roman"/>
          <w:color w:val="000000"/>
          <w:sz w:val="24"/>
          <w:szCs w:val="24"/>
          <w:lang w:val="vi-VN"/>
        </w:rPr>
        <w:t xml:space="preserve"> sử dụng phương pháp hồi quy GLS</w:t>
      </w:r>
      <w:r w:rsidR="00646662">
        <w:rPr>
          <w:rFonts w:ascii="Times New Roman" w:eastAsia="Times New Roman" w:hAnsi="Times New Roman" w:cs="Times New Roman"/>
          <w:color w:val="000000"/>
          <w:sz w:val="24"/>
          <w:szCs w:val="24"/>
        </w:rPr>
        <w:t>.</w:t>
      </w:r>
      <w:proofErr w:type="gramEnd"/>
      <w:r w:rsidR="00646662">
        <w:rPr>
          <w:rFonts w:ascii="Times New Roman" w:eastAsia="Times New Roman" w:hAnsi="Times New Roman" w:cs="Times New Roman"/>
          <w:color w:val="000000"/>
          <w:sz w:val="24"/>
          <w:szCs w:val="24"/>
        </w:rPr>
        <w:t xml:space="preserve"> </w:t>
      </w:r>
    </w:p>
    <w:p w14:paraId="35BF5D2D" w14:textId="585991D3" w:rsidR="00256DF0" w:rsidRPr="008B67D2" w:rsidRDefault="005A44A2" w:rsidP="005A44A2">
      <w:pPr>
        <w:pStyle w:val="ListParagraph"/>
        <w:widowControl w:val="0"/>
        <w:numPr>
          <w:ilvl w:val="0"/>
          <w:numId w:val="3"/>
        </w:numPr>
        <w:tabs>
          <w:tab w:val="left" w:pos="458"/>
        </w:tabs>
        <w:kinsoku w:val="0"/>
        <w:autoSpaceDE w:val="0"/>
        <w:autoSpaceDN w:val="0"/>
        <w:adjustRightInd w:val="0"/>
        <w:spacing w:before="120" w:after="0" w:line="240" w:lineRule="auto"/>
        <w:jc w:val="both"/>
        <w:textAlignment w:val="baseline"/>
        <w:rPr>
          <w:rFonts w:ascii="Times New Roman" w:hAnsi="Times New Roman" w:cs="Times New Roman"/>
          <w:sz w:val="24"/>
          <w:szCs w:val="24"/>
        </w:rPr>
      </w:pPr>
      <w:r>
        <w:rPr>
          <w:rFonts w:ascii="Times New Roman" w:hAnsi="Times New Roman" w:cs="Times New Roman"/>
          <w:b/>
          <w:noProof/>
          <w:color w:val="000000"/>
          <w:sz w:val="24"/>
          <w:szCs w:val="24"/>
        </w:rPr>
        <w:t xml:space="preserve"> </w:t>
      </w:r>
      <w:r w:rsidR="00256DF0" w:rsidRPr="008B67D2">
        <w:rPr>
          <w:rFonts w:ascii="Times New Roman" w:hAnsi="Times New Roman" w:cs="Times New Roman"/>
          <w:b/>
          <w:noProof/>
          <w:color w:val="000000"/>
          <w:sz w:val="24"/>
          <w:szCs w:val="24"/>
        </w:rPr>
        <w:t>Kết</w:t>
      </w:r>
      <w:r w:rsidR="00256DF0" w:rsidRPr="008B67D2">
        <w:rPr>
          <w:rFonts w:ascii="Times New Roman" w:hAnsi="Times New Roman" w:cs="Times New Roman"/>
          <w:b/>
          <w:color w:val="000000"/>
          <w:spacing w:val="-1"/>
          <w:sz w:val="24"/>
          <w:szCs w:val="24"/>
        </w:rPr>
        <w:t xml:space="preserve"> </w:t>
      </w:r>
      <w:r w:rsidR="00256DF0" w:rsidRPr="008B67D2">
        <w:rPr>
          <w:rFonts w:ascii="Times New Roman" w:hAnsi="Times New Roman" w:cs="Times New Roman"/>
          <w:b/>
          <w:noProof/>
          <w:color w:val="000000"/>
          <w:sz w:val="24"/>
          <w:szCs w:val="24"/>
        </w:rPr>
        <w:t>quả</w:t>
      </w:r>
      <w:r w:rsidR="00256DF0" w:rsidRPr="008B67D2">
        <w:rPr>
          <w:rFonts w:ascii="Times New Roman" w:hAnsi="Times New Roman" w:cs="Times New Roman"/>
          <w:b/>
          <w:color w:val="000000"/>
          <w:spacing w:val="-1"/>
          <w:sz w:val="24"/>
          <w:szCs w:val="24"/>
        </w:rPr>
        <w:t xml:space="preserve"> </w:t>
      </w:r>
      <w:r w:rsidR="00256DF0" w:rsidRPr="008B67D2">
        <w:rPr>
          <w:rFonts w:ascii="Times New Roman" w:hAnsi="Times New Roman" w:cs="Times New Roman"/>
          <w:b/>
          <w:noProof/>
          <w:color w:val="000000"/>
          <w:sz w:val="24"/>
          <w:szCs w:val="24"/>
        </w:rPr>
        <w:t>nghiên</w:t>
      </w:r>
      <w:r w:rsidR="00256DF0" w:rsidRPr="008B67D2">
        <w:rPr>
          <w:rFonts w:ascii="Times New Roman" w:hAnsi="Times New Roman" w:cs="Times New Roman"/>
          <w:b/>
          <w:color w:val="000000"/>
          <w:spacing w:val="-1"/>
          <w:sz w:val="24"/>
          <w:szCs w:val="24"/>
        </w:rPr>
        <w:t xml:space="preserve"> </w:t>
      </w:r>
      <w:r w:rsidR="00256DF0" w:rsidRPr="008B67D2">
        <w:rPr>
          <w:rFonts w:ascii="Times New Roman" w:hAnsi="Times New Roman" w:cs="Times New Roman"/>
          <w:b/>
          <w:noProof/>
          <w:color w:val="000000"/>
          <w:sz w:val="24"/>
          <w:szCs w:val="24"/>
        </w:rPr>
        <w:t>cứu</w:t>
      </w:r>
    </w:p>
    <w:p w14:paraId="096664DD" w14:textId="55103907" w:rsidR="004105D7" w:rsidRPr="008B67D2" w:rsidRDefault="000467FD" w:rsidP="005A44A2">
      <w:pPr>
        <w:pStyle w:val="Danhmcbng"/>
        <w:spacing w:before="120" w:after="0" w:line="240" w:lineRule="auto"/>
        <w:ind w:left="20"/>
        <w:rPr>
          <w:rFonts w:ascii="Times New Roman" w:eastAsia="Times New Roman" w:hAnsi="Times New Roman" w:cs="Times New Roman"/>
          <w:sz w:val="24"/>
          <w:szCs w:val="24"/>
          <w:lang w:eastAsia="en-US"/>
        </w:rPr>
      </w:pPr>
      <w:bookmarkStart w:id="1" w:name="_Toc196549859"/>
      <w:bookmarkStart w:id="2" w:name="_Toc197586455"/>
      <w:bookmarkStart w:id="3" w:name="_Toc197586720"/>
      <w:bookmarkStart w:id="4" w:name="_Toc197726424"/>
      <w:bookmarkStart w:id="5" w:name="_Toc197726520"/>
      <w:proofErr w:type="gramStart"/>
      <w:r w:rsidRPr="008B67D2">
        <w:rPr>
          <w:rFonts w:ascii="Times New Roman" w:eastAsia="Times New Roman" w:hAnsi="Times New Roman" w:cs="Times New Roman"/>
          <w:sz w:val="24"/>
          <w:szCs w:val="24"/>
          <w:lang w:eastAsia="en-US"/>
        </w:rPr>
        <w:t xml:space="preserve">Bảng </w:t>
      </w:r>
      <w:r w:rsidR="00A85422">
        <w:rPr>
          <w:rFonts w:ascii="Times New Roman" w:eastAsia="Times New Roman" w:hAnsi="Times New Roman" w:cs="Times New Roman"/>
          <w:sz w:val="24"/>
          <w:szCs w:val="24"/>
          <w:lang w:eastAsia="en-US"/>
        </w:rPr>
        <w:t>2</w:t>
      </w:r>
      <w:r w:rsidR="00DA6E59">
        <w:rPr>
          <w:rFonts w:ascii="Times New Roman" w:eastAsia="Times New Roman" w:hAnsi="Times New Roman" w:cs="Times New Roman"/>
          <w:sz w:val="24"/>
          <w:szCs w:val="24"/>
          <w:lang w:eastAsia="en-US"/>
        </w:rPr>
        <w:t>.</w:t>
      </w:r>
      <w:proofErr w:type="gramEnd"/>
      <w:r w:rsidR="004105D7" w:rsidRPr="008B67D2">
        <w:rPr>
          <w:rFonts w:ascii="Times New Roman" w:eastAsia="Times New Roman" w:hAnsi="Times New Roman" w:cs="Times New Roman"/>
          <w:sz w:val="24"/>
          <w:szCs w:val="24"/>
          <w:lang w:eastAsia="en-US"/>
        </w:rPr>
        <w:t xml:space="preserve"> Thống kê mô tả</w:t>
      </w:r>
      <w:bookmarkEnd w:id="1"/>
      <w:bookmarkEnd w:id="2"/>
      <w:bookmarkEnd w:id="3"/>
      <w:bookmarkEnd w:id="4"/>
      <w:bookmarkEnd w:id="5"/>
    </w:p>
    <w:tbl>
      <w:tblPr>
        <w:tblW w:w="0" w:type="auto"/>
        <w:jc w:val="center"/>
        <w:tblCellMar>
          <w:top w:w="15" w:type="dxa"/>
          <w:left w:w="15" w:type="dxa"/>
          <w:bottom w:w="15" w:type="dxa"/>
          <w:right w:w="15" w:type="dxa"/>
        </w:tblCellMar>
        <w:tblLook w:val="04A0" w:firstRow="1" w:lastRow="0" w:firstColumn="1" w:lastColumn="0" w:noHBand="0" w:noVBand="1"/>
      </w:tblPr>
      <w:tblGrid>
        <w:gridCol w:w="1865"/>
        <w:gridCol w:w="1381"/>
        <w:gridCol w:w="1101"/>
        <w:gridCol w:w="1654"/>
      </w:tblGrid>
      <w:tr w:rsidR="004105D7" w:rsidRPr="008B67D2" w14:paraId="5AB5FCDB"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3819C6"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b/>
                <w:bCs/>
                <w:sz w:val="24"/>
                <w:szCs w:val="24"/>
              </w:rPr>
              <w:t>Biến nghiên cứu</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419034"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b/>
                <w:bCs/>
                <w:sz w:val="24"/>
                <w:szCs w:val="24"/>
              </w:rPr>
              <w:t>Trung bình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45FB78"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b/>
                <w:bCs/>
                <w:sz w:val="24"/>
                <w:szCs w:val="24"/>
              </w:rPr>
              <w:t>Trung vị</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CD2FF8"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b/>
                <w:bCs/>
                <w:sz w:val="24"/>
                <w:szCs w:val="24"/>
              </w:rPr>
              <w:t>Độ lệch chuẩn</w:t>
            </w:r>
          </w:p>
        </w:tc>
      </w:tr>
      <w:tr w:rsidR="004105D7" w:rsidRPr="008B67D2" w14:paraId="63D1AFD9"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B24D81"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SR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541B0A"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0,0742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9E2BEA"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-0,0117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07B5AF"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0,5505</w:t>
            </w:r>
          </w:p>
        </w:tc>
      </w:tr>
      <w:tr w:rsidR="004105D7" w:rsidRPr="008B67D2" w14:paraId="140132A2"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53F74A"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CREDIT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42BB74"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0,2285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91E4ECB"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0,1872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C1B31D"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0,2111</w:t>
            </w:r>
          </w:p>
        </w:tc>
      </w:tr>
      <w:tr w:rsidR="004105D7" w:rsidRPr="008B67D2" w14:paraId="33ED0D4D"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003531"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OPACITY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C053F16"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0,3327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52283A"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0,1831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DE0EDC"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0,4053</w:t>
            </w:r>
          </w:p>
        </w:tc>
      </w:tr>
      <w:tr w:rsidR="004105D7" w:rsidRPr="008B67D2" w14:paraId="238CA8A9"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2414B9"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BETA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3BB735"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0,5779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F01000"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0,5104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A275C3"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0,5553</w:t>
            </w:r>
          </w:p>
        </w:tc>
      </w:tr>
      <w:tr w:rsidR="004105D7" w:rsidRPr="008B67D2" w14:paraId="47B27A43"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2F27BF"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BM</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14A7C0"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0,7657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7430AA"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0,7541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57BC147"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0,3148</w:t>
            </w:r>
          </w:p>
        </w:tc>
      </w:tr>
      <w:tr w:rsidR="004105D7" w:rsidRPr="008B67D2" w14:paraId="76CF2D65" w14:textId="77777777" w:rsidTr="0030496E">
        <w:trPr>
          <w:trHeight w:val="40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094265"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SIZE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F44DF4D"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14,290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37792B"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14,256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304B8D" w14:textId="77777777" w:rsidR="004105D7" w:rsidRPr="008B67D2" w:rsidRDefault="004105D7" w:rsidP="005A44A2">
            <w:pPr>
              <w:spacing w:before="120" w:after="0" w:line="240" w:lineRule="auto"/>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0,4837</w:t>
            </w:r>
          </w:p>
        </w:tc>
      </w:tr>
    </w:tbl>
    <w:p w14:paraId="6B084CF1" w14:textId="6A68A6D8" w:rsidR="008C3BD9" w:rsidRPr="00F73D7C" w:rsidRDefault="00F73D7C" w:rsidP="005A44A2">
      <w:pPr>
        <w:spacing w:before="120" w:after="0" w:line="240" w:lineRule="auto"/>
        <w:jc w:val="both"/>
        <w:rPr>
          <w:rFonts w:ascii="Times New Roman" w:eastAsia="Times New Roman" w:hAnsi="Times New Roman" w:cs="Times New Roman"/>
          <w:sz w:val="24"/>
          <w:szCs w:val="24"/>
        </w:rPr>
      </w:pPr>
      <w:r w:rsidRPr="00782D22">
        <w:rPr>
          <w:rFonts w:ascii="Times New Roman" w:eastAsia="Times New Roman" w:hAnsi="Times New Roman" w:cs="Times New Roman"/>
          <w:i/>
          <w:iCs/>
          <w:color w:val="000000"/>
          <w:sz w:val="20"/>
          <w:szCs w:val="20"/>
          <w:lang w:val="vi-VN"/>
        </w:rPr>
        <w:t>(Số liệu được thống kê qua phần mềm Stata 17 với dữ liệu 1</w:t>
      </w:r>
      <w:r>
        <w:rPr>
          <w:rFonts w:ascii="Times New Roman" w:eastAsia="Times New Roman" w:hAnsi="Times New Roman" w:cs="Times New Roman"/>
          <w:i/>
          <w:iCs/>
          <w:color w:val="000000"/>
          <w:sz w:val="20"/>
          <w:szCs w:val="20"/>
        </w:rPr>
        <w:t>9</w:t>
      </w:r>
      <w:r w:rsidRPr="00782D22">
        <w:rPr>
          <w:rFonts w:ascii="Times New Roman" w:eastAsia="Times New Roman" w:hAnsi="Times New Roman" w:cs="Times New Roman"/>
          <w:i/>
          <w:iCs/>
          <w:color w:val="000000"/>
          <w:sz w:val="20"/>
          <w:szCs w:val="20"/>
          <w:lang w:val="vi-VN"/>
        </w:rPr>
        <w:t xml:space="preserve"> </w:t>
      </w:r>
      <w:r>
        <w:rPr>
          <w:rFonts w:ascii="Times New Roman" w:eastAsia="Times New Roman" w:hAnsi="Times New Roman" w:cs="Times New Roman"/>
          <w:i/>
          <w:iCs/>
          <w:color w:val="000000"/>
          <w:sz w:val="20"/>
          <w:szCs w:val="20"/>
        </w:rPr>
        <w:t>ngân hàng</w:t>
      </w:r>
      <w:r w:rsidRPr="00782D22">
        <w:rPr>
          <w:rFonts w:ascii="Times New Roman" w:eastAsia="Times New Roman" w:hAnsi="Times New Roman" w:cs="Times New Roman"/>
          <w:i/>
          <w:iCs/>
          <w:color w:val="000000"/>
          <w:sz w:val="20"/>
          <w:szCs w:val="20"/>
          <w:lang w:val="vi-VN"/>
        </w:rPr>
        <w:t xml:space="preserve"> niêm yết ở Sở </w:t>
      </w:r>
      <w:r w:rsidR="008A41BF">
        <w:rPr>
          <w:rFonts w:ascii="Times New Roman" w:eastAsia="Times New Roman" w:hAnsi="Times New Roman" w:cs="Times New Roman"/>
          <w:i/>
          <w:iCs/>
          <w:color w:val="000000"/>
          <w:sz w:val="20"/>
          <w:szCs w:val="20"/>
        </w:rPr>
        <w:t>G</w:t>
      </w:r>
      <w:r w:rsidRPr="00782D22">
        <w:rPr>
          <w:rFonts w:ascii="Times New Roman" w:eastAsia="Times New Roman" w:hAnsi="Times New Roman" w:cs="Times New Roman"/>
          <w:i/>
          <w:iCs/>
          <w:color w:val="000000"/>
          <w:sz w:val="20"/>
          <w:szCs w:val="20"/>
          <w:lang w:val="vi-VN"/>
        </w:rPr>
        <w:t>iao dịch Chứng khoán TP. Hồ Chí Minh</w:t>
      </w:r>
      <w:r>
        <w:rPr>
          <w:rFonts w:ascii="Times New Roman" w:eastAsia="Times New Roman" w:hAnsi="Times New Roman" w:cs="Times New Roman"/>
          <w:i/>
          <w:iCs/>
          <w:color w:val="000000"/>
          <w:sz w:val="20"/>
          <w:szCs w:val="20"/>
        </w:rPr>
        <w:t xml:space="preserve"> và Hà Nội</w:t>
      </w:r>
      <w:r w:rsidRPr="00782D22">
        <w:rPr>
          <w:rFonts w:ascii="Times New Roman" w:eastAsia="Times New Roman" w:hAnsi="Times New Roman" w:cs="Times New Roman"/>
          <w:i/>
          <w:iCs/>
          <w:color w:val="000000"/>
          <w:sz w:val="20"/>
          <w:szCs w:val="20"/>
          <w:lang w:val="vi-VN"/>
        </w:rPr>
        <w:t xml:space="preserve"> trong suốt giai đoạn 20</w:t>
      </w:r>
      <w:r>
        <w:rPr>
          <w:rFonts w:ascii="Times New Roman" w:eastAsia="Times New Roman" w:hAnsi="Times New Roman" w:cs="Times New Roman"/>
          <w:i/>
          <w:iCs/>
          <w:color w:val="000000"/>
          <w:sz w:val="20"/>
          <w:szCs w:val="20"/>
        </w:rPr>
        <w:t>06</w:t>
      </w:r>
      <w:r w:rsidRPr="00782D22">
        <w:rPr>
          <w:rFonts w:ascii="Times New Roman" w:eastAsia="Times New Roman" w:hAnsi="Times New Roman" w:cs="Times New Roman"/>
          <w:i/>
          <w:iCs/>
          <w:color w:val="000000"/>
          <w:sz w:val="20"/>
          <w:szCs w:val="20"/>
          <w:lang w:val="vi-VN"/>
        </w:rPr>
        <w:t>-2024)</w:t>
      </w:r>
    </w:p>
    <w:p w14:paraId="71DB0BFD" w14:textId="5CE13017" w:rsidR="004105D7" w:rsidRPr="00360C0E" w:rsidRDefault="005A44A2" w:rsidP="005A44A2">
      <w:pPr>
        <w:pStyle w:val="NormalWeb"/>
        <w:spacing w:before="120" w:beforeAutospacing="0" w:after="0" w:afterAutospacing="0"/>
        <w:jc w:val="both"/>
        <w:rPr>
          <w:lang w:val="en-US"/>
        </w:rPr>
      </w:pPr>
      <w:r>
        <w:rPr>
          <w:lang w:val="en-US"/>
        </w:rPr>
        <w:t xml:space="preserve">Kết quả tại Bảng 1 cho thấy, </w:t>
      </w:r>
      <w:r w:rsidR="003366D2">
        <w:rPr>
          <w:lang w:val="en-US"/>
        </w:rPr>
        <w:t>các ngân hàng trong mẫu quan sát có t</w:t>
      </w:r>
      <w:r w:rsidR="004105D7" w:rsidRPr="008B67D2">
        <w:t>ỷ suất sinh lợi cổ phiếu</w:t>
      </w:r>
      <w:r w:rsidR="003366D2">
        <w:rPr>
          <w:lang w:val="en-US"/>
        </w:rPr>
        <w:t xml:space="preserve"> trung bình trong suốt giai đoạn quan sát </w:t>
      </w:r>
      <w:r w:rsidR="004105D7" w:rsidRPr="008B67D2">
        <w:t>7</w:t>
      </w:r>
      <w:proofErr w:type="gramStart"/>
      <w:r w:rsidR="004105D7" w:rsidRPr="008B67D2">
        <w:t>,42</w:t>
      </w:r>
      <w:proofErr w:type="gramEnd"/>
      <w:r w:rsidR="004105D7" w:rsidRPr="008B67D2">
        <w:t>%</w:t>
      </w:r>
      <w:r w:rsidR="003366D2">
        <w:rPr>
          <w:lang w:val="en-US"/>
        </w:rPr>
        <w:t xml:space="preserve">. Tuy nhiên, khá nhiều ngân hàng đạt được tỷ suất sinh lợi thấp do nhiều biến động thị trường và nhiều cú sốc trong nền kinh tế diễn ra </w:t>
      </w:r>
      <w:r>
        <w:rPr>
          <w:lang w:val="en-US"/>
        </w:rPr>
        <w:t>ở</w:t>
      </w:r>
      <w:r w:rsidR="003366D2">
        <w:rPr>
          <w:lang w:val="en-US"/>
        </w:rPr>
        <w:t xml:space="preserve"> giai đoạn 2006-2024.</w:t>
      </w:r>
      <w:r w:rsidR="00360C0E">
        <w:rPr>
          <w:lang w:val="en-US"/>
        </w:rPr>
        <w:t xml:space="preserve"> Tốc độ </w:t>
      </w:r>
      <w:r w:rsidR="004105D7" w:rsidRPr="008B67D2">
        <w:t xml:space="preserve">tăng trưởng tín dụng </w:t>
      </w:r>
      <w:r w:rsidR="00360C0E">
        <w:rPr>
          <w:lang w:val="en-US"/>
        </w:rPr>
        <w:t xml:space="preserve">trung bình đạt được </w:t>
      </w:r>
      <w:r w:rsidR="004105D7" w:rsidRPr="008B67D2">
        <w:t>22</w:t>
      </w:r>
      <w:proofErr w:type="gramStart"/>
      <w:r w:rsidR="004105D7" w:rsidRPr="008B67D2">
        <w:t>,85</w:t>
      </w:r>
      <w:proofErr w:type="gramEnd"/>
      <w:r w:rsidR="004105D7" w:rsidRPr="008B67D2">
        <w:t>%</w:t>
      </w:r>
      <w:r w:rsidR="00360C0E">
        <w:rPr>
          <w:lang w:val="en-US"/>
        </w:rPr>
        <w:t xml:space="preserve"> trong suốt giai đoạn đó. Tỷ lệ tài sản ngoài bảng cân đối kế toán </w:t>
      </w:r>
      <w:r w:rsidR="004105D7" w:rsidRPr="008B67D2">
        <w:t>có mức trung bình khá cao 33</w:t>
      </w:r>
      <w:proofErr w:type="gramStart"/>
      <w:r w:rsidR="004105D7" w:rsidRPr="008B67D2">
        <w:t>,27</w:t>
      </w:r>
      <w:proofErr w:type="gramEnd"/>
      <w:r w:rsidR="004105D7" w:rsidRPr="008B67D2">
        <w:t>%</w:t>
      </w:r>
      <w:r w:rsidR="00360C0E">
        <w:rPr>
          <w:lang w:val="en-US"/>
        </w:rPr>
        <w:t xml:space="preserve"> so với tổng tài sản,</w:t>
      </w:r>
      <w:r w:rsidR="004105D7" w:rsidRPr="008B67D2">
        <w:t xml:space="preserve"> </w:t>
      </w:r>
      <w:r w:rsidR="00360C0E">
        <w:rPr>
          <w:lang w:val="en-US"/>
        </w:rPr>
        <w:t xml:space="preserve">tiềm ẩn </w:t>
      </w:r>
      <w:r w:rsidR="004105D7" w:rsidRPr="008B67D2">
        <w:t>rủi ro trong hệ thống ngân hàng</w:t>
      </w:r>
      <w:r w:rsidR="00360C0E">
        <w:rPr>
          <w:lang w:val="en-US"/>
        </w:rPr>
        <w:t xml:space="preserve"> với các khoản mục chưa được công bố chi tiết, cụ thể. </w:t>
      </w:r>
      <w:r w:rsidR="006A6432">
        <w:rPr>
          <w:lang w:val="en-US"/>
        </w:rPr>
        <w:t>Tỷ số giá trị sổ sách trên giá trị thị trường trung bình đạt 0</w:t>
      </w:r>
      <w:proofErr w:type="gramStart"/>
      <w:r w:rsidR="006A6432">
        <w:rPr>
          <w:lang w:val="en-US"/>
        </w:rPr>
        <w:t>,7657</w:t>
      </w:r>
      <w:proofErr w:type="gramEnd"/>
      <w:r w:rsidR="006A6432">
        <w:rPr>
          <w:lang w:val="en-US"/>
        </w:rPr>
        <w:t xml:space="preserve">, thể hiện các cổ phiếu ngân hàng được thị trường đánh giá cao hơn so với giá trị sổ sách. </w:t>
      </w:r>
      <w:proofErr w:type="gramStart"/>
      <w:r w:rsidR="006A6432">
        <w:rPr>
          <w:lang w:val="en-US"/>
        </w:rPr>
        <w:t>Hơn thế nữa, các cổ phiếu ngân hàng có mức độ biến động thấp hơn so với mức độ biến động của thị trường, thể hiện qua hệ số beta của các ngân hàng thương mại.</w:t>
      </w:r>
      <w:proofErr w:type="gramEnd"/>
      <w:r w:rsidR="006A6432">
        <w:rPr>
          <w:lang w:val="en-US"/>
        </w:rPr>
        <w:t xml:space="preserve"> </w:t>
      </w:r>
    </w:p>
    <w:p w14:paraId="57F7624A" w14:textId="45FEC38A" w:rsidR="00257ED0" w:rsidRPr="008B67D2" w:rsidRDefault="00257ED0" w:rsidP="005A44A2">
      <w:pPr>
        <w:pStyle w:val="Danhmcbng"/>
        <w:spacing w:before="120" w:after="0" w:line="240" w:lineRule="auto"/>
        <w:rPr>
          <w:rFonts w:ascii="Times New Roman" w:hAnsi="Times New Roman" w:cs="Times New Roman"/>
          <w:sz w:val="24"/>
          <w:szCs w:val="24"/>
          <w:lang w:val="vi-VN"/>
        </w:rPr>
      </w:pPr>
      <w:bookmarkStart w:id="6" w:name="_Toc196549860"/>
      <w:bookmarkStart w:id="7" w:name="_Toc197586456"/>
      <w:bookmarkStart w:id="8" w:name="_Toc197586721"/>
      <w:bookmarkStart w:id="9" w:name="_Toc197726425"/>
      <w:bookmarkStart w:id="10" w:name="_Toc197726521"/>
      <w:r w:rsidRPr="008B67D2">
        <w:rPr>
          <w:rFonts w:ascii="Times New Roman" w:hAnsi="Times New Roman" w:cs="Times New Roman"/>
          <w:sz w:val="24"/>
          <w:szCs w:val="24"/>
          <w:lang w:val="vi-VN"/>
        </w:rPr>
        <w:t>Bả</w:t>
      </w:r>
      <w:r w:rsidR="000467FD" w:rsidRPr="008B67D2">
        <w:rPr>
          <w:rFonts w:ascii="Times New Roman" w:hAnsi="Times New Roman" w:cs="Times New Roman"/>
          <w:sz w:val="24"/>
          <w:szCs w:val="24"/>
          <w:lang w:val="vi-VN"/>
        </w:rPr>
        <w:t xml:space="preserve">ng </w:t>
      </w:r>
      <w:r w:rsidR="005B01E1">
        <w:rPr>
          <w:rFonts w:ascii="Times New Roman" w:hAnsi="Times New Roman" w:cs="Times New Roman"/>
          <w:sz w:val="24"/>
          <w:szCs w:val="24"/>
        </w:rPr>
        <w:t>3</w:t>
      </w:r>
      <w:r w:rsidR="005A44A2">
        <w:rPr>
          <w:rFonts w:ascii="Times New Roman" w:hAnsi="Times New Roman" w:cs="Times New Roman"/>
          <w:sz w:val="24"/>
          <w:szCs w:val="24"/>
        </w:rPr>
        <w:t>.</w:t>
      </w:r>
      <w:r w:rsidRPr="008B67D2">
        <w:rPr>
          <w:rFonts w:ascii="Times New Roman" w:hAnsi="Times New Roman" w:cs="Times New Roman"/>
          <w:sz w:val="24"/>
          <w:szCs w:val="24"/>
          <w:lang w:val="vi-VN"/>
        </w:rPr>
        <w:t xml:space="preserve"> Ma trận hệ số tương quan</w:t>
      </w:r>
      <w:bookmarkEnd w:id="6"/>
      <w:bookmarkEnd w:id="7"/>
      <w:bookmarkEnd w:id="8"/>
      <w:bookmarkEnd w:id="9"/>
      <w:bookmarkEnd w:id="10"/>
    </w:p>
    <w:tbl>
      <w:tblPr>
        <w:tblW w:w="9423" w:type="dxa"/>
        <w:jc w:val="center"/>
        <w:tblLayout w:type="fixed"/>
        <w:tblCellMar>
          <w:top w:w="15" w:type="dxa"/>
          <w:left w:w="15" w:type="dxa"/>
          <w:bottom w:w="15" w:type="dxa"/>
          <w:right w:w="15" w:type="dxa"/>
        </w:tblCellMar>
        <w:tblLook w:val="04A0" w:firstRow="1" w:lastRow="0" w:firstColumn="1" w:lastColumn="0" w:noHBand="0" w:noVBand="1"/>
      </w:tblPr>
      <w:tblGrid>
        <w:gridCol w:w="1408"/>
        <w:gridCol w:w="1276"/>
        <w:gridCol w:w="1275"/>
        <w:gridCol w:w="1418"/>
        <w:gridCol w:w="1348"/>
        <w:gridCol w:w="1349"/>
        <w:gridCol w:w="1349"/>
      </w:tblGrid>
      <w:tr w:rsidR="00257ED0" w:rsidRPr="008B67D2" w14:paraId="68344CB6"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8829AE8" w14:textId="77777777" w:rsidR="00257ED0" w:rsidRPr="008B67D2" w:rsidRDefault="00257ED0" w:rsidP="005A44A2">
            <w:pPr>
              <w:spacing w:before="120" w:after="0" w:line="240" w:lineRule="auto"/>
              <w:rPr>
                <w:rFonts w:ascii="Times New Roman" w:eastAsia="Times New Roman" w:hAnsi="Times New Roman" w:cs="Times New Roman"/>
                <w:sz w:val="24"/>
                <w:szCs w:val="24"/>
                <w:lang w:val="vi-VN"/>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7D90F2" w14:textId="77777777" w:rsidR="00257ED0" w:rsidRPr="008B67D2" w:rsidRDefault="00257ED0" w:rsidP="005A44A2">
            <w:pPr>
              <w:spacing w:before="120" w:after="0" w:line="240" w:lineRule="auto"/>
              <w:ind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SR</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2E6583" w14:textId="77777777" w:rsidR="00257ED0" w:rsidRPr="008B67D2" w:rsidRDefault="00257ED0" w:rsidP="005A44A2">
            <w:pPr>
              <w:spacing w:before="120" w:after="0" w:line="240" w:lineRule="auto"/>
              <w:ind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CREDIT</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F92504" w14:textId="77777777" w:rsidR="00257ED0" w:rsidRPr="008B67D2" w:rsidRDefault="00257ED0" w:rsidP="005A44A2">
            <w:pPr>
              <w:spacing w:before="120" w:after="0" w:line="240" w:lineRule="auto"/>
              <w:ind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OPACITY</w:t>
            </w: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0DB66F" w14:textId="77777777" w:rsidR="00257ED0" w:rsidRPr="008B67D2" w:rsidRDefault="00257ED0" w:rsidP="005A44A2">
            <w:pPr>
              <w:spacing w:before="120" w:after="0" w:line="240" w:lineRule="auto"/>
              <w:ind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BETA</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1CB211" w14:textId="77777777" w:rsidR="00257ED0" w:rsidRPr="008B67D2" w:rsidRDefault="00257ED0" w:rsidP="005A44A2">
            <w:pPr>
              <w:spacing w:before="120" w:after="0" w:line="240" w:lineRule="auto"/>
              <w:ind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BM</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E805D4" w14:textId="77777777" w:rsidR="00257ED0" w:rsidRPr="008B67D2" w:rsidRDefault="00257ED0" w:rsidP="005A44A2">
            <w:pPr>
              <w:spacing w:before="120" w:after="0" w:line="240" w:lineRule="auto"/>
              <w:ind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SIZE</w:t>
            </w:r>
          </w:p>
        </w:tc>
      </w:tr>
      <w:tr w:rsidR="00257ED0" w:rsidRPr="008B67D2" w14:paraId="7B57E5F8"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6FD2E3" w14:textId="77777777" w:rsidR="00257ED0" w:rsidRPr="008B67D2" w:rsidRDefault="00257ED0" w:rsidP="005A44A2">
            <w:pPr>
              <w:spacing w:before="120" w:after="0" w:line="240" w:lineRule="auto"/>
              <w:ind w:right="140"/>
              <w:jc w:val="both"/>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SR</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FA101B" w14:textId="6623A3A4"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0000</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4893C8" w14:textId="29E591F7"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5A2D6F" w14:textId="671D8313"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8DC3A1" w14:textId="723A61A4"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796DC32" w14:textId="44C0C671"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8A2270" w14:textId="3289AC40"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r>
      <w:tr w:rsidR="00257ED0" w:rsidRPr="008B67D2" w14:paraId="7FA24F3D"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1E5FA4" w14:textId="77777777" w:rsidR="00257ED0" w:rsidRPr="008B67D2" w:rsidRDefault="00257ED0" w:rsidP="005A44A2">
            <w:pPr>
              <w:spacing w:before="120" w:after="0" w:line="240" w:lineRule="auto"/>
              <w:ind w:right="140"/>
              <w:jc w:val="both"/>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CREDIT</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647FCDC" w14:textId="03A9EFA8"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2113</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BC3527" w14:textId="29823181"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0000</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4FD99B" w14:textId="66A1ECDD"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5BF13D" w14:textId="6D08BD6A"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429A82" w14:textId="03577144"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F2E55E8" w14:textId="4CA0E497"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r>
      <w:tr w:rsidR="00257ED0" w:rsidRPr="008B67D2" w14:paraId="6C7BE621"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C6CC93" w14:textId="77777777" w:rsidR="00257ED0" w:rsidRPr="008B67D2" w:rsidRDefault="00257ED0" w:rsidP="005A44A2">
            <w:pPr>
              <w:spacing w:before="120" w:after="0" w:line="240" w:lineRule="auto"/>
              <w:ind w:right="140"/>
              <w:jc w:val="both"/>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OPACITY</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5A2EF28" w14:textId="3F2786B5"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0180</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BD9D82" w14:textId="7CF5F7C7"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1427</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50651B" w14:textId="6667D473"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0000</w:t>
            </w: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43B7B0" w14:textId="536E591C"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EAD6F2" w14:textId="4B5D625C"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44CD11" w14:textId="58933F6F"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r>
      <w:tr w:rsidR="00257ED0" w:rsidRPr="008B67D2" w14:paraId="395BBD17"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3881D6" w14:textId="77777777" w:rsidR="00257ED0" w:rsidRPr="008B67D2" w:rsidRDefault="00257ED0" w:rsidP="005A44A2">
            <w:pPr>
              <w:spacing w:before="120" w:after="0" w:line="240" w:lineRule="auto"/>
              <w:ind w:right="140"/>
              <w:jc w:val="both"/>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BETA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D9E6B3" w14:textId="25C341D3"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0623</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7459CF" w14:textId="535C9DEA"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1127</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A652E9" w14:textId="275652C7"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1572</w:t>
            </w: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DC78019" w14:textId="1DDCCA9A"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0000</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8A158D" w14:textId="23F56143"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1698D3A" w14:textId="17A11C50"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r>
      <w:tr w:rsidR="00257ED0" w:rsidRPr="008B67D2" w14:paraId="180EA21A"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F71FF17" w14:textId="77777777" w:rsidR="00257ED0" w:rsidRPr="008B67D2" w:rsidRDefault="00257ED0" w:rsidP="005A44A2">
            <w:pPr>
              <w:spacing w:before="120" w:after="0" w:line="240" w:lineRule="auto"/>
              <w:ind w:right="140"/>
              <w:jc w:val="both"/>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BM</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53BFC4" w14:textId="5C2F44D0"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3664</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F094B3" w14:textId="0E311D2D"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0294</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857057" w14:textId="19EC4DB7"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2626</w:t>
            </w: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33A739" w14:textId="7056A393"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0126</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A32BF3" w14:textId="017DBC5A"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0000</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D9AEAA" w14:textId="1AC7DBCB"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p>
        </w:tc>
      </w:tr>
      <w:tr w:rsidR="00257ED0" w:rsidRPr="008B67D2" w14:paraId="6BE31EE6" w14:textId="77777777" w:rsidTr="006A6432">
        <w:trPr>
          <w:trHeight w:val="270"/>
          <w:jc w:val="center"/>
        </w:trPr>
        <w:tc>
          <w:tcPr>
            <w:tcW w:w="140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6D7A1E" w14:textId="77777777" w:rsidR="00257ED0" w:rsidRPr="008B67D2" w:rsidRDefault="00257ED0" w:rsidP="005A44A2">
            <w:pPr>
              <w:spacing w:before="120" w:after="0" w:line="240" w:lineRule="auto"/>
              <w:ind w:right="140"/>
              <w:jc w:val="both"/>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lastRenderedPageBreak/>
              <w:t>SIZE</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F28CFD" w14:textId="0619EB3B"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1097</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17B9AC" w14:textId="5DB085AF"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0482</w:t>
            </w:r>
          </w:p>
        </w:tc>
        <w:tc>
          <w:tcPr>
            <w:tcW w:w="14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3AEDBF" w14:textId="33DC5158"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0293</w:t>
            </w:r>
          </w:p>
        </w:tc>
        <w:tc>
          <w:tcPr>
            <w:tcW w:w="13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BFB8AA" w14:textId="71950E6E"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0921</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1C2A65" w14:textId="16FF9AE8"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-0</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1729</w:t>
            </w:r>
          </w:p>
        </w:tc>
        <w:tc>
          <w:tcPr>
            <w:tcW w:w="134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936052" w14:textId="31BE9A47" w:rsidR="00257ED0" w:rsidRPr="008B67D2" w:rsidRDefault="00257ED0" w:rsidP="005A44A2">
            <w:pPr>
              <w:spacing w:before="120" w:after="0" w:line="240" w:lineRule="auto"/>
              <w:ind w:left="140" w:right="140"/>
              <w:jc w:val="center"/>
              <w:rPr>
                <w:rFonts w:ascii="Times New Roman" w:eastAsia="Times New Roman" w:hAnsi="Times New Roman" w:cs="Times New Roman"/>
                <w:sz w:val="24"/>
                <w:szCs w:val="24"/>
              </w:rPr>
            </w:pPr>
            <w:r w:rsidRPr="008B67D2">
              <w:rPr>
                <w:rFonts w:ascii="Times New Roman" w:eastAsia="Times New Roman" w:hAnsi="Times New Roman" w:cs="Times New Roman"/>
                <w:sz w:val="24"/>
                <w:szCs w:val="24"/>
              </w:rPr>
              <w:t>1</w:t>
            </w:r>
            <w:r w:rsidR="00D8372F">
              <w:rPr>
                <w:rFonts w:ascii="Times New Roman" w:eastAsia="Times New Roman" w:hAnsi="Times New Roman" w:cs="Times New Roman"/>
                <w:sz w:val="24"/>
                <w:szCs w:val="24"/>
              </w:rPr>
              <w:t>,</w:t>
            </w:r>
            <w:r w:rsidRPr="008B67D2">
              <w:rPr>
                <w:rFonts w:ascii="Times New Roman" w:eastAsia="Times New Roman" w:hAnsi="Times New Roman" w:cs="Times New Roman"/>
                <w:sz w:val="24"/>
                <w:szCs w:val="24"/>
              </w:rPr>
              <w:t>0000</w:t>
            </w:r>
          </w:p>
        </w:tc>
      </w:tr>
    </w:tbl>
    <w:p w14:paraId="03255A2A" w14:textId="77777777" w:rsidR="00257ED0" w:rsidRPr="008B67D2" w:rsidRDefault="00257ED0" w:rsidP="005A44A2">
      <w:pPr>
        <w:spacing w:before="120" w:after="0" w:line="240" w:lineRule="auto"/>
        <w:jc w:val="right"/>
        <w:rPr>
          <w:rFonts w:ascii="Times New Roman" w:eastAsia="Times New Roman" w:hAnsi="Times New Roman" w:cs="Times New Roman"/>
          <w:sz w:val="24"/>
          <w:szCs w:val="24"/>
        </w:rPr>
      </w:pPr>
      <w:r w:rsidRPr="008B67D2">
        <w:rPr>
          <w:rFonts w:ascii="Times New Roman" w:eastAsia="Times New Roman" w:hAnsi="Times New Roman" w:cs="Times New Roman"/>
          <w:i/>
          <w:iCs/>
          <w:sz w:val="24"/>
          <w:szCs w:val="24"/>
        </w:rPr>
        <w:t xml:space="preserve">Nguồn: Số liệu được tác giả tính toán từ phần mềm Stata 17 </w:t>
      </w:r>
    </w:p>
    <w:p w14:paraId="302931A6" w14:textId="59A04F29" w:rsidR="00F73D7C" w:rsidRPr="00F73D7C" w:rsidRDefault="00F73D7C" w:rsidP="005A44A2">
      <w:pPr>
        <w:spacing w:before="120" w:after="0" w:line="240" w:lineRule="auto"/>
        <w:jc w:val="both"/>
        <w:rPr>
          <w:rFonts w:ascii="Times New Roman" w:eastAsia="Times New Roman" w:hAnsi="Times New Roman" w:cs="Times New Roman"/>
          <w:sz w:val="24"/>
          <w:szCs w:val="24"/>
        </w:rPr>
      </w:pPr>
      <w:r w:rsidRPr="00782D22">
        <w:rPr>
          <w:rFonts w:ascii="Times New Roman" w:eastAsia="Times New Roman" w:hAnsi="Times New Roman" w:cs="Times New Roman"/>
          <w:i/>
          <w:iCs/>
          <w:color w:val="000000"/>
          <w:sz w:val="20"/>
          <w:szCs w:val="20"/>
          <w:lang w:val="vi-VN"/>
        </w:rPr>
        <w:t xml:space="preserve">(Số liệu được </w:t>
      </w:r>
      <w:r>
        <w:rPr>
          <w:rFonts w:ascii="Times New Roman" w:eastAsia="Times New Roman" w:hAnsi="Times New Roman" w:cs="Times New Roman"/>
          <w:i/>
          <w:iCs/>
          <w:color w:val="000000"/>
          <w:sz w:val="20"/>
          <w:szCs w:val="20"/>
        </w:rPr>
        <w:t>xử lý</w:t>
      </w:r>
      <w:r w:rsidRPr="00782D22">
        <w:rPr>
          <w:rFonts w:ascii="Times New Roman" w:eastAsia="Times New Roman" w:hAnsi="Times New Roman" w:cs="Times New Roman"/>
          <w:i/>
          <w:iCs/>
          <w:color w:val="000000"/>
          <w:sz w:val="20"/>
          <w:szCs w:val="20"/>
          <w:lang w:val="vi-VN"/>
        </w:rPr>
        <w:t xml:space="preserve"> qua phần mềm Stata 17 với dữ liệu 1</w:t>
      </w:r>
      <w:r>
        <w:rPr>
          <w:rFonts w:ascii="Times New Roman" w:eastAsia="Times New Roman" w:hAnsi="Times New Roman" w:cs="Times New Roman"/>
          <w:i/>
          <w:iCs/>
          <w:color w:val="000000"/>
          <w:sz w:val="20"/>
          <w:szCs w:val="20"/>
        </w:rPr>
        <w:t>9</w:t>
      </w:r>
      <w:r w:rsidRPr="00782D22">
        <w:rPr>
          <w:rFonts w:ascii="Times New Roman" w:eastAsia="Times New Roman" w:hAnsi="Times New Roman" w:cs="Times New Roman"/>
          <w:i/>
          <w:iCs/>
          <w:color w:val="000000"/>
          <w:sz w:val="20"/>
          <w:szCs w:val="20"/>
          <w:lang w:val="vi-VN"/>
        </w:rPr>
        <w:t xml:space="preserve"> </w:t>
      </w:r>
      <w:r>
        <w:rPr>
          <w:rFonts w:ascii="Times New Roman" w:eastAsia="Times New Roman" w:hAnsi="Times New Roman" w:cs="Times New Roman"/>
          <w:i/>
          <w:iCs/>
          <w:color w:val="000000"/>
          <w:sz w:val="20"/>
          <w:szCs w:val="20"/>
        </w:rPr>
        <w:t>ngân hàng</w:t>
      </w:r>
      <w:r w:rsidRPr="00782D22">
        <w:rPr>
          <w:rFonts w:ascii="Times New Roman" w:eastAsia="Times New Roman" w:hAnsi="Times New Roman" w:cs="Times New Roman"/>
          <w:i/>
          <w:iCs/>
          <w:color w:val="000000"/>
          <w:sz w:val="20"/>
          <w:szCs w:val="20"/>
          <w:lang w:val="vi-VN"/>
        </w:rPr>
        <w:t xml:space="preserve"> niêm yết ở Sở </w:t>
      </w:r>
      <w:r w:rsidR="008A41BF">
        <w:rPr>
          <w:rFonts w:ascii="Times New Roman" w:eastAsia="Times New Roman" w:hAnsi="Times New Roman" w:cs="Times New Roman"/>
          <w:i/>
          <w:iCs/>
          <w:color w:val="000000"/>
          <w:sz w:val="20"/>
          <w:szCs w:val="20"/>
        </w:rPr>
        <w:t>G</w:t>
      </w:r>
      <w:r w:rsidRPr="00782D22">
        <w:rPr>
          <w:rFonts w:ascii="Times New Roman" w:eastAsia="Times New Roman" w:hAnsi="Times New Roman" w:cs="Times New Roman"/>
          <w:i/>
          <w:iCs/>
          <w:color w:val="000000"/>
          <w:sz w:val="20"/>
          <w:szCs w:val="20"/>
          <w:lang w:val="vi-VN"/>
        </w:rPr>
        <w:t>iao dịch Chứng khoán TP. Hồ Chí Minh</w:t>
      </w:r>
      <w:r>
        <w:rPr>
          <w:rFonts w:ascii="Times New Roman" w:eastAsia="Times New Roman" w:hAnsi="Times New Roman" w:cs="Times New Roman"/>
          <w:i/>
          <w:iCs/>
          <w:color w:val="000000"/>
          <w:sz w:val="20"/>
          <w:szCs w:val="20"/>
        </w:rPr>
        <w:t xml:space="preserve"> và Hà Nội</w:t>
      </w:r>
      <w:r w:rsidRPr="00782D22">
        <w:rPr>
          <w:rFonts w:ascii="Times New Roman" w:eastAsia="Times New Roman" w:hAnsi="Times New Roman" w:cs="Times New Roman"/>
          <w:i/>
          <w:iCs/>
          <w:color w:val="000000"/>
          <w:sz w:val="20"/>
          <w:szCs w:val="20"/>
          <w:lang w:val="vi-VN"/>
        </w:rPr>
        <w:t xml:space="preserve"> trong suốt giai đoạn 20</w:t>
      </w:r>
      <w:r>
        <w:rPr>
          <w:rFonts w:ascii="Times New Roman" w:eastAsia="Times New Roman" w:hAnsi="Times New Roman" w:cs="Times New Roman"/>
          <w:i/>
          <w:iCs/>
          <w:color w:val="000000"/>
          <w:sz w:val="20"/>
          <w:szCs w:val="20"/>
        </w:rPr>
        <w:t>06</w:t>
      </w:r>
      <w:r w:rsidRPr="00782D22">
        <w:rPr>
          <w:rFonts w:ascii="Times New Roman" w:eastAsia="Times New Roman" w:hAnsi="Times New Roman" w:cs="Times New Roman"/>
          <w:i/>
          <w:iCs/>
          <w:color w:val="000000"/>
          <w:sz w:val="20"/>
          <w:szCs w:val="20"/>
          <w:lang w:val="vi-VN"/>
        </w:rPr>
        <w:t>-2024)</w:t>
      </w:r>
    </w:p>
    <w:p w14:paraId="4605178D" w14:textId="4784C7F4" w:rsidR="000467FD" w:rsidRPr="001B62C3" w:rsidRDefault="00257ED0" w:rsidP="005A44A2">
      <w:pPr>
        <w:widowControl w:val="0"/>
        <w:kinsoku w:val="0"/>
        <w:autoSpaceDE w:val="0"/>
        <w:autoSpaceDN w:val="0"/>
        <w:adjustRightInd w:val="0"/>
        <w:spacing w:before="120" w:after="0" w:line="240" w:lineRule="auto"/>
        <w:ind w:right="20"/>
        <w:jc w:val="both"/>
        <w:textAlignment w:val="baseline"/>
        <w:rPr>
          <w:rFonts w:ascii="Times New Roman" w:hAnsi="Times New Roman" w:cs="Times New Roman"/>
          <w:noProof/>
          <w:color w:val="000000"/>
          <w:sz w:val="24"/>
          <w:szCs w:val="24"/>
        </w:rPr>
      </w:pPr>
      <w:proofErr w:type="gramStart"/>
      <w:r w:rsidRPr="00D8372F">
        <w:rPr>
          <w:rFonts w:ascii="Times New Roman" w:hAnsi="Times New Roman" w:cs="Times New Roman"/>
          <w:noProof/>
          <w:color w:val="000000"/>
          <w:sz w:val="24"/>
          <w:szCs w:val="24"/>
        </w:rPr>
        <w:t>Nhóm</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tác</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giả</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nhận</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thấy</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hệ</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số</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tương</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quan</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giữa</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các</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biến</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độc</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lập</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trong</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mô</w:t>
      </w:r>
      <w:r w:rsidRPr="00D8372F">
        <w:rPr>
          <w:rFonts w:ascii="Times New Roman" w:hAnsi="Times New Roman" w:cs="Times New Roman"/>
          <w:color w:val="000000"/>
          <w:w w:val="87"/>
          <w:sz w:val="24"/>
          <w:szCs w:val="24"/>
        </w:rPr>
        <w:t xml:space="preserve"> </w:t>
      </w:r>
      <w:r w:rsidRPr="00D8372F">
        <w:rPr>
          <w:rFonts w:ascii="Times New Roman" w:hAnsi="Times New Roman" w:cs="Times New Roman"/>
          <w:noProof/>
          <w:color w:val="000000"/>
          <w:sz w:val="24"/>
          <w:szCs w:val="24"/>
        </w:rPr>
        <w:t>hình</w:t>
      </w:r>
      <w:r w:rsidRPr="00D8372F">
        <w:rPr>
          <w:rFonts w:ascii="Times New Roman" w:hAnsi="Times New Roman" w:cs="Times New Roman"/>
          <w:color w:val="000000"/>
          <w:sz w:val="24"/>
          <w:szCs w:val="24"/>
        </w:rPr>
        <w:t xml:space="preserve"> </w:t>
      </w:r>
      <w:r w:rsidRPr="00D8372F">
        <w:rPr>
          <w:rFonts w:ascii="Times New Roman" w:hAnsi="Times New Roman" w:cs="Times New Roman"/>
          <w:noProof/>
          <w:color w:val="000000"/>
          <w:sz w:val="24"/>
          <w:szCs w:val="24"/>
        </w:rPr>
        <w:t>đề</w:t>
      </w:r>
      <w:r w:rsidRPr="00D8372F">
        <w:rPr>
          <w:rFonts w:ascii="Times New Roman" w:hAnsi="Times New Roman" w:cs="Times New Roman"/>
          <w:noProof/>
          <w:color w:val="000000"/>
          <w:spacing w:val="1"/>
          <w:sz w:val="24"/>
          <w:szCs w:val="24"/>
        </w:rPr>
        <w:t>u</w:t>
      </w:r>
      <w:r w:rsidRPr="00D8372F">
        <w:rPr>
          <w:rFonts w:ascii="Times New Roman" w:hAnsi="Times New Roman" w:cs="Times New Roman"/>
          <w:color w:val="000000"/>
          <w:spacing w:val="1"/>
          <w:w w:val="90"/>
          <w:sz w:val="24"/>
          <w:szCs w:val="24"/>
        </w:rPr>
        <w:t xml:space="preserve"> </w:t>
      </w:r>
      <w:r w:rsidRPr="00D8372F">
        <w:rPr>
          <w:rFonts w:ascii="Times New Roman" w:hAnsi="Times New Roman" w:cs="Times New Roman"/>
          <w:noProof/>
          <w:color w:val="000000"/>
          <w:sz w:val="24"/>
          <w:szCs w:val="24"/>
        </w:rPr>
        <w:t>nhỏ</w:t>
      </w:r>
      <w:r w:rsidRPr="00D8372F">
        <w:rPr>
          <w:rFonts w:ascii="Times New Roman" w:hAnsi="Times New Roman" w:cs="Times New Roman"/>
          <w:color w:val="000000"/>
          <w:spacing w:val="1"/>
          <w:w w:val="90"/>
          <w:sz w:val="24"/>
          <w:szCs w:val="24"/>
        </w:rPr>
        <w:t xml:space="preserve"> </w:t>
      </w:r>
      <w:r w:rsidRPr="00D8372F">
        <w:rPr>
          <w:rFonts w:ascii="Times New Roman" w:hAnsi="Times New Roman" w:cs="Times New Roman"/>
          <w:noProof/>
          <w:color w:val="000000"/>
          <w:sz w:val="24"/>
          <w:szCs w:val="24"/>
        </w:rPr>
        <w:t>hơn</w:t>
      </w:r>
      <w:r w:rsidRPr="00D8372F">
        <w:rPr>
          <w:rFonts w:ascii="Times New Roman" w:hAnsi="Times New Roman" w:cs="Times New Roman"/>
          <w:color w:val="000000"/>
          <w:w w:val="90"/>
          <w:sz w:val="24"/>
          <w:szCs w:val="24"/>
        </w:rPr>
        <w:t xml:space="preserve"> </w:t>
      </w:r>
      <w:r w:rsidRPr="00D8372F">
        <w:rPr>
          <w:rFonts w:ascii="Times New Roman" w:hAnsi="Times New Roman" w:cs="Times New Roman"/>
          <w:noProof/>
          <w:color w:val="000000"/>
          <w:sz w:val="24"/>
          <w:szCs w:val="24"/>
        </w:rPr>
        <w:t>0</w:t>
      </w:r>
      <w:r w:rsidR="00D8372F" w:rsidRPr="00D8372F">
        <w:rPr>
          <w:rFonts w:ascii="Times New Roman" w:hAnsi="Times New Roman" w:cs="Times New Roman"/>
          <w:noProof/>
          <w:color w:val="000000"/>
          <w:sz w:val="24"/>
          <w:szCs w:val="24"/>
        </w:rPr>
        <w:t>,</w:t>
      </w:r>
      <w:r w:rsidRPr="00D8372F">
        <w:rPr>
          <w:rFonts w:ascii="Times New Roman" w:hAnsi="Times New Roman" w:cs="Times New Roman"/>
          <w:noProof/>
          <w:color w:val="000000"/>
          <w:sz w:val="24"/>
          <w:szCs w:val="24"/>
        </w:rPr>
        <w:t>8</w:t>
      </w:r>
      <w:r w:rsidR="00D8372F" w:rsidRPr="00D8372F">
        <w:rPr>
          <w:rFonts w:ascii="Times New Roman" w:hAnsi="Times New Roman" w:cs="Times New Roman"/>
          <w:noProof/>
          <w:color w:val="000000"/>
          <w:sz w:val="24"/>
          <w:szCs w:val="24"/>
        </w:rPr>
        <w:t xml:space="preserve">, nên </w:t>
      </w:r>
      <w:r w:rsidRPr="00D8372F">
        <w:rPr>
          <w:rFonts w:ascii="Times New Roman" w:hAnsi="Times New Roman" w:cs="Times New Roman"/>
          <w:noProof/>
          <w:color w:val="000000"/>
          <w:sz w:val="24"/>
          <w:szCs w:val="24"/>
        </w:rPr>
        <w:t>không xảy ra hiện tượng</w:t>
      </w:r>
      <w:r w:rsidRPr="00D8372F">
        <w:rPr>
          <w:rFonts w:ascii="Times New Roman" w:hAnsi="Times New Roman" w:cs="Times New Roman"/>
          <w:color w:val="000000"/>
          <w:w w:val="90"/>
          <w:sz w:val="24"/>
          <w:szCs w:val="24"/>
        </w:rPr>
        <w:t xml:space="preserve"> </w:t>
      </w:r>
      <w:r w:rsidRPr="00D8372F">
        <w:rPr>
          <w:rFonts w:ascii="Times New Roman" w:hAnsi="Times New Roman" w:cs="Times New Roman"/>
          <w:noProof/>
          <w:color w:val="000000"/>
          <w:sz w:val="24"/>
          <w:szCs w:val="24"/>
        </w:rPr>
        <w:t>đa</w:t>
      </w:r>
      <w:r w:rsidRPr="00D8372F">
        <w:rPr>
          <w:rFonts w:ascii="Times New Roman" w:hAnsi="Times New Roman" w:cs="Times New Roman"/>
          <w:color w:val="000000"/>
          <w:w w:val="90"/>
          <w:sz w:val="24"/>
          <w:szCs w:val="24"/>
        </w:rPr>
        <w:t xml:space="preserve"> </w:t>
      </w:r>
      <w:r w:rsidRPr="00D8372F">
        <w:rPr>
          <w:rFonts w:ascii="Times New Roman" w:hAnsi="Times New Roman" w:cs="Times New Roman"/>
          <w:noProof/>
          <w:color w:val="000000"/>
          <w:spacing w:val="1"/>
          <w:sz w:val="24"/>
          <w:szCs w:val="24"/>
        </w:rPr>
        <w:t>c</w:t>
      </w:r>
      <w:r w:rsidRPr="00D8372F">
        <w:rPr>
          <w:rFonts w:ascii="Times New Roman" w:hAnsi="Times New Roman" w:cs="Times New Roman"/>
          <w:noProof/>
          <w:color w:val="000000"/>
          <w:sz w:val="24"/>
          <w:szCs w:val="24"/>
        </w:rPr>
        <w:t>ộng</w:t>
      </w:r>
      <w:r w:rsidRPr="00D8372F">
        <w:rPr>
          <w:rFonts w:ascii="Times New Roman" w:hAnsi="Times New Roman" w:cs="Times New Roman"/>
          <w:color w:val="000000"/>
          <w:w w:val="90"/>
          <w:sz w:val="24"/>
          <w:szCs w:val="24"/>
        </w:rPr>
        <w:t xml:space="preserve"> </w:t>
      </w:r>
      <w:r w:rsidRPr="00D8372F">
        <w:rPr>
          <w:rFonts w:ascii="Times New Roman" w:hAnsi="Times New Roman" w:cs="Times New Roman"/>
          <w:noProof/>
          <w:color w:val="000000"/>
          <w:sz w:val="24"/>
          <w:szCs w:val="24"/>
        </w:rPr>
        <w:t>tuyến</w:t>
      </w:r>
      <w:r w:rsidRPr="00D8372F">
        <w:rPr>
          <w:rFonts w:ascii="Times New Roman" w:hAnsi="Times New Roman" w:cs="Times New Roman"/>
          <w:color w:val="000000"/>
          <w:w w:val="90"/>
          <w:sz w:val="24"/>
          <w:szCs w:val="24"/>
        </w:rPr>
        <w:t xml:space="preserve"> </w:t>
      </w:r>
      <w:r w:rsidRPr="00D8372F">
        <w:rPr>
          <w:rFonts w:ascii="Times New Roman" w:hAnsi="Times New Roman" w:cs="Times New Roman"/>
          <w:noProof/>
          <w:color w:val="000000"/>
          <w:sz w:val="24"/>
          <w:szCs w:val="24"/>
        </w:rPr>
        <w:t>nghiêm trọng làm ảnh hưởng đến kết quả nghiên cứu.</w:t>
      </w:r>
      <w:proofErr w:type="gramEnd"/>
      <w:r w:rsidRPr="00D8372F">
        <w:rPr>
          <w:rFonts w:ascii="Times New Roman" w:hAnsi="Times New Roman" w:cs="Times New Roman"/>
          <w:noProof/>
          <w:color w:val="000000"/>
          <w:sz w:val="24"/>
          <w:szCs w:val="24"/>
        </w:rPr>
        <w:t xml:space="preserve"> Nhóm tác giả cũng nhận thấy</w:t>
      </w:r>
      <w:r w:rsidR="005A44A2">
        <w:rPr>
          <w:rFonts w:ascii="Times New Roman" w:hAnsi="Times New Roman" w:cs="Times New Roman"/>
          <w:noProof/>
          <w:color w:val="000000"/>
          <w:sz w:val="24"/>
          <w:szCs w:val="24"/>
        </w:rPr>
        <w:t>,</w:t>
      </w:r>
      <w:r w:rsidRPr="00D8372F">
        <w:rPr>
          <w:rFonts w:ascii="Times New Roman" w:hAnsi="Times New Roman" w:cs="Times New Roman"/>
          <w:noProof/>
          <w:color w:val="000000"/>
          <w:sz w:val="24"/>
          <w:szCs w:val="24"/>
        </w:rPr>
        <w:t xml:space="preserve"> </w:t>
      </w:r>
      <w:r w:rsidR="000467FD" w:rsidRPr="00D8372F">
        <w:rPr>
          <w:rFonts w:ascii="Times New Roman" w:hAnsi="Times New Roman" w:cs="Times New Roman"/>
          <w:noProof/>
          <w:color w:val="000000"/>
          <w:sz w:val="24"/>
          <w:szCs w:val="24"/>
        </w:rPr>
        <w:t>tỷ suất sinh lợi</w:t>
      </w:r>
      <w:r w:rsidR="00306B82">
        <w:rPr>
          <w:rFonts w:ascii="Times New Roman" w:hAnsi="Times New Roman" w:cs="Times New Roman"/>
          <w:noProof/>
          <w:color w:val="000000"/>
          <w:sz w:val="24"/>
          <w:szCs w:val="24"/>
        </w:rPr>
        <w:t xml:space="preserve"> cổ phiếu</w:t>
      </w:r>
      <w:r w:rsidR="000467FD" w:rsidRPr="00D8372F">
        <w:rPr>
          <w:rFonts w:ascii="Times New Roman" w:hAnsi="Times New Roman" w:cs="Times New Roman"/>
          <w:noProof/>
          <w:color w:val="000000"/>
          <w:sz w:val="24"/>
          <w:szCs w:val="24"/>
        </w:rPr>
        <w:t xml:space="preserve"> có tương quan </w:t>
      </w:r>
      <w:r w:rsidR="000467FD" w:rsidRPr="00D8372F">
        <w:rPr>
          <w:rFonts w:ascii="Times New Roman" w:hAnsi="Times New Roman" w:cs="Times New Roman"/>
          <w:bCs/>
          <w:noProof/>
          <w:color w:val="000000"/>
          <w:sz w:val="24"/>
          <w:szCs w:val="24"/>
        </w:rPr>
        <w:t>ngược chiều</w:t>
      </w:r>
      <w:r w:rsidR="000467FD" w:rsidRPr="00D8372F">
        <w:rPr>
          <w:rFonts w:ascii="Times New Roman" w:hAnsi="Times New Roman" w:cs="Times New Roman"/>
          <w:noProof/>
          <w:color w:val="000000"/>
          <w:sz w:val="24"/>
          <w:szCs w:val="24"/>
        </w:rPr>
        <w:t xml:space="preserve"> với tăng trưởng tín dụng, rủi ro hệ thống</w:t>
      </w:r>
      <w:r w:rsidR="00306B82">
        <w:rPr>
          <w:rFonts w:ascii="Times New Roman" w:hAnsi="Times New Roman" w:cs="Times New Roman"/>
          <w:noProof/>
          <w:color w:val="000000"/>
          <w:sz w:val="24"/>
          <w:szCs w:val="24"/>
        </w:rPr>
        <w:t xml:space="preserve"> beta</w:t>
      </w:r>
      <w:r w:rsidR="000467FD" w:rsidRPr="00D8372F">
        <w:rPr>
          <w:rFonts w:ascii="Times New Roman" w:hAnsi="Times New Roman" w:cs="Times New Roman"/>
          <w:noProof/>
          <w:color w:val="000000"/>
          <w:sz w:val="24"/>
          <w:szCs w:val="24"/>
        </w:rPr>
        <w:t xml:space="preserve"> và </w:t>
      </w:r>
      <w:r w:rsidR="00306B82">
        <w:rPr>
          <w:rFonts w:ascii="Times New Roman" w:hAnsi="Times New Roman" w:cs="Times New Roman"/>
          <w:noProof/>
          <w:color w:val="000000"/>
          <w:sz w:val="24"/>
          <w:szCs w:val="24"/>
        </w:rPr>
        <w:t xml:space="preserve">giá trị </w:t>
      </w:r>
      <w:r w:rsidR="000467FD" w:rsidRPr="00D8372F">
        <w:rPr>
          <w:rFonts w:ascii="Times New Roman" w:hAnsi="Times New Roman" w:cs="Times New Roman"/>
          <w:noProof/>
          <w:color w:val="000000"/>
          <w:sz w:val="24"/>
          <w:szCs w:val="24"/>
        </w:rPr>
        <w:t xml:space="preserve">sổ sách trên </w:t>
      </w:r>
      <w:r w:rsidR="00306B82">
        <w:rPr>
          <w:rFonts w:ascii="Times New Roman" w:hAnsi="Times New Roman" w:cs="Times New Roman"/>
          <w:noProof/>
          <w:color w:val="000000"/>
          <w:sz w:val="24"/>
          <w:szCs w:val="24"/>
        </w:rPr>
        <w:t xml:space="preserve">giá trị </w:t>
      </w:r>
      <w:r w:rsidR="000467FD" w:rsidRPr="00D8372F">
        <w:rPr>
          <w:rFonts w:ascii="Times New Roman" w:hAnsi="Times New Roman" w:cs="Times New Roman"/>
          <w:noProof/>
          <w:color w:val="000000"/>
          <w:sz w:val="24"/>
          <w:szCs w:val="24"/>
        </w:rPr>
        <w:t xml:space="preserve">thị trường. Trong khi đó, </w:t>
      </w:r>
      <w:r w:rsidR="003B4113" w:rsidRPr="00D8372F">
        <w:rPr>
          <w:rFonts w:ascii="Times New Roman" w:hAnsi="Times New Roman" w:cs="Times New Roman"/>
          <w:noProof/>
          <w:color w:val="000000"/>
          <w:sz w:val="24"/>
          <w:szCs w:val="24"/>
        </w:rPr>
        <w:t>tỷ suất sinh lợi</w:t>
      </w:r>
      <w:r w:rsidR="003B4113">
        <w:rPr>
          <w:rFonts w:ascii="Times New Roman" w:hAnsi="Times New Roman" w:cs="Times New Roman"/>
          <w:noProof/>
          <w:color w:val="000000"/>
          <w:sz w:val="24"/>
          <w:szCs w:val="24"/>
        </w:rPr>
        <w:t xml:space="preserve"> cổ phiếu</w:t>
      </w:r>
      <w:r w:rsidR="003B4113" w:rsidRPr="00D8372F">
        <w:rPr>
          <w:rFonts w:ascii="Times New Roman" w:hAnsi="Times New Roman" w:cs="Times New Roman"/>
          <w:noProof/>
          <w:color w:val="000000"/>
          <w:sz w:val="24"/>
          <w:szCs w:val="24"/>
        </w:rPr>
        <w:t xml:space="preserve"> có tương quan </w:t>
      </w:r>
      <w:r w:rsidR="003B4113">
        <w:rPr>
          <w:rFonts w:ascii="Times New Roman" w:hAnsi="Times New Roman" w:cs="Times New Roman"/>
          <w:bCs/>
          <w:noProof/>
          <w:color w:val="000000"/>
          <w:sz w:val="24"/>
          <w:szCs w:val="24"/>
        </w:rPr>
        <w:t>cùng</w:t>
      </w:r>
      <w:r w:rsidR="003B4113" w:rsidRPr="00D8372F">
        <w:rPr>
          <w:rFonts w:ascii="Times New Roman" w:hAnsi="Times New Roman" w:cs="Times New Roman"/>
          <w:bCs/>
          <w:noProof/>
          <w:color w:val="000000"/>
          <w:sz w:val="24"/>
          <w:szCs w:val="24"/>
        </w:rPr>
        <w:t xml:space="preserve"> chiều</w:t>
      </w:r>
      <w:r w:rsidR="003B4113" w:rsidRPr="00D8372F">
        <w:rPr>
          <w:rFonts w:ascii="Times New Roman" w:hAnsi="Times New Roman" w:cs="Times New Roman"/>
          <w:noProof/>
          <w:color w:val="000000"/>
          <w:sz w:val="24"/>
          <w:szCs w:val="24"/>
        </w:rPr>
        <w:t xml:space="preserve"> </w:t>
      </w:r>
      <w:r w:rsidR="000467FD" w:rsidRPr="00D8372F">
        <w:rPr>
          <w:rFonts w:ascii="Times New Roman" w:hAnsi="Times New Roman" w:cs="Times New Roman"/>
          <w:noProof/>
          <w:color w:val="000000"/>
          <w:sz w:val="24"/>
          <w:szCs w:val="24"/>
        </w:rPr>
        <w:t xml:space="preserve">với không minh bạch thông tin </w:t>
      </w:r>
      <w:r w:rsidR="003B4113">
        <w:rPr>
          <w:rFonts w:ascii="Times New Roman" w:hAnsi="Times New Roman" w:cs="Times New Roman"/>
          <w:noProof/>
          <w:color w:val="000000"/>
          <w:sz w:val="24"/>
          <w:szCs w:val="24"/>
        </w:rPr>
        <w:t xml:space="preserve">trong báo cáo tài chính </w:t>
      </w:r>
      <w:r w:rsidR="000467FD" w:rsidRPr="00D8372F">
        <w:rPr>
          <w:rFonts w:ascii="Times New Roman" w:hAnsi="Times New Roman" w:cs="Times New Roman"/>
          <w:noProof/>
          <w:color w:val="000000"/>
          <w:sz w:val="24"/>
          <w:szCs w:val="24"/>
        </w:rPr>
        <w:t>và quy mô ngân hàng.</w:t>
      </w:r>
    </w:p>
    <w:p w14:paraId="4C654EDE" w14:textId="7609C36A" w:rsidR="000467FD" w:rsidRPr="00E25346" w:rsidRDefault="000467FD" w:rsidP="005A44A2">
      <w:pPr>
        <w:pStyle w:val="NormalWeb"/>
        <w:spacing w:before="120" w:beforeAutospacing="0" w:after="0" w:afterAutospacing="0"/>
        <w:ind w:firstLine="720"/>
        <w:jc w:val="center"/>
        <w:rPr>
          <w:lang w:val="en-US"/>
        </w:rPr>
      </w:pPr>
      <w:r w:rsidRPr="008B67D2">
        <w:rPr>
          <w:b/>
          <w:bCs/>
        </w:rPr>
        <w:t xml:space="preserve">Bảng </w:t>
      </w:r>
      <w:r w:rsidR="005B01E1">
        <w:rPr>
          <w:b/>
          <w:bCs/>
          <w:lang w:val="en-US"/>
        </w:rPr>
        <w:t>4</w:t>
      </w:r>
      <w:r w:rsidR="005A44A2">
        <w:rPr>
          <w:b/>
          <w:bCs/>
          <w:lang w:val="en-US"/>
        </w:rPr>
        <w:t>.</w:t>
      </w:r>
      <w:r w:rsidRPr="008B67D2">
        <w:rPr>
          <w:b/>
          <w:bCs/>
        </w:rPr>
        <w:t xml:space="preserve"> </w:t>
      </w:r>
      <w:r w:rsidR="00EE5A4D">
        <w:rPr>
          <w:b/>
          <w:bCs/>
          <w:lang w:val="en-US"/>
        </w:rPr>
        <w:t>Kết quả h</w:t>
      </w:r>
      <w:r w:rsidRPr="008B67D2">
        <w:rPr>
          <w:b/>
          <w:bCs/>
        </w:rPr>
        <w:t>ồi quy GLS</w:t>
      </w:r>
    </w:p>
    <w:tbl>
      <w:tblPr>
        <w:tblW w:w="0" w:type="auto"/>
        <w:jc w:val="center"/>
        <w:tblCellMar>
          <w:top w:w="15" w:type="dxa"/>
          <w:left w:w="15" w:type="dxa"/>
          <w:bottom w:w="15" w:type="dxa"/>
          <w:right w:w="15" w:type="dxa"/>
        </w:tblCellMar>
        <w:tblLook w:val="04A0" w:firstRow="1" w:lastRow="0" w:firstColumn="1" w:lastColumn="0" w:noHBand="0" w:noVBand="1"/>
      </w:tblPr>
      <w:tblGrid>
        <w:gridCol w:w="2227"/>
        <w:gridCol w:w="1527"/>
        <w:gridCol w:w="1483"/>
      </w:tblGrid>
      <w:tr w:rsidR="00EE3A67" w:rsidRPr="008B67D2" w14:paraId="5DBE10F7" w14:textId="2A5A6CC4" w:rsidTr="00EE3A67">
        <w:trPr>
          <w:trHeight w:val="51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6C1410" w14:textId="32CB3872" w:rsidR="00EE3A67" w:rsidRPr="008B67D2" w:rsidRDefault="00EE3A67" w:rsidP="005A44A2">
            <w:pPr>
              <w:pStyle w:val="NormalWeb"/>
              <w:spacing w:before="120" w:beforeAutospacing="0" w:after="0" w:afterAutospacing="0"/>
              <w:jc w:val="both"/>
              <w:rPr>
                <w:lang w:val="en-US"/>
              </w:rPr>
            </w:pPr>
            <w:r>
              <w:rPr>
                <w:lang w:val="en-US"/>
              </w:rPr>
              <w:t>Biến nghiên cứu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4A702B" w14:textId="165E4764" w:rsidR="00EE3A67" w:rsidRPr="008B67D2" w:rsidRDefault="00EE3A67" w:rsidP="005A44A2">
            <w:pPr>
              <w:pStyle w:val="NormalWeb"/>
              <w:spacing w:before="120" w:beforeAutospacing="0" w:after="0" w:afterAutospacing="0"/>
              <w:jc w:val="both"/>
              <w:rPr>
                <w:lang w:val="en-US"/>
              </w:rPr>
            </w:pPr>
            <w:r>
              <w:rPr>
                <w:lang w:val="en-US"/>
              </w:rPr>
              <w:t xml:space="preserve">SR 1 năm sau </w:t>
            </w:r>
          </w:p>
        </w:tc>
        <w:tc>
          <w:tcPr>
            <w:tcW w:w="1483" w:type="dxa"/>
            <w:tcBorders>
              <w:top w:val="single" w:sz="6" w:space="0" w:color="000000"/>
              <w:left w:val="single" w:sz="6" w:space="0" w:color="000000"/>
              <w:bottom w:val="single" w:sz="6" w:space="0" w:color="000000"/>
              <w:right w:val="single" w:sz="6" w:space="0" w:color="000000"/>
            </w:tcBorders>
          </w:tcPr>
          <w:p w14:paraId="6A0B695A" w14:textId="488BA67D" w:rsidR="00EE3A67" w:rsidRDefault="00EE3A67" w:rsidP="005A44A2">
            <w:pPr>
              <w:pStyle w:val="NormalWeb"/>
              <w:spacing w:before="120" w:beforeAutospacing="0" w:after="0" w:afterAutospacing="0"/>
              <w:jc w:val="both"/>
              <w:rPr>
                <w:lang w:val="en-US"/>
              </w:rPr>
            </w:pPr>
            <w:r>
              <w:rPr>
                <w:lang w:val="en-US"/>
              </w:rPr>
              <w:t>SR 2 năm sau</w:t>
            </w:r>
          </w:p>
        </w:tc>
      </w:tr>
      <w:tr w:rsidR="00EE3A67" w:rsidRPr="008B67D2" w14:paraId="2682641A" w14:textId="52D58CD8" w:rsidTr="00EE3A67">
        <w:trPr>
          <w:trHeight w:val="51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6F47D7" w14:textId="432AC879" w:rsidR="00EE3A67" w:rsidRPr="008B67D2" w:rsidRDefault="00EE3A67" w:rsidP="005A44A2">
            <w:pPr>
              <w:pStyle w:val="NormalWeb"/>
              <w:spacing w:before="120" w:beforeAutospacing="0" w:after="0" w:afterAutospacing="0"/>
              <w:jc w:val="both"/>
              <w:rPr>
                <w:lang w:val="en-US"/>
              </w:rPr>
            </w:pPr>
            <w:r w:rsidRPr="008B67D2">
              <w:rPr>
                <w:lang w:val="en-US"/>
              </w:rPr>
              <w:t>CREDIT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72C5D6" w14:textId="77777777" w:rsidR="00EE3A67" w:rsidRDefault="00EE3A67" w:rsidP="005A44A2">
            <w:pPr>
              <w:pStyle w:val="NormalWeb"/>
              <w:spacing w:before="120" w:beforeAutospacing="0" w:after="0" w:afterAutospacing="0"/>
              <w:jc w:val="both"/>
              <w:rPr>
                <w:lang w:val="en-US"/>
              </w:rPr>
            </w:pPr>
            <w:r w:rsidRPr="008B67D2">
              <w:rPr>
                <w:lang w:val="en-US"/>
              </w:rPr>
              <w:t>0,777**</w:t>
            </w:r>
          </w:p>
          <w:p w14:paraId="6623D7FF" w14:textId="52EA5397" w:rsidR="00EE3A67" w:rsidRPr="008B67D2" w:rsidRDefault="00EE3A67" w:rsidP="005A44A2">
            <w:pPr>
              <w:pStyle w:val="NormalWeb"/>
              <w:spacing w:before="120" w:beforeAutospacing="0" w:after="0" w:afterAutospacing="0"/>
              <w:jc w:val="both"/>
              <w:rPr>
                <w:lang w:val="en-US"/>
              </w:rPr>
            </w:pPr>
            <w:r>
              <w:rPr>
                <w:lang w:val="en-US"/>
              </w:rPr>
              <w:t>(2,16)</w:t>
            </w:r>
          </w:p>
        </w:tc>
        <w:tc>
          <w:tcPr>
            <w:tcW w:w="1483" w:type="dxa"/>
            <w:tcBorders>
              <w:top w:val="single" w:sz="6" w:space="0" w:color="000000"/>
              <w:left w:val="single" w:sz="6" w:space="0" w:color="000000"/>
              <w:bottom w:val="single" w:sz="6" w:space="0" w:color="000000"/>
              <w:right w:val="single" w:sz="6" w:space="0" w:color="000000"/>
            </w:tcBorders>
          </w:tcPr>
          <w:p w14:paraId="1633DD71" w14:textId="77777777" w:rsidR="00EE3A67" w:rsidRDefault="00EE3A67" w:rsidP="005A44A2">
            <w:pPr>
              <w:pStyle w:val="NormalWeb"/>
              <w:spacing w:before="120" w:beforeAutospacing="0" w:after="0" w:afterAutospacing="0"/>
              <w:jc w:val="both"/>
              <w:rPr>
                <w:lang w:val="en-US"/>
              </w:rPr>
            </w:pPr>
            <w:r w:rsidRPr="008B67D2">
              <w:rPr>
                <w:lang w:val="en-US"/>
              </w:rPr>
              <w:t>0,710**</w:t>
            </w:r>
          </w:p>
          <w:p w14:paraId="65890A91" w14:textId="5EC3036D"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1,99</w:t>
            </w:r>
            <w:r>
              <w:rPr>
                <w:lang w:val="en-US"/>
              </w:rPr>
              <w:t>)</w:t>
            </w:r>
          </w:p>
        </w:tc>
      </w:tr>
      <w:tr w:rsidR="00EE3A67" w:rsidRPr="008B67D2" w14:paraId="2F3B918F" w14:textId="55673D2F" w:rsidTr="00EE3A67">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46EEF1" w14:textId="18D3BBF3" w:rsidR="00EE3A67" w:rsidRPr="008B67D2" w:rsidRDefault="00EE3A67" w:rsidP="005A44A2">
            <w:pPr>
              <w:pStyle w:val="NormalWeb"/>
              <w:spacing w:before="120" w:beforeAutospacing="0" w:after="0" w:afterAutospacing="0"/>
              <w:jc w:val="both"/>
              <w:rPr>
                <w:lang w:val="en-US"/>
              </w:rPr>
            </w:pPr>
            <w:r w:rsidRPr="008B67D2">
              <w:rPr>
                <w:lang w:val="en-US"/>
              </w:rPr>
              <w:t>OPACITY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9F37C9" w14:textId="77777777" w:rsidR="00EE3A67" w:rsidRDefault="00EE3A67" w:rsidP="005A44A2">
            <w:pPr>
              <w:pStyle w:val="NormalWeb"/>
              <w:spacing w:before="120" w:beforeAutospacing="0" w:after="0" w:afterAutospacing="0"/>
              <w:jc w:val="both"/>
              <w:rPr>
                <w:lang w:val="en-US"/>
              </w:rPr>
            </w:pPr>
            <w:r w:rsidRPr="008B67D2">
              <w:rPr>
                <w:lang w:val="en-US"/>
              </w:rPr>
              <w:t>0,0791</w:t>
            </w:r>
          </w:p>
          <w:p w14:paraId="034987EB" w14:textId="67C2C2FC" w:rsidR="00EE3A67" w:rsidRPr="008B67D2" w:rsidRDefault="00EE3A67" w:rsidP="005A44A2">
            <w:pPr>
              <w:pStyle w:val="NormalWeb"/>
              <w:spacing w:before="120" w:beforeAutospacing="0" w:after="0" w:afterAutospacing="0"/>
              <w:jc w:val="both"/>
              <w:rPr>
                <w:lang w:val="en-US"/>
              </w:rPr>
            </w:pPr>
            <w:r>
              <w:rPr>
                <w:lang w:val="en-US"/>
              </w:rPr>
              <w:t>(0,54)</w:t>
            </w:r>
          </w:p>
        </w:tc>
        <w:tc>
          <w:tcPr>
            <w:tcW w:w="1483" w:type="dxa"/>
            <w:tcBorders>
              <w:top w:val="single" w:sz="6" w:space="0" w:color="000000"/>
              <w:left w:val="single" w:sz="6" w:space="0" w:color="000000"/>
              <w:bottom w:val="single" w:sz="6" w:space="0" w:color="000000"/>
              <w:right w:val="single" w:sz="6" w:space="0" w:color="000000"/>
            </w:tcBorders>
          </w:tcPr>
          <w:p w14:paraId="7A676275" w14:textId="77777777" w:rsidR="00EE3A67" w:rsidRDefault="00EE3A67" w:rsidP="005A44A2">
            <w:pPr>
              <w:pStyle w:val="NormalWeb"/>
              <w:spacing w:before="120" w:beforeAutospacing="0" w:after="0" w:afterAutospacing="0"/>
              <w:jc w:val="both"/>
              <w:rPr>
                <w:lang w:val="en-US"/>
              </w:rPr>
            </w:pPr>
            <w:r w:rsidRPr="008B67D2">
              <w:rPr>
                <w:lang w:val="en-US"/>
              </w:rPr>
              <w:t>0,411***</w:t>
            </w:r>
          </w:p>
          <w:p w14:paraId="74A30C1D" w14:textId="6B3917FD"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2,65</w:t>
            </w:r>
            <w:r>
              <w:rPr>
                <w:lang w:val="en-US"/>
              </w:rPr>
              <w:t>)</w:t>
            </w:r>
          </w:p>
        </w:tc>
      </w:tr>
      <w:tr w:rsidR="00EE3A67" w:rsidRPr="008B67D2" w14:paraId="1B701ED9" w14:textId="2E149EC9" w:rsidTr="00EE3A67">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4BE73B" w14:textId="0E2E3F29" w:rsidR="00EE3A67" w:rsidRPr="008B67D2" w:rsidRDefault="00EE3A67" w:rsidP="005A44A2">
            <w:pPr>
              <w:pStyle w:val="NormalWeb"/>
              <w:spacing w:before="120" w:beforeAutospacing="0" w:after="0" w:afterAutospacing="0"/>
              <w:jc w:val="both"/>
              <w:rPr>
                <w:lang w:val="en-US"/>
              </w:rPr>
            </w:pPr>
            <w:r w:rsidRPr="008B67D2">
              <w:rPr>
                <w:lang w:val="en-US"/>
              </w:rPr>
              <w:t>CREDIT</w:t>
            </w:r>
            <w:r>
              <w:rPr>
                <w:lang w:val="en-US"/>
              </w:rPr>
              <w:t>*</w:t>
            </w:r>
            <w:r w:rsidRPr="008B67D2">
              <w:rPr>
                <w:lang w:val="en-US"/>
              </w:rPr>
              <w:t>OPACITY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CFF0A2" w14:textId="77777777" w:rsidR="00EE3A67" w:rsidRDefault="00EE3A67" w:rsidP="005A44A2">
            <w:pPr>
              <w:pStyle w:val="NormalWeb"/>
              <w:spacing w:before="120" w:beforeAutospacing="0" w:after="0" w:afterAutospacing="0"/>
              <w:jc w:val="both"/>
              <w:rPr>
                <w:lang w:val="en-US"/>
              </w:rPr>
            </w:pPr>
            <w:r w:rsidRPr="008B67D2">
              <w:rPr>
                <w:lang w:val="en-US"/>
              </w:rPr>
              <w:t>-1,182*</w:t>
            </w:r>
          </w:p>
          <w:p w14:paraId="49F27276" w14:textId="1C3EE3C4" w:rsidR="00EE3A67" w:rsidRPr="008B67D2" w:rsidRDefault="00EE3A67" w:rsidP="005A44A2">
            <w:pPr>
              <w:pStyle w:val="NormalWeb"/>
              <w:spacing w:before="120" w:beforeAutospacing="0" w:after="0" w:afterAutospacing="0"/>
              <w:jc w:val="both"/>
              <w:rPr>
                <w:lang w:val="en-US"/>
              </w:rPr>
            </w:pPr>
            <w:r>
              <w:rPr>
                <w:lang w:val="en-US"/>
              </w:rPr>
              <w:t>(-1,66)</w:t>
            </w:r>
          </w:p>
        </w:tc>
        <w:tc>
          <w:tcPr>
            <w:tcW w:w="1483" w:type="dxa"/>
            <w:tcBorders>
              <w:top w:val="single" w:sz="6" w:space="0" w:color="000000"/>
              <w:left w:val="single" w:sz="6" w:space="0" w:color="000000"/>
              <w:bottom w:val="single" w:sz="6" w:space="0" w:color="000000"/>
              <w:right w:val="single" w:sz="6" w:space="0" w:color="000000"/>
            </w:tcBorders>
          </w:tcPr>
          <w:p w14:paraId="085A3DEC" w14:textId="77777777" w:rsidR="00EE3A67" w:rsidRDefault="00EE3A67" w:rsidP="005A44A2">
            <w:pPr>
              <w:pStyle w:val="NormalWeb"/>
              <w:spacing w:before="120" w:beforeAutospacing="0" w:after="0" w:afterAutospacing="0"/>
              <w:jc w:val="both"/>
              <w:rPr>
                <w:lang w:val="en-US"/>
              </w:rPr>
            </w:pPr>
            <w:r w:rsidRPr="008B67D2">
              <w:rPr>
                <w:lang w:val="en-US"/>
              </w:rPr>
              <w:t>-2,327***</w:t>
            </w:r>
          </w:p>
          <w:p w14:paraId="681C4E5F" w14:textId="090647B3"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-3,23</w:t>
            </w:r>
            <w:r>
              <w:rPr>
                <w:lang w:val="en-US"/>
              </w:rPr>
              <w:t>)</w:t>
            </w:r>
          </w:p>
        </w:tc>
      </w:tr>
      <w:tr w:rsidR="00EE3A67" w:rsidRPr="008B67D2" w14:paraId="37ECA519" w14:textId="20F78C0C" w:rsidTr="00EE3A67">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5C27E6" w14:textId="04F59BC4" w:rsidR="00EE3A67" w:rsidRPr="008B67D2" w:rsidRDefault="00EE3A67" w:rsidP="005A44A2">
            <w:pPr>
              <w:pStyle w:val="NormalWeb"/>
              <w:spacing w:before="120" w:beforeAutospacing="0" w:after="0" w:afterAutospacing="0"/>
              <w:jc w:val="both"/>
              <w:rPr>
                <w:lang w:val="en-US"/>
              </w:rPr>
            </w:pPr>
            <w:r w:rsidRPr="008B67D2">
              <w:rPr>
                <w:lang w:val="en-US"/>
              </w:rPr>
              <w:t>BETA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C1F69E" w14:textId="77777777" w:rsidR="00EE3A67" w:rsidRDefault="00EE3A67" w:rsidP="005A44A2">
            <w:pPr>
              <w:pStyle w:val="NormalWeb"/>
              <w:spacing w:before="120" w:beforeAutospacing="0" w:after="0" w:afterAutospacing="0"/>
              <w:jc w:val="both"/>
              <w:rPr>
                <w:lang w:val="en-US"/>
              </w:rPr>
            </w:pPr>
            <w:r w:rsidRPr="008B67D2">
              <w:rPr>
                <w:lang w:val="en-US"/>
              </w:rPr>
              <w:t>0,00661</w:t>
            </w:r>
          </w:p>
          <w:p w14:paraId="65737DD1" w14:textId="605A8961" w:rsidR="00EE3A67" w:rsidRPr="008B67D2" w:rsidRDefault="00EE3A67" w:rsidP="005A44A2">
            <w:pPr>
              <w:pStyle w:val="NormalWeb"/>
              <w:spacing w:before="120" w:beforeAutospacing="0" w:after="0" w:afterAutospacing="0"/>
              <w:jc w:val="both"/>
              <w:rPr>
                <w:lang w:val="en-US"/>
              </w:rPr>
            </w:pPr>
            <w:r>
              <w:rPr>
                <w:lang w:val="en-US"/>
              </w:rPr>
              <w:t>(0,14)</w:t>
            </w:r>
          </w:p>
        </w:tc>
        <w:tc>
          <w:tcPr>
            <w:tcW w:w="1483" w:type="dxa"/>
            <w:tcBorders>
              <w:top w:val="single" w:sz="6" w:space="0" w:color="000000"/>
              <w:left w:val="single" w:sz="6" w:space="0" w:color="000000"/>
              <w:bottom w:val="single" w:sz="6" w:space="0" w:color="000000"/>
              <w:right w:val="single" w:sz="6" w:space="0" w:color="000000"/>
            </w:tcBorders>
          </w:tcPr>
          <w:p w14:paraId="50F96402" w14:textId="77777777" w:rsidR="00EE3A67" w:rsidRDefault="00EE3A67" w:rsidP="005A44A2">
            <w:pPr>
              <w:pStyle w:val="NormalWeb"/>
              <w:spacing w:before="120" w:beforeAutospacing="0" w:after="0" w:afterAutospacing="0"/>
              <w:jc w:val="both"/>
              <w:rPr>
                <w:lang w:val="en-US"/>
              </w:rPr>
            </w:pPr>
            <w:r w:rsidRPr="008B67D2">
              <w:rPr>
                <w:lang w:val="en-US"/>
              </w:rPr>
              <w:t>0,0176</w:t>
            </w:r>
          </w:p>
          <w:p w14:paraId="53C473A9" w14:textId="0A7E9398"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0,38</w:t>
            </w:r>
            <w:r>
              <w:rPr>
                <w:lang w:val="en-US"/>
              </w:rPr>
              <w:t>)</w:t>
            </w:r>
          </w:p>
        </w:tc>
      </w:tr>
      <w:tr w:rsidR="00EE3A67" w:rsidRPr="008B67D2" w14:paraId="282F810C" w14:textId="3296094A" w:rsidTr="00EE3A67">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86856E" w14:textId="14448EB0" w:rsidR="00EE3A67" w:rsidRPr="008B67D2" w:rsidRDefault="00EE3A67" w:rsidP="005A44A2">
            <w:pPr>
              <w:pStyle w:val="NormalWeb"/>
              <w:spacing w:before="120" w:beforeAutospacing="0" w:after="0" w:afterAutospacing="0"/>
              <w:jc w:val="both"/>
              <w:rPr>
                <w:lang w:val="en-US"/>
              </w:rPr>
            </w:pPr>
            <w:r w:rsidRPr="008B67D2">
              <w:rPr>
                <w:lang w:val="en-US"/>
              </w:rPr>
              <w:t>BM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53BB0C" w14:textId="77777777" w:rsidR="00EE3A67" w:rsidRDefault="00EE3A67" w:rsidP="005A44A2">
            <w:pPr>
              <w:pStyle w:val="NormalWeb"/>
              <w:spacing w:before="120" w:beforeAutospacing="0" w:after="0" w:afterAutospacing="0"/>
              <w:jc w:val="both"/>
              <w:rPr>
                <w:lang w:val="en-US"/>
              </w:rPr>
            </w:pPr>
            <w:r w:rsidRPr="008B67D2">
              <w:rPr>
                <w:lang w:val="en-US"/>
              </w:rPr>
              <w:t>0,674***</w:t>
            </w:r>
          </w:p>
          <w:p w14:paraId="1FB97C2B" w14:textId="5D46BF9A" w:rsidR="00EE3A67" w:rsidRPr="008B67D2" w:rsidRDefault="00EE3A67" w:rsidP="005A44A2">
            <w:pPr>
              <w:pStyle w:val="NormalWeb"/>
              <w:spacing w:before="120" w:beforeAutospacing="0" w:after="0" w:afterAutospacing="0"/>
              <w:jc w:val="both"/>
              <w:rPr>
                <w:lang w:val="en-US"/>
              </w:rPr>
            </w:pPr>
            <w:r>
              <w:rPr>
                <w:lang w:val="en-US"/>
              </w:rPr>
              <w:t>(5,85)</w:t>
            </w:r>
          </w:p>
        </w:tc>
        <w:tc>
          <w:tcPr>
            <w:tcW w:w="1483" w:type="dxa"/>
            <w:tcBorders>
              <w:top w:val="single" w:sz="6" w:space="0" w:color="000000"/>
              <w:left w:val="single" w:sz="6" w:space="0" w:color="000000"/>
              <w:bottom w:val="single" w:sz="6" w:space="0" w:color="000000"/>
              <w:right w:val="single" w:sz="6" w:space="0" w:color="000000"/>
            </w:tcBorders>
          </w:tcPr>
          <w:p w14:paraId="34F0F327" w14:textId="77777777" w:rsidR="00EE3A67" w:rsidRDefault="00EE3A67" w:rsidP="005A44A2">
            <w:pPr>
              <w:pStyle w:val="NormalWeb"/>
              <w:spacing w:before="120" w:beforeAutospacing="0" w:after="0" w:afterAutospacing="0"/>
              <w:jc w:val="both"/>
              <w:rPr>
                <w:lang w:val="en-US"/>
              </w:rPr>
            </w:pPr>
            <w:r w:rsidRPr="008B67D2">
              <w:rPr>
                <w:lang w:val="en-US"/>
              </w:rPr>
              <w:t>0,331***</w:t>
            </w:r>
          </w:p>
          <w:p w14:paraId="40EF2F21" w14:textId="1AACFD35"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2,75</w:t>
            </w:r>
            <w:r>
              <w:rPr>
                <w:lang w:val="en-US"/>
              </w:rPr>
              <w:t>)</w:t>
            </w:r>
          </w:p>
        </w:tc>
      </w:tr>
      <w:tr w:rsidR="00EE3A67" w:rsidRPr="008B67D2" w14:paraId="0FDCCA75" w14:textId="32EFD743" w:rsidTr="00EE3A67">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76623B" w14:textId="415F0FED" w:rsidR="00EE3A67" w:rsidRPr="008B67D2" w:rsidRDefault="00EE3A67" w:rsidP="005A44A2">
            <w:pPr>
              <w:pStyle w:val="NormalWeb"/>
              <w:spacing w:before="120" w:beforeAutospacing="0" w:after="0" w:afterAutospacing="0"/>
              <w:jc w:val="both"/>
              <w:rPr>
                <w:lang w:val="en-US"/>
              </w:rPr>
            </w:pPr>
            <w:r w:rsidRPr="008B67D2">
              <w:rPr>
                <w:lang w:val="en-US"/>
              </w:rPr>
              <w:t>SIZE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99F173" w14:textId="77777777" w:rsidR="00EE3A67" w:rsidRDefault="00EE3A67" w:rsidP="005A44A2">
            <w:pPr>
              <w:pStyle w:val="NormalWeb"/>
              <w:spacing w:before="120" w:beforeAutospacing="0" w:after="0" w:afterAutospacing="0"/>
              <w:jc w:val="both"/>
              <w:rPr>
                <w:lang w:val="en-US"/>
              </w:rPr>
            </w:pPr>
            <w:r w:rsidRPr="008B67D2">
              <w:rPr>
                <w:lang w:val="en-US"/>
              </w:rPr>
              <w:t>0,227***</w:t>
            </w:r>
          </w:p>
          <w:p w14:paraId="75A3461A" w14:textId="164B3A71" w:rsidR="00EE3A67" w:rsidRPr="008B67D2" w:rsidRDefault="00EE3A67" w:rsidP="005A44A2">
            <w:pPr>
              <w:pStyle w:val="NormalWeb"/>
              <w:spacing w:before="120" w:beforeAutospacing="0" w:after="0" w:afterAutospacing="0"/>
              <w:jc w:val="both"/>
              <w:rPr>
                <w:lang w:val="en-US"/>
              </w:rPr>
            </w:pPr>
            <w:r>
              <w:rPr>
                <w:lang w:val="en-US"/>
              </w:rPr>
              <w:t>(3,14)</w:t>
            </w:r>
          </w:p>
        </w:tc>
        <w:tc>
          <w:tcPr>
            <w:tcW w:w="1483" w:type="dxa"/>
            <w:tcBorders>
              <w:top w:val="single" w:sz="6" w:space="0" w:color="000000"/>
              <w:left w:val="single" w:sz="6" w:space="0" w:color="000000"/>
              <w:bottom w:val="single" w:sz="6" w:space="0" w:color="000000"/>
              <w:right w:val="single" w:sz="6" w:space="0" w:color="000000"/>
            </w:tcBorders>
          </w:tcPr>
          <w:p w14:paraId="797A8C27" w14:textId="77777777" w:rsidR="00EE3A67" w:rsidRDefault="00EE3A67" w:rsidP="005A44A2">
            <w:pPr>
              <w:pStyle w:val="NormalWeb"/>
              <w:spacing w:before="120" w:beforeAutospacing="0" w:after="0" w:afterAutospacing="0"/>
              <w:jc w:val="both"/>
              <w:rPr>
                <w:lang w:val="en-US"/>
              </w:rPr>
            </w:pPr>
            <w:r w:rsidRPr="008B67D2">
              <w:rPr>
                <w:lang w:val="en-US"/>
              </w:rPr>
              <w:t>0,202***</w:t>
            </w:r>
          </w:p>
          <w:p w14:paraId="3621E9C0" w14:textId="6D5FB352"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2,99</w:t>
            </w:r>
            <w:r>
              <w:rPr>
                <w:lang w:val="en-US"/>
              </w:rPr>
              <w:t>)</w:t>
            </w:r>
          </w:p>
        </w:tc>
      </w:tr>
      <w:tr w:rsidR="00EE3A67" w:rsidRPr="008B67D2" w14:paraId="13554ECC" w14:textId="4E113E5F" w:rsidTr="00EE3A67">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4FA5D9" w14:textId="4E915DBE" w:rsidR="00EE3A67" w:rsidRPr="008B67D2" w:rsidRDefault="00EE3A67" w:rsidP="005A44A2">
            <w:pPr>
              <w:pStyle w:val="NormalWeb"/>
              <w:spacing w:before="120" w:beforeAutospacing="0" w:after="0" w:afterAutospacing="0"/>
              <w:jc w:val="both"/>
              <w:rPr>
                <w:lang w:val="en-US"/>
              </w:rPr>
            </w:pPr>
            <w:r>
              <w:rPr>
                <w:lang w:val="en-US"/>
              </w:rPr>
              <w:t>L</w:t>
            </w:r>
            <w:r w:rsidRPr="008B67D2">
              <w:rPr>
                <w:lang w:val="en-US"/>
              </w:rPr>
              <w:t>SR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8ADD00" w14:textId="77777777" w:rsidR="00EE3A67" w:rsidRDefault="00EE3A67" w:rsidP="005A44A2">
            <w:pPr>
              <w:pStyle w:val="NormalWeb"/>
              <w:spacing w:before="120" w:beforeAutospacing="0" w:after="0" w:afterAutospacing="0"/>
              <w:jc w:val="both"/>
              <w:rPr>
                <w:lang w:val="en-US"/>
              </w:rPr>
            </w:pPr>
            <w:r w:rsidRPr="008B67D2">
              <w:rPr>
                <w:lang w:val="en-US"/>
              </w:rPr>
              <w:t>-0,00104</w:t>
            </w:r>
          </w:p>
          <w:p w14:paraId="1E9A4A47" w14:textId="3BD9641E" w:rsidR="00EE3A67" w:rsidRPr="008B67D2" w:rsidRDefault="00EE3A67" w:rsidP="005A44A2">
            <w:pPr>
              <w:pStyle w:val="NormalWeb"/>
              <w:spacing w:before="120" w:beforeAutospacing="0" w:after="0" w:afterAutospacing="0"/>
              <w:jc w:val="both"/>
              <w:rPr>
                <w:lang w:val="en-US"/>
              </w:rPr>
            </w:pPr>
            <w:r>
              <w:rPr>
                <w:lang w:val="en-US"/>
              </w:rPr>
              <w:t>(-0,01)</w:t>
            </w:r>
          </w:p>
        </w:tc>
        <w:tc>
          <w:tcPr>
            <w:tcW w:w="1483" w:type="dxa"/>
            <w:tcBorders>
              <w:top w:val="single" w:sz="6" w:space="0" w:color="000000"/>
              <w:left w:val="single" w:sz="6" w:space="0" w:color="000000"/>
              <w:bottom w:val="single" w:sz="6" w:space="0" w:color="000000"/>
              <w:right w:val="single" w:sz="6" w:space="0" w:color="000000"/>
            </w:tcBorders>
          </w:tcPr>
          <w:p w14:paraId="0B6F3413" w14:textId="77777777" w:rsidR="00EE3A67" w:rsidRDefault="00EE3A67" w:rsidP="005A44A2">
            <w:pPr>
              <w:pStyle w:val="NormalWeb"/>
              <w:spacing w:before="120" w:beforeAutospacing="0" w:after="0" w:afterAutospacing="0"/>
              <w:jc w:val="both"/>
              <w:rPr>
                <w:lang w:val="en-US"/>
              </w:rPr>
            </w:pPr>
            <w:r w:rsidRPr="008B67D2">
              <w:rPr>
                <w:lang w:val="en-US"/>
              </w:rPr>
              <w:t>-0,0689</w:t>
            </w:r>
          </w:p>
          <w:p w14:paraId="06929144" w14:textId="442D63F1" w:rsidR="00EE3A67" w:rsidRPr="008B67D2" w:rsidRDefault="00EE3A67" w:rsidP="005A44A2">
            <w:pPr>
              <w:pStyle w:val="NormalWeb"/>
              <w:spacing w:before="120" w:beforeAutospacing="0" w:after="0" w:afterAutospacing="0"/>
              <w:jc w:val="both"/>
              <w:rPr>
                <w:lang w:val="en-US"/>
              </w:rPr>
            </w:pPr>
            <w:r>
              <w:rPr>
                <w:lang w:val="en-US"/>
              </w:rPr>
              <w:t>(</w:t>
            </w:r>
            <w:r w:rsidRPr="008B67D2">
              <w:rPr>
                <w:lang w:val="en-US"/>
              </w:rPr>
              <w:t>-0,77</w:t>
            </w:r>
            <w:r>
              <w:rPr>
                <w:lang w:val="en-US"/>
              </w:rPr>
              <w:t>)</w:t>
            </w:r>
          </w:p>
        </w:tc>
      </w:tr>
    </w:tbl>
    <w:p w14:paraId="4ABC9B5C" w14:textId="77777777" w:rsidR="000467FD" w:rsidRPr="008B67D2" w:rsidRDefault="000467FD" w:rsidP="005A44A2">
      <w:pPr>
        <w:pStyle w:val="NormalWeb"/>
        <w:spacing w:before="120" w:beforeAutospacing="0" w:after="0" w:afterAutospacing="0"/>
        <w:ind w:firstLine="720"/>
        <w:jc w:val="right"/>
      </w:pPr>
      <w:r w:rsidRPr="008B67D2">
        <w:rPr>
          <w:i/>
          <w:iCs/>
        </w:rPr>
        <w:t>Nguồn: Dữ liệu được nhóm tác giả tính toán từ phần mềm Stata 17</w:t>
      </w:r>
    </w:p>
    <w:p w14:paraId="79A09662" w14:textId="6F9AAC72" w:rsidR="00F73D7C" w:rsidRPr="00F73D7C" w:rsidRDefault="00F73D7C" w:rsidP="005A44A2">
      <w:pPr>
        <w:spacing w:before="120" w:after="0" w:line="240" w:lineRule="auto"/>
        <w:jc w:val="both"/>
        <w:rPr>
          <w:rFonts w:ascii="Times New Roman" w:eastAsia="Times New Roman" w:hAnsi="Times New Roman" w:cs="Times New Roman"/>
          <w:sz w:val="24"/>
          <w:szCs w:val="24"/>
        </w:rPr>
      </w:pPr>
      <w:r w:rsidRPr="00782D22">
        <w:rPr>
          <w:rFonts w:ascii="Times New Roman" w:eastAsia="Times New Roman" w:hAnsi="Times New Roman" w:cs="Times New Roman"/>
          <w:i/>
          <w:iCs/>
          <w:color w:val="000000"/>
          <w:sz w:val="20"/>
          <w:szCs w:val="20"/>
          <w:lang w:val="vi-VN"/>
        </w:rPr>
        <w:t xml:space="preserve">(Số liệu được </w:t>
      </w:r>
      <w:r>
        <w:rPr>
          <w:rFonts w:ascii="Times New Roman" w:eastAsia="Times New Roman" w:hAnsi="Times New Roman" w:cs="Times New Roman"/>
          <w:i/>
          <w:iCs/>
          <w:color w:val="000000"/>
          <w:sz w:val="20"/>
          <w:szCs w:val="20"/>
        </w:rPr>
        <w:t>xử lý</w:t>
      </w:r>
      <w:r w:rsidRPr="00782D22">
        <w:rPr>
          <w:rFonts w:ascii="Times New Roman" w:eastAsia="Times New Roman" w:hAnsi="Times New Roman" w:cs="Times New Roman"/>
          <w:i/>
          <w:iCs/>
          <w:color w:val="000000"/>
          <w:sz w:val="20"/>
          <w:szCs w:val="20"/>
          <w:lang w:val="vi-VN"/>
        </w:rPr>
        <w:t xml:space="preserve"> qua phần mềm Stata 17 với dữ liệu 1</w:t>
      </w:r>
      <w:r>
        <w:rPr>
          <w:rFonts w:ascii="Times New Roman" w:eastAsia="Times New Roman" w:hAnsi="Times New Roman" w:cs="Times New Roman"/>
          <w:i/>
          <w:iCs/>
          <w:color w:val="000000"/>
          <w:sz w:val="20"/>
          <w:szCs w:val="20"/>
        </w:rPr>
        <w:t>9</w:t>
      </w:r>
      <w:r w:rsidRPr="00782D22">
        <w:rPr>
          <w:rFonts w:ascii="Times New Roman" w:eastAsia="Times New Roman" w:hAnsi="Times New Roman" w:cs="Times New Roman"/>
          <w:i/>
          <w:iCs/>
          <w:color w:val="000000"/>
          <w:sz w:val="20"/>
          <w:szCs w:val="20"/>
          <w:lang w:val="vi-VN"/>
        </w:rPr>
        <w:t xml:space="preserve"> </w:t>
      </w:r>
      <w:r>
        <w:rPr>
          <w:rFonts w:ascii="Times New Roman" w:eastAsia="Times New Roman" w:hAnsi="Times New Roman" w:cs="Times New Roman"/>
          <w:i/>
          <w:iCs/>
          <w:color w:val="000000"/>
          <w:sz w:val="20"/>
          <w:szCs w:val="20"/>
        </w:rPr>
        <w:t>ngân hàng</w:t>
      </w:r>
      <w:r w:rsidRPr="00782D22">
        <w:rPr>
          <w:rFonts w:ascii="Times New Roman" w:eastAsia="Times New Roman" w:hAnsi="Times New Roman" w:cs="Times New Roman"/>
          <w:i/>
          <w:iCs/>
          <w:color w:val="000000"/>
          <w:sz w:val="20"/>
          <w:szCs w:val="20"/>
          <w:lang w:val="vi-VN"/>
        </w:rPr>
        <w:t xml:space="preserve"> niêm yết ở Sở </w:t>
      </w:r>
      <w:r w:rsidR="008A41BF">
        <w:rPr>
          <w:rFonts w:ascii="Times New Roman" w:eastAsia="Times New Roman" w:hAnsi="Times New Roman" w:cs="Times New Roman"/>
          <w:i/>
          <w:iCs/>
          <w:color w:val="000000"/>
          <w:sz w:val="20"/>
          <w:szCs w:val="20"/>
        </w:rPr>
        <w:t>G</w:t>
      </w:r>
      <w:r w:rsidRPr="00782D22">
        <w:rPr>
          <w:rFonts w:ascii="Times New Roman" w:eastAsia="Times New Roman" w:hAnsi="Times New Roman" w:cs="Times New Roman"/>
          <w:i/>
          <w:iCs/>
          <w:color w:val="000000"/>
          <w:sz w:val="20"/>
          <w:szCs w:val="20"/>
          <w:lang w:val="vi-VN"/>
        </w:rPr>
        <w:t>iao dịch Chứng khoán TP. Hồ Chí Minh</w:t>
      </w:r>
      <w:r>
        <w:rPr>
          <w:rFonts w:ascii="Times New Roman" w:eastAsia="Times New Roman" w:hAnsi="Times New Roman" w:cs="Times New Roman"/>
          <w:i/>
          <w:iCs/>
          <w:color w:val="000000"/>
          <w:sz w:val="20"/>
          <w:szCs w:val="20"/>
        </w:rPr>
        <w:t xml:space="preserve"> và Hà Nội</w:t>
      </w:r>
      <w:r w:rsidRPr="00782D22">
        <w:rPr>
          <w:rFonts w:ascii="Times New Roman" w:eastAsia="Times New Roman" w:hAnsi="Times New Roman" w:cs="Times New Roman"/>
          <w:i/>
          <w:iCs/>
          <w:color w:val="000000"/>
          <w:sz w:val="20"/>
          <w:szCs w:val="20"/>
          <w:lang w:val="vi-VN"/>
        </w:rPr>
        <w:t xml:space="preserve"> trong suốt giai đoạn 20</w:t>
      </w:r>
      <w:r>
        <w:rPr>
          <w:rFonts w:ascii="Times New Roman" w:eastAsia="Times New Roman" w:hAnsi="Times New Roman" w:cs="Times New Roman"/>
          <w:i/>
          <w:iCs/>
          <w:color w:val="000000"/>
          <w:sz w:val="20"/>
          <w:szCs w:val="20"/>
        </w:rPr>
        <w:t>06</w:t>
      </w:r>
      <w:r w:rsidRPr="00782D22">
        <w:rPr>
          <w:rFonts w:ascii="Times New Roman" w:eastAsia="Times New Roman" w:hAnsi="Times New Roman" w:cs="Times New Roman"/>
          <w:i/>
          <w:iCs/>
          <w:color w:val="000000"/>
          <w:sz w:val="20"/>
          <w:szCs w:val="20"/>
          <w:lang w:val="vi-VN"/>
        </w:rPr>
        <w:t>-2024)</w:t>
      </w:r>
    </w:p>
    <w:p w14:paraId="2C886019" w14:textId="77777777" w:rsidR="005A44A2" w:rsidRDefault="000467FD" w:rsidP="005A44A2">
      <w:pPr>
        <w:pStyle w:val="NormalWeb"/>
        <w:spacing w:before="120" w:beforeAutospacing="0" w:after="0" w:afterAutospacing="0"/>
        <w:jc w:val="both"/>
        <w:rPr>
          <w:lang w:val="en-US"/>
        </w:rPr>
      </w:pPr>
      <w:r w:rsidRPr="008B67D2">
        <w:t xml:space="preserve">Kết quả hồi quy </w:t>
      </w:r>
      <w:r w:rsidR="005A44A2">
        <w:rPr>
          <w:lang w:val="en-US"/>
        </w:rPr>
        <w:t xml:space="preserve">tại Bảng 4 </w:t>
      </w:r>
      <w:r w:rsidRPr="008B67D2">
        <w:t xml:space="preserve">cho thấy, tăng trưởng tín dụng </w:t>
      </w:r>
      <w:r w:rsidR="0086122C">
        <w:rPr>
          <w:lang w:val="en-US"/>
        </w:rPr>
        <w:t>thúc đẩy gia tăng tỷ suất sinh lợi cổ phiếu trong 1 năm và 2 năm sau đ</w:t>
      </w:r>
      <w:r w:rsidR="00D4157D">
        <w:rPr>
          <w:lang w:val="en-US"/>
        </w:rPr>
        <w:t xml:space="preserve">ó và kết quả hồi quy này có ý nghĩa thống kê ở mức 5%. </w:t>
      </w:r>
      <w:r w:rsidRPr="008B67D2">
        <w:t>Điều này phù hợp với các nghiên cứu trước đây</w:t>
      </w:r>
      <w:r w:rsidR="00D4157D">
        <w:rPr>
          <w:lang w:val="en-US"/>
        </w:rPr>
        <w:t xml:space="preserve"> khi </w:t>
      </w:r>
      <w:r w:rsidRPr="008B67D2">
        <w:t>khẳng định vai trò của tín dụng trong việc thúc đẩy thu nhập lãi và mở rộng thị phần ngân hàng. Thực tiễn tại Việt Nam cũng cho thấy</w:t>
      </w:r>
      <w:r w:rsidR="005A44A2">
        <w:rPr>
          <w:lang w:val="en-US"/>
        </w:rPr>
        <w:t>,</w:t>
      </w:r>
      <w:r w:rsidRPr="008B67D2">
        <w:t xml:space="preserve"> tín dụng vẫn là kênh dẫn vốn chủ đạo trong nền kinh tế, đặc biệt khi thị trường vốn chưa phát triển đầy </w:t>
      </w:r>
      <w:r w:rsidRPr="008B67D2">
        <w:lastRenderedPageBreak/>
        <w:t>đủ.</w:t>
      </w:r>
      <w:r w:rsidR="00215518">
        <w:rPr>
          <w:lang w:val="en-US"/>
        </w:rPr>
        <w:t xml:space="preserve"> </w:t>
      </w:r>
      <w:r w:rsidRPr="008B67D2">
        <w:t>Đối với biến không minh bạch thông tin</w:t>
      </w:r>
      <w:r w:rsidR="00215518">
        <w:rPr>
          <w:lang w:val="en-US"/>
        </w:rPr>
        <w:t xml:space="preserve"> trong báo cáo tài chính</w:t>
      </w:r>
      <w:r w:rsidRPr="008B67D2">
        <w:t xml:space="preserve"> </w:t>
      </w:r>
      <w:r w:rsidR="00215518" w:rsidRPr="008B67D2">
        <w:t xml:space="preserve">tác động cùng chiều </w:t>
      </w:r>
      <w:r w:rsidR="00215518">
        <w:rPr>
          <w:lang w:val="en-US"/>
        </w:rPr>
        <w:t>đến</w:t>
      </w:r>
      <w:r w:rsidR="00215518" w:rsidRPr="008B67D2">
        <w:t xml:space="preserve"> tỷ suất sinh lợi cổ phiếu</w:t>
      </w:r>
      <w:r w:rsidR="00215518">
        <w:rPr>
          <w:lang w:val="en-US"/>
        </w:rPr>
        <w:t xml:space="preserve"> với mức ý nghĩa thống kê 1%, tức là làm gia tăng tỷ suất sinh lợi cổ phiếu. </w:t>
      </w:r>
    </w:p>
    <w:p w14:paraId="72D1A283" w14:textId="1F9B86A0" w:rsidR="00C1741A" w:rsidRPr="00C1741A" w:rsidRDefault="00215518" w:rsidP="005A44A2">
      <w:pPr>
        <w:pStyle w:val="NormalWeb"/>
        <w:spacing w:before="120" w:beforeAutospacing="0" w:after="0" w:afterAutospacing="0"/>
        <w:jc w:val="both"/>
        <w:rPr>
          <w:lang w:val="en-US"/>
        </w:rPr>
      </w:pPr>
      <w:proofErr w:type="gramStart"/>
      <w:r>
        <w:rPr>
          <w:lang w:val="en-US"/>
        </w:rPr>
        <w:t xml:space="preserve">Các </w:t>
      </w:r>
      <w:r w:rsidRPr="008B67D2">
        <w:t xml:space="preserve">nhà đầu tư chưa </w:t>
      </w:r>
      <w:r>
        <w:rPr>
          <w:lang w:val="en-US"/>
        </w:rPr>
        <w:t>có thông tin đầy đủ và chính xác về cổ phiếu, và có thể dẫn đến đánh giá quá cao cổ phiếu đó.</w:t>
      </w:r>
      <w:proofErr w:type="gramEnd"/>
      <w:r>
        <w:rPr>
          <w:lang w:val="en-US"/>
        </w:rPr>
        <w:t xml:space="preserve"> </w:t>
      </w:r>
      <w:proofErr w:type="gramStart"/>
      <w:r>
        <w:rPr>
          <w:lang w:val="en-US"/>
        </w:rPr>
        <w:t xml:space="preserve">Hệ số hồi quy của biến tương tác giữa tăng trưởng tín dụng </w:t>
      </w:r>
      <w:r w:rsidR="00FB5188">
        <w:rPr>
          <w:lang w:val="en-US"/>
        </w:rPr>
        <w:t xml:space="preserve">và không minh bạch thông tin trong báo cáo tài chính có giá trị âm, thể hiện </w:t>
      </w:r>
      <w:r w:rsidR="000E5710">
        <w:rPr>
          <w:lang w:val="en-US"/>
        </w:rPr>
        <w:t>không minh bạch thông tin trong báo cáo tài chính làm giảm đi tác động tích cực của tăng trưởng tín dụng đến tỷ suất sinh lợi cổ phiếu.</w:t>
      </w:r>
      <w:proofErr w:type="gramEnd"/>
      <w:r w:rsidR="000E5710">
        <w:rPr>
          <w:lang w:val="en-US"/>
        </w:rPr>
        <w:t xml:space="preserve"> </w:t>
      </w:r>
      <w:r w:rsidR="00C1741A" w:rsidRPr="008B67D2">
        <w:t>Kết quả phản ánh rủi ro</w:t>
      </w:r>
      <w:r w:rsidR="00C1741A">
        <w:rPr>
          <w:lang w:val="en-US"/>
        </w:rPr>
        <w:t xml:space="preserve"> gia tăng</w:t>
      </w:r>
      <w:r w:rsidR="00C1741A" w:rsidRPr="008B67D2">
        <w:t xml:space="preserve"> khi tín dụng tăng trưởng quá mức mà thiếu </w:t>
      </w:r>
      <w:r w:rsidR="00C1741A">
        <w:rPr>
          <w:lang w:val="en-US"/>
        </w:rPr>
        <w:t xml:space="preserve">đi sự </w:t>
      </w:r>
      <w:r w:rsidR="00C1741A" w:rsidRPr="008B67D2">
        <w:t>minh bạch</w:t>
      </w:r>
      <w:r w:rsidR="00C1741A">
        <w:rPr>
          <w:lang w:val="en-US"/>
        </w:rPr>
        <w:t xml:space="preserve"> trong công bố thông tin</w:t>
      </w:r>
      <w:r w:rsidR="00C1741A" w:rsidRPr="008B67D2">
        <w:t xml:space="preserve">, </w:t>
      </w:r>
      <w:r w:rsidR="00C1741A">
        <w:rPr>
          <w:lang w:val="en-US"/>
        </w:rPr>
        <w:t xml:space="preserve">và chính điều này làm giảm đi </w:t>
      </w:r>
      <w:r w:rsidR="00C1741A" w:rsidRPr="008B67D2">
        <w:t xml:space="preserve">tỷ suất sinh lợi cổ phiếu </w:t>
      </w:r>
      <w:r w:rsidR="00C1741A">
        <w:rPr>
          <w:lang w:val="en-US"/>
        </w:rPr>
        <w:t xml:space="preserve">kỳ vọng </w:t>
      </w:r>
      <w:r w:rsidR="00C1741A" w:rsidRPr="008B67D2">
        <w:t>trong tương lai</w:t>
      </w:r>
      <w:r w:rsidR="00C1741A">
        <w:rPr>
          <w:lang w:val="en-US"/>
        </w:rPr>
        <w:t xml:space="preserve">. </w:t>
      </w:r>
      <w:r w:rsidR="001D0DE1" w:rsidRPr="008B67D2">
        <w:t xml:space="preserve">Điều này phù hợp với nghiên cứu của </w:t>
      </w:r>
      <w:r w:rsidR="001D0DE1">
        <w:t xml:space="preserve">Parija và Chhatwani (2024) </w:t>
      </w:r>
      <w:r w:rsidR="005F3732">
        <w:rPr>
          <w:lang w:val="en-US"/>
        </w:rPr>
        <w:t xml:space="preserve">khi </w:t>
      </w:r>
      <w:r w:rsidR="001D0DE1" w:rsidRPr="008B67D2">
        <w:t>cho rằng sự thiếu minh bạch</w:t>
      </w:r>
      <w:r w:rsidR="005F3732">
        <w:rPr>
          <w:lang w:val="en-US"/>
        </w:rPr>
        <w:t xml:space="preserve"> công bố thông tin</w:t>
      </w:r>
      <w:r w:rsidR="001D0DE1" w:rsidRPr="008B67D2">
        <w:t xml:space="preserve"> trong ngân hàng khiến nhà đầu tư dễ đánh giá sai về tăng trưởng tín dụng, dẫn đến lợi suất cổ phiếu thấp hơn kỳ vọng.</w:t>
      </w:r>
    </w:p>
    <w:p w14:paraId="6CA03C1F" w14:textId="0F868434" w:rsidR="00620FF2" w:rsidRPr="00C257A5" w:rsidRDefault="00C257A5" w:rsidP="005A44A2">
      <w:pPr>
        <w:pStyle w:val="NormalWeb"/>
        <w:spacing w:before="120" w:beforeAutospacing="0" w:after="0" w:afterAutospacing="0"/>
        <w:jc w:val="both"/>
        <w:rPr>
          <w:lang w:val="en-US"/>
        </w:rPr>
      </w:pPr>
      <w:r>
        <w:rPr>
          <w:lang w:val="en-US"/>
        </w:rPr>
        <w:t xml:space="preserve">Tỷ số giá </w:t>
      </w:r>
      <w:r w:rsidRPr="008B67D2">
        <w:t>trị sổ sách trên giá thị trường</w:t>
      </w:r>
      <w:r>
        <w:rPr>
          <w:lang w:val="en-US"/>
        </w:rPr>
        <w:t xml:space="preserve"> có tác động cùng chiều đến tỷ suất sinh lợi cổ phiếu và có ý nghĩa thống kê ở mức 1%, thể hiện các </w:t>
      </w:r>
      <w:r w:rsidR="005807DE">
        <w:rPr>
          <w:lang w:val="en-US"/>
        </w:rPr>
        <w:t xml:space="preserve">ngân hàng </w:t>
      </w:r>
      <w:r>
        <w:rPr>
          <w:lang w:val="en-US"/>
        </w:rPr>
        <w:t xml:space="preserve">càng có tỷ số giá trị sổ sách trên giá trị thị trường càng cao, thì rủi ro xảy ra kiệt quệ tài chính càng lớn khi mà giá trị sổ sách lớn hơn nhiều so với thị trường định giá, dẫn đến các nhà đầu tư đòi hỏi tỷ suất sinh lợi cao hơn cho các cổ phiếu đó. </w:t>
      </w:r>
      <w:proofErr w:type="gramStart"/>
      <w:r w:rsidR="00620FF2">
        <w:rPr>
          <w:lang w:val="en-US"/>
        </w:rPr>
        <w:t>Ngoài ra, quy mô ngân hàng tác động cùng chiều đến tỷ suất sinh lợi cổ phiếu và có ý nghĩa thống kê ở mức 1%</w:t>
      </w:r>
      <w:r w:rsidR="005807DE">
        <w:rPr>
          <w:lang w:val="en-US"/>
        </w:rPr>
        <w:t>.</w:t>
      </w:r>
      <w:proofErr w:type="gramEnd"/>
      <w:r w:rsidR="005807DE">
        <w:rPr>
          <w:lang w:val="en-US"/>
        </w:rPr>
        <w:t xml:space="preserve"> Điều này thể hiện các ngân hàng có quy mô lớn thì có nhiều lợi thế kinh tế </w:t>
      </w:r>
      <w:proofErr w:type="gramStart"/>
      <w:r w:rsidR="005807DE">
        <w:rPr>
          <w:lang w:val="en-US"/>
        </w:rPr>
        <w:t>theo</w:t>
      </w:r>
      <w:proofErr w:type="gramEnd"/>
      <w:r w:rsidR="005807DE">
        <w:rPr>
          <w:lang w:val="en-US"/>
        </w:rPr>
        <w:t xml:space="preserve"> quy mô, dẫn đến đạt được thành quả tài chính tốt hơn và từ đó dẫn đến tỷ suất sinh lợi cao hơn khi các nhà đầu tư trên thị trường đánh giá tốt về thành quả của ngân hàng. </w:t>
      </w:r>
    </w:p>
    <w:p w14:paraId="2301146D" w14:textId="361D8A86" w:rsidR="00256DF0" w:rsidRPr="008B67D2" w:rsidRDefault="00F727D8" w:rsidP="005A44A2">
      <w:pPr>
        <w:widowControl w:val="0"/>
        <w:numPr>
          <w:ilvl w:val="0"/>
          <w:numId w:val="5"/>
        </w:numPr>
        <w:kinsoku w:val="0"/>
        <w:autoSpaceDE w:val="0"/>
        <w:autoSpaceDN w:val="0"/>
        <w:adjustRightInd w:val="0"/>
        <w:spacing w:before="120" w:after="0" w:line="240" w:lineRule="auto"/>
        <w:jc w:val="both"/>
        <w:textAlignment w:val="baseline"/>
        <w:rPr>
          <w:rFonts w:ascii="Times New Roman" w:hAnsi="Times New Roman" w:cs="Times New Roman"/>
          <w:sz w:val="24"/>
          <w:szCs w:val="24"/>
          <w:lang w:val="vi-VN"/>
        </w:rPr>
      </w:pPr>
      <w:r>
        <w:rPr>
          <w:rFonts w:ascii="Times New Roman" w:hAnsi="Times New Roman" w:cs="Times New Roman"/>
          <w:b/>
          <w:noProof/>
          <w:color w:val="000000"/>
          <w:sz w:val="24"/>
          <w:szCs w:val="24"/>
        </w:rPr>
        <w:t xml:space="preserve"> </w:t>
      </w:r>
      <w:r w:rsidR="00B94DEF">
        <w:rPr>
          <w:rFonts w:ascii="Times New Roman" w:hAnsi="Times New Roman" w:cs="Times New Roman"/>
          <w:b/>
          <w:noProof/>
          <w:color w:val="000000"/>
          <w:sz w:val="24"/>
          <w:szCs w:val="24"/>
        </w:rPr>
        <w:t>Hàm ý nghiên cứu</w:t>
      </w:r>
    </w:p>
    <w:p w14:paraId="7CF2657F" w14:textId="611890F8" w:rsidR="00256DF0" w:rsidRPr="00013F2E" w:rsidRDefault="00AA4834" w:rsidP="005A44A2">
      <w:pPr>
        <w:widowControl w:val="0"/>
        <w:kinsoku w:val="0"/>
        <w:autoSpaceDE w:val="0"/>
        <w:autoSpaceDN w:val="0"/>
        <w:adjustRightInd w:val="0"/>
        <w:spacing w:before="120" w:after="0" w:line="240" w:lineRule="auto"/>
        <w:ind w:left="20"/>
        <w:jc w:val="both"/>
        <w:textAlignment w:val="baseline"/>
        <w:rPr>
          <w:rFonts w:ascii="Times New Roman" w:hAnsi="Times New Roman" w:cs="Times New Roman"/>
          <w:sz w:val="24"/>
          <w:szCs w:val="24"/>
        </w:rPr>
      </w:pPr>
      <w:r w:rsidRPr="008B67D2">
        <w:rPr>
          <w:rFonts w:ascii="Times New Roman" w:hAnsi="Times New Roman" w:cs="Times New Roman"/>
          <w:sz w:val="24"/>
          <w:szCs w:val="24"/>
        </w:rPr>
        <w:t xml:space="preserve">Trong bối cảnh tăng trưởng tín dụng có ảnh hưởng tích cực đến tỷ suất sinh lợi cổ phiếu nhưng lại bị suy yếu khi mức độ không minh bạch thông tin gia tăng, các ngân hàng thương mại Việt Nam cần chú trọng tăng trưởng tín dụng đi đôi với kiểm soát chất lượng tín dụng và công bố thông tin minh bạch. </w:t>
      </w:r>
      <w:proofErr w:type="gramStart"/>
      <w:r w:rsidRPr="008B67D2">
        <w:rPr>
          <w:rFonts w:ascii="Times New Roman" w:hAnsi="Times New Roman" w:cs="Times New Roman"/>
          <w:sz w:val="24"/>
          <w:szCs w:val="24"/>
        </w:rPr>
        <w:t>Cụ thể, các ngân hàng nên áp dụng chuẩn mực kế toán quốc tế, nâng cao chất lượng báo cáo tài chính và tăng cường kiểm toán độc lập.</w:t>
      </w:r>
      <w:proofErr w:type="gramEnd"/>
      <w:r w:rsidRPr="008B67D2">
        <w:rPr>
          <w:rFonts w:ascii="Times New Roman" w:hAnsi="Times New Roman" w:cs="Times New Roman"/>
          <w:sz w:val="24"/>
          <w:szCs w:val="24"/>
        </w:rPr>
        <w:t xml:space="preserve"> Bên cạnh đó, cần định hướng tín dụng vào các lĩnh vực sản xuất có hiệu quả, giảm phụ thuộc vào tín dụng bất động sản hay tiêu dùng dễ rủi ro. Những nỗ lực này sẽ góp phần nâng cao niềm tin của nhà đầu tư, từ đó cải thiện tỷ suất sinh lợi cổ phiếu trong dài hạn.</w:t>
      </w:r>
    </w:p>
    <w:p w14:paraId="52B7C2DD" w14:textId="16C998A2" w:rsidR="00AA4834" w:rsidRPr="003A0CD7" w:rsidRDefault="00256DF0" w:rsidP="005A44A2">
      <w:pPr>
        <w:widowControl w:val="0"/>
        <w:kinsoku w:val="0"/>
        <w:autoSpaceDE w:val="0"/>
        <w:autoSpaceDN w:val="0"/>
        <w:adjustRightInd w:val="0"/>
        <w:spacing w:before="120" w:after="0" w:line="240" w:lineRule="auto"/>
        <w:ind w:left="3680"/>
        <w:jc w:val="both"/>
        <w:textAlignment w:val="baseline"/>
        <w:rPr>
          <w:rFonts w:ascii="Times New Roman" w:hAnsi="Times New Roman" w:cs="Times New Roman"/>
          <w:sz w:val="24"/>
          <w:szCs w:val="24"/>
        </w:rPr>
      </w:pPr>
      <w:r w:rsidRPr="008B67D2">
        <w:rPr>
          <w:rFonts w:ascii="Times New Roman" w:hAnsi="Times New Roman" w:cs="Times New Roman"/>
          <w:b/>
          <w:noProof/>
          <w:color w:val="000000"/>
          <w:spacing w:val="1"/>
          <w:sz w:val="24"/>
          <w:szCs w:val="24"/>
        </w:rPr>
        <w:t>T</w:t>
      </w:r>
      <w:r w:rsidRPr="008B67D2">
        <w:rPr>
          <w:rFonts w:ascii="Times New Roman" w:hAnsi="Times New Roman" w:cs="Times New Roman"/>
          <w:b/>
          <w:noProof/>
          <w:color w:val="000000"/>
          <w:sz w:val="24"/>
          <w:szCs w:val="24"/>
        </w:rPr>
        <w:t>ÀI</w:t>
      </w:r>
      <w:r w:rsidRPr="008B67D2">
        <w:rPr>
          <w:rFonts w:ascii="Times New Roman" w:hAnsi="Times New Roman" w:cs="Times New Roman"/>
          <w:b/>
          <w:color w:val="000000"/>
          <w:spacing w:val="-1"/>
          <w:sz w:val="24"/>
          <w:szCs w:val="24"/>
        </w:rPr>
        <w:t xml:space="preserve"> </w:t>
      </w:r>
      <w:r w:rsidRPr="008B67D2">
        <w:rPr>
          <w:rFonts w:ascii="Times New Roman" w:hAnsi="Times New Roman" w:cs="Times New Roman"/>
          <w:b/>
          <w:noProof/>
          <w:color w:val="000000"/>
          <w:sz w:val="24"/>
          <w:szCs w:val="24"/>
        </w:rPr>
        <w:t>LIỆU</w:t>
      </w:r>
      <w:r w:rsidRPr="008B67D2">
        <w:rPr>
          <w:rFonts w:ascii="Times New Roman" w:hAnsi="Times New Roman" w:cs="Times New Roman"/>
          <w:b/>
          <w:color w:val="000000"/>
          <w:spacing w:val="-1"/>
          <w:sz w:val="24"/>
          <w:szCs w:val="24"/>
        </w:rPr>
        <w:t xml:space="preserve"> </w:t>
      </w:r>
      <w:r w:rsidRPr="008B67D2">
        <w:rPr>
          <w:rFonts w:ascii="Times New Roman" w:hAnsi="Times New Roman" w:cs="Times New Roman"/>
          <w:b/>
          <w:noProof/>
          <w:color w:val="000000"/>
          <w:sz w:val="24"/>
          <w:szCs w:val="24"/>
        </w:rPr>
        <w:t>THAM</w:t>
      </w:r>
      <w:r w:rsidRPr="008B67D2">
        <w:rPr>
          <w:rFonts w:ascii="Times New Roman" w:hAnsi="Times New Roman" w:cs="Times New Roman"/>
          <w:b/>
          <w:color w:val="000000"/>
          <w:spacing w:val="-1"/>
          <w:sz w:val="24"/>
          <w:szCs w:val="24"/>
        </w:rPr>
        <w:t xml:space="preserve"> </w:t>
      </w:r>
      <w:r w:rsidRPr="008B67D2">
        <w:rPr>
          <w:rFonts w:ascii="Times New Roman" w:hAnsi="Times New Roman" w:cs="Times New Roman"/>
          <w:b/>
          <w:noProof/>
          <w:color w:val="000000"/>
          <w:sz w:val="24"/>
          <w:szCs w:val="24"/>
        </w:rPr>
        <w:t>KHẢO</w:t>
      </w:r>
      <w:r w:rsidR="00E25A71">
        <w:rPr>
          <w:rFonts w:ascii="Times New Roman" w:hAnsi="Times New Roman" w:cs="Times New Roman"/>
          <w:b/>
          <w:noProof/>
          <w:color w:val="000000"/>
          <w:sz w:val="24"/>
          <w:szCs w:val="24"/>
        </w:rPr>
        <w:t>:</w:t>
      </w:r>
    </w:p>
    <w:p w14:paraId="4A71122D" w14:textId="77777777" w:rsidR="00D34D9A" w:rsidRDefault="00D34D9A" w:rsidP="005A44A2">
      <w:pPr>
        <w:widowControl w:val="0"/>
        <w:kinsoku w:val="0"/>
        <w:autoSpaceDE w:val="0"/>
        <w:autoSpaceDN w:val="0"/>
        <w:adjustRightInd w:val="0"/>
        <w:spacing w:before="120" w:after="0" w:line="240" w:lineRule="auto"/>
        <w:ind w:left="20"/>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Nguyễn Thị Thiều Quang và Hà Xuân Thùy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Vai trò của các yếu tố đặc điểm ngân hàng đến tỷ suất sinh lợi cổ phiếu trong giai đoạn COVID-19.</w:t>
      </w:r>
      <w:proofErr w:type="gramEnd"/>
      <w:r>
        <w:rPr>
          <w:rFonts w:ascii="Times New Roman" w:hAnsi="Times New Roman" w:cs="Times New Roman"/>
          <w:sz w:val="24"/>
          <w:szCs w:val="24"/>
        </w:rPr>
        <w:t xml:space="preserve"> </w:t>
      </w:r>
      <w:proofErr w:type="gramStart"/>
      <w:r w:rsidRPr="00D8427C">
        <w:rPr>
          <w:rFonts w:ascii="Times New Roman" w:hAnsi="Times New Roman" w:cs="Times New Roman"/>
          <w:i/>
          <w:iCs/>
          <w:sz w:val="24"/>
          <w:szCs w:val="24"/>
        </w:rPr>
        <w:t>Tạp chí Nghiên cứu kinh tế và kinh doanh Châu Á</w:t>
      </w:r>
      <w:r>
        <w:rPr>
          <w:rFonts w:ascii="Times New Roman" w:hAnsi="Times New Roman" w:cs="Times New Roman"/>
          <w:sz w:val="24"/>
          <w:szCs w:val="24"/>
        </w:rPr>
        <w:t>, 32(5), 18-40.</w:t>
      </w:r>
      <w:proofErr w:type="gramEnd"/>
      <w:r>
        <w:rPr>
          <w:rFonts w:ascii="Times New Roman" w:hAnsi="Times New Roman" w:cs="Times New Roman"/>
          <w:sz w:val="24"/>
          <w:szCs w:val="24"/>
        </w:rPr>
        <w:t xml:space="preserve"> </w:t>
      </w:r>
    </w:p>
    <w:p w14:paraId="55FAEB34" w14:textId="77777777" w:rsidR="00E25A71" w:rsidRDefault="00E25A71" w:rsidP="00E25A71">
      <w:pPr>
        <w:spacing w:before="120" w:after="0" w:line="240" w:lineRule="auto"/>
        <w:jc w:val="both"/>
        <w:rPr>
          <w:rFonts w:ascii="Times New Roman" w:hAnsi="Times New Roman" w:cs="Times New Roman"/>
          <w:bCs/>
          <w:sz w:val="24"/>
          <w:szCs w:val="24"/>
        </w:rPr>
      </w:pPr>
      <w:proofErr w:type="gramStart"/>
      <w:r w:rsidRPr="00970B79">
        <w:rPr>
          <w:rFonts w:ascii="Times New Roman" w:hAnsi="Times New Roman" w:cs="Times New Roman"/>
          <w:bCs/>
          <w:sz w:val="24"/>
          <w:szCs w:val="24"/>
        </w:rPr>
        <w:t xml:space="preserve">Trương </w:t>
      </w:r>
      <w:r>
        <w:rPr>
          <w:rFonts w:ascii="Times New Roman" w:hAnsi="Times New Roman" w:cs="Times New Roman"/>
          <w:bCs/>
          <w:sz w:val="24"/>
          <w:szCs w:val="24"/>
        </w:rPr>
        <w:t>Phương Huyền (2025).</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Các yếu tố ảnh hưởng đến tỷ suất sinh lợi của các ngân hàng thương mại cổ phần tại Việt Nam.</w:t>
      </w:r>
      <w:proofErr w:type="gramEnd"/>
      <w:r>
        <w:rPr>
          <w:rFonts w:ascii="Times New Roman" w:hAnsi="Times New Roman" w:cs="Times New Roman"/>
          <w:bCs/>
          <w:sz w:val="24"/>
          <w:szCs w:val="24"/>
        </w:rPr>
        <w:t xml:space="preserve"> </w:t>
      </w:r>
      <w:proofErr w:type="gramStart"/>
      <w:r w:rsidRPr="00970B79">
        <w:rPr>
          <w:rFonts w:ascii="Times New Roman" w:hAnsi="Times New Roman" w:cs="Times New Roman"/>
          <w:bCs/>
          <w:i/>
          <w:iCs/>
          <w:sz w:val="24"/>
          <w:szCs w:val="24"/>
        </w:rPr>
        <w:t>Tạp chí Kinh tế và Dự báo</w:t>
      </w:r>
      <w:r>
        <w:rPr>
          <w:rFonts w:ascii="Times New Roman" w:hAnsi="Times New Roman" w:cs="Times New Roman"/>
          <w:bCs/>
          <w:sz w:val="24"/>
          <w:szCs w:val="24"/>
        </w:rPr>
        <w:t>.</w:t>
      </w:r>
      <w:proofErr w:type="gramEnd"/>
    </w:p>
    <w:p w14:paraId="76FC1482" w14:textId="77777777" w:rsidR="00503E0A" w:rsidRDefault="00503E0A" w:rsidP="005A44A2">
      <w:pPr>
        <w:spacing w:before="12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Parija, A.K. &amp; Chhatwani, M. (2024).</w:t>
      </w:r>
      <w:proofErr w:type="gramEnd"/>
      <w:r>
        <w:rPr>
          <w:rFonts w:ascii="Times New Roman" w:hAnsi="Times New Roman" w:cs="Times New Roman"/>
          <w:sz w:val="24"/>
          <w:szCs w:val="24"/>
        </w:rPr>
        <w:t xml:space="preserve"> How does bank opacity affect credit growth and return predictability. </w:t>
      </w:r>
      <w:proofErr w:type="gramStart"/>
      <w:r w:rsidRPr="00364102">
        <w:rPr>
          <w:rFonts w:ascii="Times New Roman" w:hAnsi="Times New Roman" w:cs="Times New Roman"/>
          <w:i/>
          <w:iCs/>
          <w:sz w:val="24"/>
          <w:szCs w:val="24"/>
        </w:rPr>
        <w:t>Journal of Empirical Finance</w:t>
      </w:r>
      <w:r>
        <w:rPr>
          <w:rFonts w:ascii="Times New Roman" w:hAnsi="Times New Roman" w:cs="Times New Roman"/>
          <w:sz w:val="24"/>
          <w:szCs w:val="24"/>
        </w:rPr>
        <w:t>, 79.</w:t>
      </w:r>
      <w:proofErr w:type="gramEnd"/>
      <w:r>
        <w:rPr>
          <w:rFonts w:ascii="Times New Roman" w:hAnsi="Times New Roman" w:cs="Times New Roman"/>
          <w:sz w:val="24"/>
          <w:szCs w:val="24"/>
        </w:rPr>
        <w:t xml:space="preserve"> </w:t>
      </w:r>
    </w:p>
    <w:p w14:paraId="7E9E421B" w14:textId="77777777" w:rsidR="004174E4" w:rsidRDefault="004174E4" w:rsidP="005A44A2">
      <w:pPr>
        <w:spacing w:before="120" w:after="0" w:line="240" w:lineRule="auto"/>
        <w:jc w:val="both"/>
        <w:rPr>
          <w:rFonts w:ascii="Times New Roman" w:hAnsi="Times New Roman" w:cs="Times New Roman"/>
          <w:sz w:val="24"/>
          <w:szCs w:val="24"/>
        </w:rPr>
      </w:pPr>
    </w:p>
    <w:p w14:paraId="72F74258" w14:textId="77777777" w:rsidR="004174E4" w:rsidRDefault="004174E4" w:rsidP="004174E4">
      <w:pPr>
        <w:spacing w:before="120" w:line="240" w:lineRule="auto"/>
      </w:pPr>
      <w:r>
        <w:t>Ngày nhận bài: 16/3/2026</w:t>
      </w:r>
    </w:p>
    <w:p w14:paraId="12B917E4" w14:textId="77777777" w:rsidR="004174E4" w:rsidRDefault="004174E4" w:rsidP="004174E4">
      <w:pPr>
        <w:spacing w:before="120" w:line="240" w:lineRule="auto"/>
      </w:pPr>
      <w:r>
        <w:t>Ngày phản biện đánh giá và sửa chữa: 31/3/2026</w:t>
      </w:r>
    </w:p>
    <w:p w14:paraId="61D64B49" w14:textId="77777777" w:rsidR="004174E4" w:rsidRDefault="004174E4" w:rsidP="004174E4">
      <w:pPr>
        <w:spacing w:before="120" w:line="240" w:lineRule="auto"/>
      </w:pPr>
      <w:r>
        <w:t>Ngày chấp nhận đăng bài: 18/4/2026</w:t>
      </w:r>
    </w:p>
    <w:p w14:paraId="0E9E1965" w14:textId="77777777" w:rsidR="004174E4" w:rsidRDefault="004174E4" w:rsidP="005A44A2">
      <w:pPr>
        <w:spacing w:before="120" w:after="0" w:line="240" w:lineRule="auto"/>
        <w:jc w:val="both"/>
        <w:rPr>
          <w:rFonts w:ascii="Times New Roman" w:hAnsi="Times New Roman" w:cs="Times New Roman"/>
          <w:sz w:val="24"/>
          <w:szCs w:val="24"/>
        </w:rPr>
      </w:pPr>
    </w:p>
    <w:p w14:paraId="1D46C3F5" w14:textId="77777777" w:rsidR="004174E4" w:rsidRPr="00970B79" w:rsidRDefault="004174E4" w:rsidP="005A44A2">
      <w:pPr>
        <w:spacing w:before="120" w:after="0" w:line="240" w:lineRule="auto"/>
        <w:jc w:val="both"/>
        <w:rPr>
          <w:rFonts w:ascii="Times New Roman" w:hAnsi="Times New Roman" w:cs="Times New Roman"/>
          <w:bCs/>
          <w:sz w:val="24"/>
          <w:szCs w:val="24"/>
        </w:rPr>
      </w:pPr>
    </w:p>
    <w:p w14:paraId="6BE10FD0" w14:textId="368A7823" w:rsidR="005A44A2" w:rsidRDefault="005A44A2" w:rsidP="000A23FE">
      <w:pPr>
        <w:spacing w:before="120" w:after="0" w:line="240" w:lineRule="auto"/>
        <w:jc w:val="center"/>
        <w:rPr>
          <w:rFonts w:ascii="Times New Roman" w:hAnsi="Times New Roman" w:cs="Times New Roman"/>
          <w:bCs/>
          <w:sz w:val="24"/>
          <w:szCs w:val="24"/>
        </w:rPr>
      </w:pPr>
    </w:p>
    <w:p w14:paraId="7E5EF702" w14:textId="34479843" w:rsidR="00487C11" w:rsidRDefault="007A25D0" w:rsidP="000A23FE">
      <w:pPr>
        <w:jc w:val="center"/>
        <w:rPr>
          <w:rFonts w:ascii="Times New Roman" w:hAnsi="Times New Roman" w:cs="Times New Roman"/>
          <w:sz w:val="24"/>
          <w:szCs w:val="24"/>
        </w:rPr>
      </w:pPr>
      <w:r w:rsidRPr="000A23FE">
        <w:rPr>
          <w:rFonts w:ascii="Times New Roman" w:eastAsia="Times New Roman" w:hAnsi="Times New Roman" w:cs="Times New Roman"/>
          <w:b/>
          <w:bCs/>
          <w:color w:val="000000"/>
          <w:sz w:val="24"/>
          <w:szCs w:val="24"/>
        </w:rPr>
        <w:t xml:space="preserve">Credit growth and bank stock returns: </w:t>
      </w:r>
      <w:r w:rsidR="009544CA" w:rsidRPr="009544CA">
        <w:rPr>
          <w:rFonts w:ascii="Times New Roman" w:eastAsia="Times New Roman" w:hAnsi="Times New Roman" w:cs="Times New Roman"/>
          <w:b/>
          <w:bCs/>
          <w:color w:val="000000"/>
          <w:sz w:val="24"/>
          <w:szCs w:val="24"/>
        </w:rPr>
        <w:t xml:space="preserve">The moderating role of financial reporting opacity in Vietnamese </w:t>
      </w:r>
      <w:r w:rsidR="00ED7B43" w:rsidRPr="009544CA">
        <w:rPr>
          <w:rFonts w:ascii="Times New Roman" w:eastAsia="Times New Roman" w:hAnsi="Times New Roman" w:cs="Times New Roman"/>
          <w:b/>
          <w:bCs/>
          <w:color w:val="000000"/>
          <w:sz w:val="24"/>
          <w:szCs w:val="24"/>
        </w:rPr>
        <w:t>commercial banks</w:t>
      </w:r>
    </w:p>
    <w:p w14:paraId="7A83E03E" w14:textId="1039370E" w:rsidR="00487C11" w:rsidRPr="000A23FE" w:rsidRDefault="00487C11" w:rsidP="000A23FE">
      <w:pPr>
        <w:pStyle w:val="Heading1"/>
        <w:spacing w:line="240" w:lineRule="auto"/>
        <w:rPr>
          <w:rFonts w:ascii="Times New Roman" w:hAnsi="Times New Roman" w:cs="Times New Roman"/>
          <w:b w:val="0"/>
          <w:bCs w:val="0"/>
          <w:sz w:val="24"/>
          <w:szCs w:val="24"/>
          <w:vertAlign w:val="superscript"/>
          <w:lang w:val="en-US"/>
        </w:rPr>
      </w:pPr>
      <w:r w:rsidRPr="000A23FE">
        <w:rPr>
          <w:rFonts w:ascii="Times New Roman" w:hAnsi="Times New Roman" w:cs="Times New Roman"/>
          <w:b w:val="0"/>
          <w:bCs w:val="0"/>
          <w:sz w:val="24"/>
          <w:szCs w:val="24"/>
          <w:lang w:val="en-US"/>
        </w:rPr>
        <w:t>Vu Trong Hien</w:t>
      </w:r>
      <w:r>
        <w:rPr>
          <w:rFonts w:ascii="Times New Roman" w:hAnsi="Times New Roman" w:cs="Times New Roman"/>
          <w:b w:val="0"/>
          <w:bCs w:val="0"/>
          <w:sz w:val="24"/>
          <w:szCs w:val="24"/>
          <w:vertAlign w:val="superscript"/>
          <w:lang w:val="en-US"/>
        </w:rPr>
        <w:t>1</w:t>
      </w:r>
    </w:p>
    <w:p w14:paraId="303EB6A4" w14:textId="36A5A63C" w:rsidR="00487C11" w:rsidRPr="000A23FE" w:rsidRDefault="00487C11" w:rsidP="000A23FE">
      <w:pPr>
        <w:pStyle w:val="Heading1"/>
        <w:spacing w:line="240" w:lineRule="auto"/>
        <w:rPr>
          <w:rFonts w:ascii="Times New Roman" w:hAnsi="Times New Roman" w:cs="Times New Roman"/>
          <w:b w:val="0"/>
          <w:bCs w:val="0"/>
          <w:sz w:val="24"/>
          <w:szCs w:val="24"/>
          <w:vertAlign w:val="superscript"/>
          <w:lang w:val="en-US"/>
        </w:rPr>
      </w:pPr>
      <w:r w:rsidRPr="000A23FE">
        <w:rPr>
          <w:rFonts w:ascii="Times New Roman" w:hAnsi="Times New Roman" w:cs="Times New Roman"/>
          <w:b w:val="0"/>
          <w:bCs w:val="0"/>
          <w:sz w:val="24"/>
          <w:szCs w:val="24"/>
          <w:lang w:val="en-US"/>
        </w:rPr>
        <w:t>Nguyen Thanh Thuong</w:t>
      </w:r>
      <w:r>
        <w:rPr>
          <w:rFonts w:ascii="Times New Roman" w:hAnsi="Times New Roman" w:cs="Times New Roman"/>
          <w:b w:val="0"/>
          <w:bCs w:val="0"/>
          <w:sz w:val="24"/>
          <w:szCs w:val="24"/>
          <w:vertAlign w:val="superscript"/>
          <w:lang w:val="en-US"/>
        </w:rPr>
        <w:t>1</w:t>
      </w:r>
    </w:p>
    <w:p w14:paraId="70F17EAD" w14:textId="0262B03C" w:rsidR="00487C11" w:rsidRPr="000A23FE" w:rsidRDefault="00487C11" w:rsidP="000A23FE">
      <w:pPr>
        <w:pStyle w:val="Heading1"/>
        <w:spacing w:line="240" w:lineRule="auto"/>
        <w:rPr>
          <w:rFonts w:ascii="Times New Roman" w:hAnsi="Times New Roman" w:cs="Times New Roman"/>
          <w:b w:val="0"/>
          <w:bCs w:val="0"/>
          <w:sz w:val="24"/>
          <w:szCs w:val="24"/>
          <w:vertAlign w:val="superscript"/>
          <w:lang w:val="en-US"/>
        </w:rPr>
      </w:pPr>
      <w:r w:rsidRPr="000A23FE">
        <w:rPr>
          <w:rFonts w:ascii="Times New Roman" w:hAnsi="Times New Roman" w:cs="Times New Roman"/>
          <w:b w:val="0"/>
          <w:bCs w:val="0"/>
          <w:sz w:val="24"/>
          <w:szCs w:val="24"/>
          <w:lang w:val="en-US"/>
        </w:rPr>
        <w:t>Tran Thi Ngoc Khue</w:t>
      </w:r>
      <w:r>
        <w:rPr>
          <w:rFonts w:ascii="Times New Roman" w:hAnsi="Times New Roman" w:cs="Times New Roman"/>
          <w:b w:val="0"/>
          <w:bCs w:val="0"/>
          <w:sz w:val="24"/>
          <w:szCs w:val="24"/>
          <w:vertAlign w:val="superscript"/>
          <w:lang w:val="en-US"/>
        </w:rPr>
        <w:t>1</w:t>
      </w:r>
    </w:p>
    <w:p w14:paraId="7B95AF86" w14:textId="1A3D5213" w:rsidR="00487C11" w:rsidRPr="000A23FE" w:rsidRDefault="00487C11" w:rsidP="000A23FE">
      <w:pPr>
        <w:pStyle w:val="Heading1"/>
        <w:spacing w:line="240" w:lineRule="auto"/>
        <w:rPr>
          <w:rFonts w:ascii="Times New Roman" w:hAnsi="Times New Roman" w:cs="Times New Roman"/>
          <w:b w:val="0"/>
          <w:bCs w:val="0"/>
          <w:sz w:val="24"/>
          <w:szCs w:val="24"/>
          <w:vertAlign w:val="superscript"/>
          <w:lang w:val="en-US"/>
        </w:rPr>
      </w:pPr>
      <w:proofErr w:type="gramStart"/>
      <w:r w:rsidRPr="000A23FE">
        <w:rPr>
          <w:rFonts w:ascii="Times New Roman" w:hAnsi="Times New Roman" w:cs="Times New Roman"/>
          <w:b w:val="0"/>
          <w:bCs w:val="0"/>
          <w:sz w:val="24"/>
          <w:szCs w:val="24"/>
          <w:lang w:val="en-US"/>
        </w:rPr>
        <w:t>Vo</w:t>
      </w:r>
      <w:proofErr w:type="gramEnd"/>
      <w:r w:rsidRPr="000A23FE">
        <w:rPr>
          <w:rFonts w:ascii="Times New Roman" w:hAnsi="Times New Roman" w:cs="Times New Roman"/>
          <w:b w:val="0"/>
          <w:bCs w:val="0"/>
          <w:sz w:val="24"/>
          <w:szCs w:val="24"/>
          <w:lang w:val="en-US"/>
        </w:rPr>
        <w:t xml:space="preserve"> Phu Dien</w:t>
      </w:r>
      <w:r>
        <w:rPr>
          <w:rFonts w:ascii="Times New Roman" w:hAnsi="Times New Roman" w:cs="Times New Roman"/>
          <w:b w:val="0"/>
          <w:bCs w:val="0"/>
          <w:sz w:val="24"/>
          <w:szCs w:val="24"/>
          <w:vertAlign w:val="superscript"/>
          <w:lang w:val="en-US"/>
        </w:rPr>
        <w:t>1</w:t>
      </w:r>
    </w:p>
    <w:p w14:paraId="387BB179" w14:textId="49330664" w:rsidR="00487C11" w:rsidRPr="000A23FE" w:rsidRDefault="00487C11" w:rsidP="000A23FE">
      <w:pPr>
        <w:pStyle w:val="Heading1"/>
        <w:spacing w:line="240" w:lineRule="auto"/>
        <w:rPr>
          <w:rFonts w:ascii="Times New Roman" w:hAnsi="Times New Roman" w:cs="Times New Roman"/>
          <w:b w:val="0"/>
          <w:bCs w:val="0"/>
          <w:sz w:val="24"/>
          <w:szCs w:val="24"/>
          <w:vertAlign w:val="superscript"/>
          <w:lang w:val="en-US"/>
        </w:rPr>
      </w:pPr>
      <w:r w:rsidRPr="000A23FE">
        <w:rPr>
          <w:rFonts w:ascii="Times New Roman" w:hAnsi="Times New Roman" w:cs="Times New Roman"/>
          <w:b w:val="0"/>
          <w:bCs w:val="0"/>
          <w:sz w:val="24"/>
          <w:szCs w:val="24"/>
          <w:lang w:val="en-US"/>
        </w:rPr>
        <w:t>Nguyen Thi Ngoc Lan</w:t>
      </w:r>
      <w:r>
        <w:rPr>
          <w:rFonts w:ascii="Times New Roman" w:hAnsi="Times New Roman" w:cs="Times New Roman"/>
          <w:b w:val="0"/>
          <w:bCs w:val="0"/>
          <w:sz w:val="24"/>
          <w:szCs w:val="24"/>
          <w:vertAlign w:val="superscript"/>
          <w:lang w:val="en-US"/>
        </w:rPr>
        <w:t>1</w:t>
      </w:r>
    </w:p>
    <w:p w14:paraId="7C544A4B" w14:textId="4AD29612" w:rsidR="00487C11" w:rsidRPr="000A23FE" w:rsidRDefault="00487C11" w:rsidP="000A23FE">
      <w:pPr>
        <w:pStyle w:val="Heading1"/>
        <w:spacing w:line="240" w:lineRule="auto"/>
        <w:rPr>
          <w:rFonts w:ascii="Times New Roman" w:hAnsi="Times New Roman" w:cs="Times New Roman"/>
          <w:b w:val="0"/>
          <w:bCs w:val="0"/>
          <w:sz w:val="24"/>
          <w:szCs w:val="24"/>
          <w:vertAlign w:val="superscript"/>
          <w:lang w:val="en-US"/>
        </w:rPr>
      </w:pPr>
      <w:r w:rsidRPr="000A23FE">
        <w:rPr>
          <w:rFonts w:ascii="Times New Roman" w:hAnsi="Times New Roman" w:cs="Times New Roman"/>
          <w:b w:val="0"/>
          <w:bCs w:val="0"/>
          <w:sz w:val="24"/>
          <w:szCs w:val="24"/>
          <w:lang w:val="en-US"/>
        </w:rPr>
        <w:t>Bui Le Thao My</w:t>
      </w:r>
      <w:r>
        <w:rPr>
          <w:rFonts w:ascii="Times New Roman" w:hAnsi="Times New Roman" w:cs="Times New Roman"/>
          <w:b w:val="0"/>
          <w:bCs w:val="0"/>
          <w:sz w:val="24"/>
          <w:szCs w:val="24"/>
          <w:vertAlign w:val="superscript"/>
          <w:lang w:val="en-US"/>
        </w:rPr>
        <w:t>1</w:t>
      </w:r>
    </w:p>
    <w:p w14:paraId="05F02A5F" w14:textId="782C038E" w:rsidR="00487C11" w:rsidRPr="000A23FE" w:rsidRDefault="00487C11" w:rsidP="000A23FE">
      <w:pPr>
        <w:pStyle w:val="Heading1"/>
        <w:spacing w:line="240" w:lineRule="auto"/>
        <w:rPr>
          <w:rFonts w:ascii="Times New Roman" w:hAnsi="Times New Roman" w:cs="Times New Roman"/>
          <w:b w:val="0"/>
          <w:bCs w:val="0"/>
          <w:sz w:val="24"/>
          <w:szCs w:val="24"/>
          <w:lang w:val="en-US"/>
        </w:rPr>
      </w:pPr>
      <w:r>
        <w:rPr>
          <w:rFonts w:ascii="Times New Roman" w:hAnsi="Times New Roman" w:cs="Times New Roman"/>
          <w:b w:val="0"/>
          <w:bCs w:val="0"/>
          <w:sz w:val="24"/>
          <w:szCs w:val="24"/>
          <w:vertAlign w:val="superscript"/>
          <w:lang w:val="en-US"/>
        </w:rPr>
        <w:t>1</w:t>
      </w:r>
      <w:r w:rsidRPr="000A23FE">
        <w:rPr>
          <w:rFonts w:ascii="Times New Roman" w:hAnsi="Times New Roman" w:cs="Times New Roman"/>
          <w:b w:val="0"/>
          <w:bCs w:val="0"/>
          <w:sz w:val="24"/>
          <w:szCs w:val="24"/>
          <w:lang w:val="en-US"/>
        </w:rPr>
        <w:t>Ho Chi Minh City University of Industry</w:t>
      </w:r>
    </w:p>
    <w:p w14:paraId="40287E2E" w14:textId="77777777" w:rsidR="00487C11" w:rsidRDefault="00487C11" w:rsidP="00487C11">
      <w:pPr>
        <w:pStyle w:val="Heading1"/>
        <w:spacing w:line="240" w:lineRule="auto"/>
        <w:jc w:val="both"/>
        <w:rPr>
          <w:rFonts w:ascii="Times New Roman" w:hAnsi="Times New Roman" w:cs="Times New Roman"/>
          <w:sz w:val="24"/>
          <w:szCs w:val="24"/>
          <w:lang w:val="en-US"/>
        </w:rPr>
      </w:pPr>
    </w:p>
    <w:p w14:paraId="54B6E5A8" w14:textId="69962579" w:rsidR="005A44A2" w:rsidRPr="008B3441" w:rsidRDefault="005A44A2" w:rsidP="000A23FE">
      <w:pPr>
        <w:pStyle w:val="Heading1"/>
        <w:spacing w:line="240" w:lineRule="auto"/>
        <w:jc w:val="both"/>
        <w:rPr>
          <w:rFonts w:ascii="Times New Roman" w:hAnsi="Times New Roman" w:cs="Times New Roman"/>
          <w:sz w:val="24"/>
          <w:szCs w:val="24"/>
          <w:lang w:val="en-US"/>
        </w:rPr>
      </w:pPr>
      <w:r w:rsidRPr="008B67D2">
        <w:rPr>
          <w:rFonts w:ascii="Times New Roman" w:hAnsi="Times New Roman" w:cs="Times New Roman"/>
          <w:sz w:val="24"/>
          <w:szCs w:val="24"/>
        </w:rPr>
        <w:t>A</w:t>
      </w:r>
      <w:r>
        <w:rPr>
          <w:rFonts w:ascii="Times New Roman" w:hAnsi="Times New Roman" w:cs="Times New Roman"/>
          <w:sz w:val="24"/>
          <w:szCs w:val="24"/>
          <w:lang w:val="en-US"/>
        </w:rPr>
        <w:t>bstract</w:t>
      </w:r>
    </w:p>
    <w:p w14:paraId="0062307E" w14:textId="428C3D4A" w:rsidR="007A3626" w:rsidRPr="008B67D2" w:rsidRDefault="007A3626" w:rsidP="005A44A2">
      <w:pPr>
        <w:spacing w:before="120" w:after="0" w:line="240" w:lineRule="auto"/>
        <w:jc w:val="both"/>
        <w:rPr>
          <w:rFonts w:ascii="Times New Roman" w:eastAsia="Times New Roman" w:hAnsi="Times New Roman" w:cs="Times New Roman"/>
          <w:color w:val="000000"/>
          <w:sz w:val="24"/>
          <w:szCs w:val="24"/>
        </w:rPr>
      </w:pPr>
      <w:r w:rsidRPr="007A3626">
        <w:rPr>
          <w:rFonts w:ascii="Times New Roman" w:eastAsia="Times New Roman" w:hAnsi="Times New Roman" w:cs="Times New Roman"/>
          <w:color w:val="000000"/>
          <w:sz w:val="24"/>
          <w:szCs w:val="24"/>
        </w:rPr>
        <w:t>This study examines the moderating role of financial reporting opacity in the relationship between credit growth and stock returns among Vietnamese commercial banks. Using data from 19 Vietnamese commercial banks over the period 2006</w:t>
      </w:r>
      <w:r w:rsidR="00161F34">
        <w:rPr>
          <w:rFonts w:ascii="Times New Roman" w:eastAsia="Times New Roman" w:hAnsi="Times New Roman" w:cs="Times New Roman"/>
          <w:color w:val="000000"/>
          <w:sz w:val="24"/>
          <w:szCs w:val="24"/>
        </w:rPr>
        <w:t>-</w:t>
      </w:r>
      <w:r w:rsidRPr="007A3626">
        <w:rPr>
          <w:rFonts w:ascii="Times New Roman" w:eastAsia="Times New Roman" w:hAnsi="Times New Roman" w:cs="Times New Roman"/>
          <w:color w:val="000000"/>
          <w:sz w:val="24"/>
          <w:szCs w:val="24"/>
        </w:rPr>
        <w:t>2024 and applying the generalized least squares (GLS) regression method, the findings indicate that credit growth has a positive effect on stock returns, while higher levels of financial reporting opacity weaken this positive relationship. The results provide important policy implications, highlighting the need to enhance financial transparency to improve stock performance in the Vietnamese commercial banking sector.</w:t>
      </w:r>
    </w:p>
    <w:p w14:paraId="3A14C57E" w14:textId="6C9DD579" w:rsidR="00D0259F" w:rsidRPr="008B67D2" w:rsidRDefault="005A44A2" w:rsidP="005A44A2">
      <w:pPr>
        <w:spacing w:before="120" w:after="0" w:line="240" w:lineRule="auto"/>
        <w:jc w:val="both"/>
        <w:rPr>
          <w:rFonts w:ascii="Times New Roman" w:eastAsia="Times New Roman" w:hAnsi="Times New Roman" w:cs="Times New Roman"/>
          <w:color w:val="000000"/>
          <w:sz w:val="24"/>
          <w:szCs w:val="24"/>
        </w:rPr>
      </w:pPr>
      <w:r w:rsidRPr="008B67D2">
        <w:rPr>
          <w:rFonts w:ascii="Times New Roman" w:eastAsia="Times New Roman" w:hAnsi="Times New Roman" w:cs="Times New Roman"/>
          <w:b/>
          <w:color w:val="000000"/>
          <w:sz w:val="24"/>
          <w:szCs w:val="24"/>
        </w:rPr>
        <w:t>Keywords:</w:t>
      </w:r>
      <w:r w:rsidRPr="008B67D2">
        <w:rPr>
          <w:rFonts w:ascii="Times New Roman" w:eastAsia="Times New Roman" w:hAnsi="Times New Roman" w:cs="Times New Roman"/>
          <w:color w:val="000000"/>
          <w:sz w:val="24"/>
          <w:szCs w:val="24"/>
        </w:rPr>
        <w:t xml:space="preserve"> </w:t>
      </w:r>
      <w:r w:rsidR="000578CC" w:rsidRPr="000578CC">
        <w:rPr>
          <w:rFonts w:ascii="Times New Roman" w:eastAsia="Times New Roman" w:hAnsi="Times New Roman" w:cs="Times New Roman"/>
          <w:color w:val="000000"/>
          <w:sz w:val="24"/>
          <w:szCs w:val="24"/>
        </w:rPr>
        <w:t>credit growth, stock returns, lack of transparency, commercial banks</w:t>
      </w:r>
      <w:r w:rsidR="00D0259F">
        <w:rPr>
          <w:rFonts w:ascii="Times New Roman" w:eastAsia="Times New Roman" w:hAnsi="Times New Roman" w:cs="Times New Roman"/>
          <w:color w:val="000000"/>
          <w:sz w:val="24"/>
          <w:szCs w:val="24"/>
        </w:rPr>
        <w:t>.</w:t>
      </w:r>
    </w:p>
    <w:p w14:paraId="472EDEBF" w14:textId="77777777" w:rsidR="005A44A2" w:rsidRDefault="005A44A2" w:rsidP="005A44A2">
      <w:pPr>
        <w:spacing w:before="120" w:after="0" w:line="240" w:lineRule="auto"/>
        <w:jc w:val="both"/>
        <w:rPr>
          <w:rFonts w:ascii="Times New Roman" w:hAnsi="Times New Roman" w:cs="Times New Roman"/>
          <w:bCs/>
          <w:sz w:val="24"/>
          <w:szCs w:val="24"/>
        </w:rPr>
      </w:pPr>
    </w:p>
    <w:p w14:paraId="097CB769" w14:textId="77777777" w:rsidR="00487C11" w:rsidRDefault="00487C11" w:rsidP="005A44A2">
      <w:pPr>
        <w:spacing w:before="120" w:after="0" w:line="240" w:lineRule="auto"/>
        <w:jc w:val="both"/>
        <w:rPr>
          <w:rFonts w:ascii="Times New Roman" w:hAnsi="Times New Roman" w:cs="Times New Roman"/>
          <w:bCs/>
          <w:sz w:val="24"/>
          <w:szCs w:val="24"/>
        </w:rPr>
      </w:pPr>
    </w:p>
    <w:sectPr w:rsidR="00487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AE065" w14:textId="77777777" w:rsidR="00D872E6" w:rsidRDefault="00D872E6" w:rsidP="004105D7">
      <w:pPr>
        <w:spacing w:after="0" w:line="240" w:lineRule="auto"/>
      </w:pPr>
      <w:r>
        <w:separator/>
      </w:r>
    </w:p>
  </w:endnote>
  <w:endnote w:type="continuationSeparator" w:id="0">
    <w:p w14:paraId="50D3CAA5" w14:textId="77777777" w:rsidR="00D872E6" w:rsidRDefault="00D872E6" w:rsidP="0041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EEDF7" w14:textId="77777777" w:rsidR="00D872E6" w:rsidRDefault="00D872E6" w:rsidP="004105D7">
      <w:pPr>
        <w:spacing w:after="0" w:line="240" w:lineRule="auto"/>
      </w:pPr>
      <w:r>
        <w:separator/>
      </w:r>
    </w:p>
  </w:footnote>
  <w:footnote w:type="continuationSeparator" w:id="0">
    <w:p w14:paraId="51560B6D" w14:textId="77777777" w:rsidR="00D872E6" w:rsidRDefault="00D872E6" w:rsidP="00410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A12"/>
    <w:multiLevelType w:val="hybridMultilevel"/>
    <w:tmpl w:val="55C6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E49DC"/>
    <w:multiLevelType w:val="singleLevel"/>
    <w:tmpl w:val="A45E51DC"/>
    <w:lvl w:ilvl="0">
      <w:start w:val="5"/>
      <w:numFmt w:val="decimal"/>
      <w:suff w:val="nothing"/>
      <w:lvlText w:val="%1."/>
      <w:lvlJc w:val="left"/>
      <w:pPr>
        <w:ind w:left="20" w:firstLine="0"/>
      </w:pPr>
      <w:rPr>
        <w:rFonts w:ascii="Times New Roman" w:eastAsia="Times New Roman" w:hAnsi="Times New Roman"/>
        <w:b/>
        <w:i w:val="0"/>
        <w:color w:val="000000"/>
        <w:sz w:val="24"/>
        <w:szCs w:val="24"/>
      </w:rPr>
    </w:lvl>
  </w:abstractNum>
  <w:abstractNum w:abstractNumId="2">
    <w:nsid w:val="50A511FC"/>
    <w:multiLevelType w:val="singleLevel"/>
    <w:tmpl w:val="419C5BA2"/>
    <w:lvl w:ilvl="0">
      <w:start w:val="1"/>
      <w:numFmt w:val="decimal"/>
      <w:lvlText w:val="%1."/>
      <w:lvlJc w:val="left"/>
      <w:pPr>
        <w:ind w:left="20" w:firstLine="0"/>
      </w:pPr>
      <w:rPr>
        <w:rFonts w:ascii="Times New Roman" w:eastAsia="Times New Roman" w:hAnsi="Times New Roman"/>
        <w:b/>
        <w:i w:val="0"/>
        <w:color w:val="000000"/>
        <w:sz w:val="24"/>
        <w:szCs w:val="24"/>
      </w:rPr>
    </w:lvl>
  </w:abstractNum>
  <w:abstractNum w:abstractNumId="3">
    <w:nsid w:val="55C23527"/>
    <w:multiLevelType w:val="singleLevel"/>
    <w:tmpl w:val="D2A82678"/>
    <w:lvl w:ilvl="0">
      <w:start w:val="2"/>
      <w:numFmt w:val="decimal"/>
      <w:lvlText w:val="%1."/>
      <w:lvlJc w:val="left"/>
      <w:pPr>
        <w:ind w:left="20" w:firstLine="0"/>
      </w:pPr>
      <w:rPr>
        <w:rFonts w:ascii="Times New Roman" w:eastAsia="Times New Roman" w:hAnsi="Times New Roman"/>
        <w:b/>
        <w:i w:val="0"/>
        <w:color w:val="000000"/>
        <w:sz w:val="24"/>
        <w:szCs w:val="24"/>
      </w:rPr>
    </w:lvl>
  </w:abstractNum>
  <w:abstractNum w:abstractNumId="4">
    <w:nsid w:val="6D64536F"/>
    <w:multiLevelType w:val="singleLevel"/>
    <w:tmpl w:val="2A0EBE9E"/>
    <w:lvl w:ilvl="0">
      <w:start w:val="3"/>
      <w:numFmt w:val="decimal"/>
      <w:suff w:val="nothing"/>
      <w:lvlText w:val="%1."/>
      <w:lvlJc w:val="left"/>
      <w:pPr>
        <w:ind w:left="20" w:firstLine="0"/>
      </w:pPr>
      <w:rPr>
        <w:rFonts w:ascii="Times New Roman" w:eastAsia="Times New Roman" w:hAnsi="Times New Roman"/>
        <w:b/>
        <w:i w:val="0"/>
        <w:color w:val="000000"/>
        <w:sz w:val="24"/>
        <w:szCs w:val="24"/>
      </w:rPr>
    </w:lvl>
  </w:abstractNum>
  <w:abstractNum w:abstractNumId="5">
    <w:nsid w:val="7A501132"/>
    <w:multiLevelType w:val="singleLevel"/>
    <w:tmpl w:val="BFF00CAA"/>
    <w:lvl w:ilvl="0">
      <w:start w:val="4"/>
      <w:numFmt w:val="decimal"/>
      <w:lvlText w:val="%1."/>
      <w:lvlJc w:val="left"/>
      <w:pPr>
        <w:ind w:left="80" w:firstLine="0"/>
      </w:pPr>
      <w:rPr>
        <w:rFonts w:ascii="Times New Roman" w:eastAsia="Times New Roman" w:hAnsi="Times New Roman"/>
        <w:b/>
        <w:i w:val="0"/>
        <w:color w:val="000000"/>
        <w:sz w:val="24"/>
        <w:szCs w:val="24"/>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F0"/>
    <w:rsid w:val="00013F2E"/>
    <w:rsid w:val="000467FD"/>
    <w:rsid w:val="00056B24"/>
    <w:rsid w:val="000578CC"/>
    <w:rsid w:val="0006396D"/>
    <w:rsid w:val="000A23FE"/>
    <w:rsid w:val="000B19B3"/>
    <w:rsid w:val="000D131D"/>
    <w:rsid w:val="000E5710"/>
    <w:rsid w:val="00161F34"/>
    <w:rsid w:val="001B62C3"/>
    <w:rsid w:val="001D0DE1"/>
    <w:rsid w:val="001D171B"/>
    <w:rsid w:val="001E3E61"/>
    <w:rsid w:val="002008F4"/>
    <w:rsid w:val="002115F7"/>
    <w:rsid w:val="00215518"/>
    <w:rsid w:val="00250C58"/>
    <w:rsid w:val="00256DF0"/>
    <w:rsid w:val="00257ED0"/>
    <w:rsid w:val="00283FF7"/>
    <w:rsid w:val="0028569D"/>
    <w:rsid w:val="00287A94"/>
    <w:rsid w:val="002E3986"/>
    <w:rsid w:val="002F7C6E"/>
    <w:rsid w:val="003005BC"/>
    <w:rsid w:val="00306B82"/>
    <w:rsid w:val="003366D2"/>
    <w:rsid w:val="00360C0E"/>
    <w:rsid w:val="00364102"/>
    <w:rsid w:val="003776D6"/>
    <w:rsid w:val="003904AE"/>
    <w:rsid w:val="003A0CD7"/>
    <w:rsid w:val="003A1D4C"/>
    <w:rsid w:val="003B4113"/>
    <w:rsid w:val="003C431D"/>
    <w:rsid w:val="003C49FC"/>
    <w:rsid w:val="003C7410"/>
    <w:rsid w:val="003D5252"/>
    <w:rsid w:val="00405D6F"/>
    <w:rsid w:val="004105D7"/>
    <w:rsid w:val="0041600A"/>
    <w:rsid w:val="004174E4"/>
    <w:rsid w:val="004234A1"/>
    <w:rsid w:val="00450D8F"/>
    <w:rsid w:val="00453B63"/>
    <w:rsid w:val="00487C11"/>
    <w:rsid w:val="0049252F"/>
    <w:rsid w:val="004A3845"/>
    <w:rsid w:val="004D24CA"/>
    <w:rsid w:val="004E7F50"/>
    <w:rsid w:val="004F709C"/>
    <w:rsid w:val="00503E0A"/>
    <w:rsid w:val="0051173E"/>
    <w:rsid w:val="00513AE1"/>
    <w:rsid w:val="005347FD"/>
    <w:rsid w:val="00546B98"/>
    <w:rsid w:val="00562032"/>
    <w:rsid w:val="005807DE"/>
    <w:rsid w:val="00592E7F"/>
    <w:rsid w:val="005A3F52"/>
    <w:rsid w:val="005A44A2"/>
    <w:rsid w:val="005A4500"/>
    <w:rsid w:val="005B01E1"/>
    <w:rsid w:val="005B26A1"/>
    <w:rsid w:val="005F19CC"/>
    <w:rsid w:val="005F3732"/>
    <w:rsid w:val="00615302"/>
    <w:rsid w:val="00620FF2"/>
    <w:rsid w:val="00646662"/>
    <w:rsid w:val="00661821"/>
    <w:rsid w:val="006937EF"/>
    <w:rsid w:val="006A235B"/>
    <w:rsid w:val="006A6432"/>
    <w:rsid w:val="006D461E"/>
    <w:rsid w:val="00744C60"/>
    <w:rsid w:val="00763E01"/>
    <w:rsid w:val="00774642"/>
    <w:rsid w:val="007A25D0"/>
    <w:rsid w:val="007A3626"/>
    <w:rsid w:val="007B30FE"/>
    <w:rsid w:val="007C2BD8"/>
    <w:rsid w:val="007C797D"/>
    <w:rsid w:val="007D1131"/>
    <w:rsid w:val="007E6E98"/>
    <w:rsid w:val="007F6890"/>
    <w:rsid w:val="007F709D"/>
    <w:rsid w:val="00823C4D"/>
    <w:rsid w:val="0086122C"/>
    <w:rsid w:val="00883ED1"/>
    <w:rsid w:val="00887844"/>
    <w:rsid w:val="00895096"/>
    <w:rsid w:val="008A29C3"/>
    <w:rsid w:val="008A41BF"/>
    <w:rsid w:val="008B3441"/>
    <w:rsid w:val="008B4FE5"/>
    <w:rsid w:val="008B67D2"/>
    <w:rsid w:val="008C3BD9"/>
    <w:rsid w:val="008C40FB"/>
    <w:rsid w:val="008E6E6E"/>
    <w:rsid w:val="009036DB"/>
    <w:rsid w:val="00905A44"/>
    <w:rsid w:val="009544CA"/>
    <w:rsid w:val="00970B79"/>
    <w:rsid w:val="00985EB0"/>
    <w:rsid w:val="00993D25"/>
    <w:rsid w:val="009B2D1B"/>
    <w:rsid w:val="009B3CA5"/>
    <w:rsid w:val="009C5B11"/>
    <w:rsid w:val="009D35A2"/>
    <w:rsid w:val="009F4EB6"/>
    <w:rsid w:val="00A809A8"/>
    <w:rsid w:val="00A81B50"/>
    <w:rsid w:val="00A85422"/>
    <w:rsid w:val="00A90A75"/>
    <w:rsid w:val="00AA4834"/>
    <w:rsid w:val="00AD59F1"/>
    <w:rsid w:val="00AF450D"/>
    <w:rsid w:val="00AF4574"/>
    <w:rsid w:val="00B203CA"/>
    <w:rsid w:val="00B27EB5"/>
    <w:rsid w:val="00B47A11"/>
    <w:rsid w:val="00B47BE2"/>
    <w:rsid w:val="00B5704F"/>
    <w:rsid w:val="00B94DEF"/>
    <w:rsid w:val="00BD6961"/>
    <w:rsid w:val="00C1741A"/>
    <w:rsid w:val="00C257A5"/>
    <w:rsid w:val="00C426A9"/>
    <w:rsid w:val="00C576A1"/>
    <w:rsid w:val="00D0259F"/>
    <w:rsid w:val="00D22F58"/>
    <w:rsid w:val="00D30852"/>
    <w:rsid w:val="00D34D9A"/>
    <w:rsid w:val="00D4157D"/>
    <w:rsid w:val="00D63EE6"/>
    <w:rsid w:val="00D72483"/>
    <w:rsid w:val="00D8372F"/>
    <w:rsid w:val="00D83A2D"/>
    <w:rsid w:val="00D8427C"/>
    <w:rsid w:val="00D872E6"/>
    <w:rsid w:val="00DA2506"/>
    <w:rsid w:val="00DA6E59"/>
    <w:rsid w:val="00DC2078"/>
    <w:rsid w:val="00DF0C48"/>
    <w:rsid w:val="00DF33B4"/>
    <w:rsid w:val="00DF3A39"/>
    <w:rsid w:val="00DF770E"/>
    <w:rsid w:val="00E133A5"/>
    <w:rsid w:val="00E25346"/>
    <w:rsid w:val="00E25A71"/>
    <w:rsid w:val="00E57E64"/>
    <w:rsid w:val="00E735B4"/>
    <w:rsid w:val="00EA3754"/>
    <w:rsid w:val="00EB12BF"/>
    <w:rsid w:val="00EB39CC"/>
    <w:rsid w:val="00EB4ACA"/>
    <w:rsid w:val="00ED7B43"/>
    <w:rsid w:val="00EE3A67"/>
    <w:rsid w:val="00EE5A4D"/>
    <w:rsid w:val="00EF5BAA"/>
    <w:rsid w:val="00F1789E"/>
    <w:rsid w:val="00F21737"/>
    <w:rsid w:val="00F26368"/>
    <w:rsid w:val="00F32CBE"/>
    <w:rsid w:val="00F40F82"/>
    <w:rsid w:val="00F55CCC"/>
    <w:rsid w:val="00F727D8"/>
    <w:rsid w:val="00F73D7C"/>
    <w:rsid w:val="00F83119"/>
    <w:rsid w:val="00FB5188"/>
    <w:rsid w:val="00FC6C5E"/>
    <w:rsid w:val="00FD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DF0"/>
    <w:pPr>
      <w:keepNext/>
      <w:keepLines/>
      <w:spacing w:before="120" w:after="0" w:line="360" w:lineRule="auto"/>
      <w:jc w:val="center"/>
      <w:outlineLvl w:val="0"/>
    </w:pPr>
    <w:rPr>
      <w:rFonts w:asciiTheme="majorHAnsi" w:eastAsiaTheme="majorEastAsia" w:hAnsiTheme="majorHAnsi" w:cstheme="majorBidi"/>
      <w:b/>
      <w:bCs/>
      <w:sz w:val="26"/>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DF0"/>
    <w:rPr>
      <w:rFonts w:asciiTheme="majorHAnsi" w:eastAsiaTheme="majorEastAsia" w:hAnsiTheme="majorHAnsi" w:cstheme="majorBidi"/>
      <w:b/>
      <w:bCs/>
      <w:sz w:val="26"/>
      <w:szCs w:val="28"/>
      <w:lang w:val="vi-VN" w:eastAsia="vi-VN"/>
    </w:rPr>
  </w:style>
  <w:style w:type="paragraph" w:styleId="ListParagraph">
    <w:name w:val="List Paragraph"/>
    <w:basedOn w:val="Normal"/>
    <w:uiPriority w:val="34"/>
    <w:qFormat/>
    <w:rsid w:val="00256DF0"/>
    <w:pPr>
      <w:ind w:left="720"/>
      <w:contextualSpacing/>
    </w:pPr>
  </w:style>
  <w:style w:type="paragraph" w:styleId="NormalWeb">
    <w:name w:val="Normal (Web)"/>
    <w:basedOn w:val="Normal"/>
    <w:uiPriority w:val="99"/>
    <w:unhideWhenUsed/>
    <w:rsid w:val="00256DF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AA4834"/>
    <w:rPr>
      <w:i/>
      <w:iCs/>
    </w:rPr>
  </w:style>
  <w:style w:type="paragraph" w:styleId="Header">
    <w:name w:val="header"/>
    <w:basedOn w:val="Normal"/>
    <w:link w:val="HeaderChar"/>
    <w:uiPriority w:val="99"/>
    <w:unhideWhenUsed/>
    <w:rsid w:val="00410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D7"/>
  </w:style>
  <w:style w:type="paragraph" w:styleId="Footer">
    <w:name w:val="footer"/>
    <w:basedOn w:val="Normal"/>
    <w:link w:val="FooterChar"/>
    <w:uiPriority w:val="99"/>
    <w:unhideWhenUsed/>
    <w:rsid w:val="00410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D7"/>
  </w:style>
  <w:style w:type="character" w:styleId="Strong">
    <w:name w:val="Strong"/>
    <w:basedOn w:val="DefaultParagraphFont"/>
    <w:uiPriority w:val="22"/>
    <w:qFormat/>
    <w:rsid w:val="004105D7"/>
    <w:rPr>
      <w:b/>
      <w:bCs/>
    </w:rPr>
  </w:style>
  <w:style w:type="paragraph" w:customStyle="1" w:styleId="Danhmcbng">
    <w:name w:val="Danh mục bảng"/>
    <w:basedOn w:val="Caption"/>
    <w:qFormat/>
    <w:rsid w:val="004105D7"/>
    <w:pPr>
      <w:spacing w:line="360" w:lineRule="auto"/>
      <w:contextualSpacing/>
      <w:jc w:val="center"/>
    </w:pPr>
    <w:rPr>
      <w:rFonts w:asciiTheme="majorHAnsi" w:eastAsiaTheme="minorEastAsia" w:hAnsiTheme="majorHAnsi" w:cstheme="majorHAnsi"/>
      <w:b/>
      <w:i w:val="0"/>
      <w:color w:val="auto"/>
      <w:sz w:val="26"/>
      <w:szCs w:val="26"/>
      <w:lang w:eastAsia="vi-VN"/>
    </w:rPr>
  </w:style>
  <w:style w:type="paragraph" w:styleId="Caption">
    <w:name w:val="caption"/>
    <w:basedOn w:val="Normal"/>
    <w:next w:val="Normal"/>
    <w:uiPriority w:val="35"/>
    <w:semiHidden/>
    <w:unhideWhenUsed/>
    <w:qFormat/>
    <w:rsid w:val="004105D7"/>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D59F1"/>
    <w:rPr>
      <w:color w:val="666666"/>
    </w:rPr>
  </w:style>
  <w:style w:type="paragraph" w:styleId="Revision">
    <w:name w:val="Revision"/>
    <w:hidden/>
    <w:uiPriority w:val="99"/>
    <w:semiHidden/>
    <w:rsid w:val="005A44A2"/>
    <w:pPr>
      <w:spacing w:after="0" w:line="240" w:lineRule="auto"/>
    </w:pPr>
  </w:style>
  <w:style w:type="paragraph" w:styleId="BalloonText">
    <w:name w:val="Balloon Text"/>
    <w:basedOn w:val="Normal"/>
    <w:link w:val="BalloonTextChar"/>
    <w:uiPriority w:val="99"/>
    <w:semiHidden/>
    <w:unhideWhenUsed/>
    <w:rsid w:val="000A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DF0"/>
    <w:pPr>
      <w:keepNext/>
      <w:keepLines/>
      <w:spacing w:before="120" w:after="0" w:line="360" w:lineRule="auto"/>
      <w:jc w:val="center"/>
      <w:outlineLvl w:val="0"/>
    </w:pPr>
    <w:rPr>
      <w:rFonts w:asciiTheme="majorHAnsi" w:eastAsiaTheme="majorEastAsia" w:hAnsiTheme="majorHAnsi" w:cstheme="majorBidi"/>
      <w:b/>
      <w:bCs/>
      <w:sz w:val="26"/>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DF0"/>
    <w:rPr>
      <w:rFonts w:asciiTheme="majorHAnsi" w:eastAsiaTheme="majorEastAsia" w:hAnsiTheme="majorHAnsi" w:cstheme="majorBidi"/>
      <w:b/>
      <w:bCs/>
      <w:sz w:val="26"/>
      <w:szCs w:val="28"/>
      <w:lang w:val="vi-VN" w:eastAsia="vi-VN"/>
    </w:rPr>
  </w:style>
  <w:style w:type="paragraph" w:styleId="ListParagraph">
    <w:name w:val="List Paragraph"/>
    <w:basedOn w:val="Normal"/>
    <w:uiPriority w:val="34"/>
    <w:qFormat/>
    <w:rsid w:val="00256DF0"/>
    <w:pPr>
      <w:ind w:left="720"/>
      <w:contextualSpacing/>
    </w:pPr>
  </w:style>
  <w:style w:type="paragraph" w:styleId="NormalWeb">
    <w:name w:val="Normal (Web)"/>
    <w:basedOn w:val="Normal"/>
    <w:uiPriority w:val="99"/>
    <w:unhideWhenUsed/>
    <w:rsid w:val="00256DF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AA4834"/>
    <w:rPr>
      <w:i/>
      <w:iCs/>
    </w:rPr>
  </w:style>
  <w:style w:type="paragraph" w:styleId="Header">
    <w:name w:val="header"/>
    <w:basedOn w:val="Normal"/>
    <w:link w:val="HeaderChar"/>
    <w:uiPriority w:val="99"/>
    <w:unhideWhenUsed/>
    <w:rsid w:val="00410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D7"/>
  </w:style>
  <w:style w:type="paragraph" w:styleId="Footer">
    <w:name w:val="footer"/>
    <w:basedOn w:val="Normal"/>
    <w:link w:val="FooterChar"/>
    <w:uiPriority w:val="99"/>
    <w:unhideWhenUsed/>
    <w:rsid w:val="00410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D7"/>
  </w:style>
  <w:style w:type="character" w:styleId="Strong">
    <w:name w:val="Strong"/>
    <w:basedOn w:val="DefaultParagraphFont"/>
    <w:uiPriority w:val="22"/>
    <w:qFormat/>
    <w:rsid w:val="004105D7"/>
    <w:rPr>
      <w:b/>
      <w:bCs/>
    </w:rPr>
  </w:style>
  <w:style w:type="paragraph" w:customStyle="1" w:styleId="Danhmcbng">
    <w:name w:val="Danh mục bảng"/>
    <w:basedOn w:val="Caption"/>
    <w:qFormat/>
    <w:rsid w:val="004105D7"/>
    <w:pPr>
      <w:spacing w:line="360" w:lineRule="auto"/>
      <w:contextualSpacing/>
      <w:jc w:val="center"/>
    </w:pPr>
    <w:rPr>
      <w:rFonts w:asciiTheme="majorHAnsi" w:eastAsiaTheme="minorEastAsia" w:hAnsiTheme="majorHAnsi" w:cstheme="majorHAnsi"/>
      <w:b/>
      <w:i w:val="0"/>
      <w:color w:val="auto"/>
      <w:sz w:val="26"/>
      <w:szCs w:val="26"/>
      <w:lang w:eastAsia="vi-VN"/>
    </w:rPr>
  </w:style>
  <w:style w:type="paragraph" w:styleId="Caption">
    <w:name w:val="caption"/>
    <w:basedOn w:val="Normal"/>
    <w:next w:val="Normal"/>
    <w:uiPriority w:val="35"/>
    <w:semiHidden/>
    <w:unhideWhenUsed/>
    <w:qFormat/>
    <w:rsid w:val="004105D7"/>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D59F1"/>
    <w:rPr>
      <w:color w:val="666666"/>
    </w:rPr>
  </w:style>
  <w:style w:type="paragraph" w:styleId="Revision">
    <w:name w:val="Revision"/>
    <w:hidden/>
    <w:uiPriority w:val="99"/>
    <w:semiHidden/>
    <w:rsid w:val="005A44A2"/>
    <w:pPr>
      <w:spacing w:after="0" w:line="240" w:lineRule="auto"/>
    </w:pPr>
  </w:style>
  <w:style w:type="paragraph" w:styleId="BalloonText">
    <w:name w:val="Balloon Text"/>
    <w:basedOn w:val="Normal"/>
    <w:link w:val="BalloonTextChar"/>
    <w:uiPriority w:val="99"/>
    <w:semiHidden/>
    <w:unhideWhenUsed/>
    <w:rsid w:val="000A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5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6</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THUONG</dc:creator>
  <cp:keywords/>
  <dc:description/>
  <cp:lastModifiedBy>Administrator</cp:lastModifiedBy>
  <cp:revision>715</cp:revision>
  <dcterms:created xsi:type="dcterms:W3CDTF">2025-06-06T04:45:00Z</dcterms:created>
  <dcterms:modified xsi:type="dcterms:W3CDTF">2026-06-08T09:10:00Z</dcterms:modified>
</cp:coreProperties>
</file>