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2028" w14:textId="0BF458B5" w:rsidR="00591D4A" w:rsidRDefault="00591D4A" w:rsidP="00D47302">
      <w:pPr>
        <w:spacing w:after="60" w:line="276" w:lineRule="auto"/>
        <w:jc w:val="center"/>
        <w:rPr>
          <w:rFonts w:ascii="Times New Roman" w:hAnsi="Times New Roman" w:cs="Times New Roman"/>
          <w:b/>
          <w:bCs/>
          <w:sz w:val="28"/>
          <w:szCs w:val="28"/>
        </w:rPr>
      </w:pPr>
      <w:r w:rsidRPr="00591D4A">
        <w:rPr>
          <w:rFonts w:ascii="Times New Roman" w:hAnsi="Times New Roman" w:cs="Times New Roman"/>
          <w:b/>
          <w:bCs/>
          <w:sz w:val="28"/>
          <w:szCs w:val="28"/>
        </w:rPr>
        <w:t>The relationship between ownership structure and CEO characteristics</w:t>
      </w:r>
      <w:r w:rsidR="00A45A20">
        <w:rPr>
          <w:rFonts w:ascii="Times New Roman" w:hAnsi="Times New Roman" w:cs="Times New Roman"/>
          <w:b/>
          <w:bCs/>
          <w:sz w:val="28"/>
          <w:szCs w:val="28"/>
        </w:rPr>
        <w:t xml:space="preserve">: </w:t>
      </w:r>
      <w:r w:rsidR="0056024A">
        <w:rPr>
          <w:rFonts w:ascii="Times New Roman" w:hAnsi="Times New Roman" w:cs="Times New Roman"/>
          <w:b/>
          <w:bCs/>
          <w:sz w:val="28"/>
          <w:szCs w:val="28"/>
        </w:rPr>
        <w:t>Manage</w:t>
      </w:r>
      <w:r w:rsidR="00D2313E">
        <w:rPr>
          <w:rFonts w:ascii="Times New Roman" w:hAnsi="Times New Roman" w:cs="Times New Roman"/>
          <w:b/>
          <w:bCs/>
          <w:sz w:val="28"/>
          <w:szCs w:val="28"/>
        </w:rPr>
        <w:t>rial</w:t>
      </w:r>
      <w:r w:rsidR="00A45A20">
        <w:rPr>
          <w:rFonts w:ascii="Times New Roman" w:hAnsi="Times New Roman" w:cs="Times New Roman"/>
          <w:b/>
          <w:bCs/>
          <w:sz w:val="28"/>
          <w:szCs w:val="28"/>
        </w:rPr>
        <w:t xml:space="preserve"> implication</w:t>
      </w:r>
      <w:r w:rsidR="0056024A">
        <w:rPr>
          <w:rFonts w:ascii="Times New Roman" w:hAnsi="Times New Roman" w:cs="Times New Roman"/>
          <w:b/>
          <w:bCs/>
          <w:sz w:val="28"/>
          <w:szCs w:val="28"/>
        </w:rPr>
        <w:t>s</w:t>
      </w:r>
      <w:r w:rsidR="00A45A20">
        <w:rPr>
          <w:rFonts w:ascii="Times New Roman" w:hAnsi="Times New Roman" w:cs="Times New Roman"/>
          <w:b/>
          <w:bCs/>
          <w:sz w:val="28"/>
          <w:szCs w:val="28"/>
        </w:rPr>
        <w:t xml:space="preserve"> </w:t>
      </w:r>
      <w:r w:rsidRPr="00591D4A">
        <w:rPr>
          <w:rFonts w:ascii="Times New Roman" w:hAnsi="Times New Roman" w:cs="Times New Roman"/>
          <w:b/>
          <w:bCs/>
          <w:sz w:val="28"/>
          <w:szCs w:val="28"/>
        </w:rPr>
        <w:t>for Vietnam</w:t>
      </w:r>
    </w:p>
    <w:p w14:paraId="0C7F7CFF" w14:textId="5B87C298" w:rsidR="004462FF" w:rsidRPr="00C51BAE" w:rsidRDefault="004462FF" w:rsidP="00D47302">
      <w:pPr>
        <w:spacing w:after="60" w:line="276" w:lineRule="auto"/>
        <w:jc w:val="center"/>
        <w:rPr>
          <w:rFonts w:ascii="Times New Roman" w:hAnsi="Times New Roman" w:cs="Times New Roman"/>
          <w:b/>
          <w:bCs/>
          <w:sz w:val="28"/>
          <w:szCs w:val="28"/>
        </w:rPr>
      </w:pPr>
      <w:r w:rsidRPr="00C51BAE">
        <w:rPr>
          <w:rFonts w:ascii="Times New Roman" w:hAnsi="Times New Roman" w:cs="Times New Roman"/>
          <w:b/>
          <w:bCs/>
          <w:sz w:val="28"/>
          <w:szCs w:val="28"/>
        </w:rPr>
        <w:t>Le Thi Minh Hong</w:t>
      </w:r>
    </w:p>
    <w:p w14:paraId="11EAF511" w14:textId="32B82470" w:rsidR="004462FF" w:rsidRPr="00C51BAE" w:rsidRDefault="004462FF" w:rsidP="00D47302">
      <w:pPr>
        <w:spacing w:after="60" w:line="276" w:lineRule="auto"/>
        <w:jc w:val="center"/>
        <w:rPr>
          <w:rFonts w:ascii="Times New Roman" w:hAnsi="Times New Roman" w:cs="Times New Roman"/>
          <w:sz w:val="28"/>
          <w:szCs w:val="28"/>
        </w:rPr>
      </w:pPr>
      <w:r w:rsidRPr="00C51BAE">
        <w:rPr>
          <w:rFonts w:ascii="Times New Roman" w:hAnsi="Times New Roman" w:cs="Times New Roman"/>
          <w:sz w:val="28"/>
          <w:szCs w:val="28"/>
        </w:rPr>
        <w:t>Faculty of Economics and International Business,</w:t>
      </w:r>
    </w:p>
    <w:p w14:paraId="7DC84A04" w14:textId="363764DF" w:rsidR="004462FF" w:rsidRPr="00C51BAE" w:rsidRDefault="004462FF" w:rsidP="00D47302">
      <w:pPr>
        <w:spacing w:after="60" w:line="276" w:lineRule="auto"/>
        <w:jc w:val="center"/>
        <w:rPr>
          <w:rFonts w:ascii="Times New Roman" w:hAnsi="Times New Roman" w:cs="Times New Roman"/>
          <w:sz w:val="28"/>
          <w:szCs w:val="28"/>
        </w:rPr>
      </w:pPr>
      <w:r w:rsidRPr="00C51BAE">
        <w:rPr>
          <w:rFonts w:ascii="Times New Roman" w:hAnsi="Times New Roman" w:cs="Times New Roman"/>
          <w:sz w:val="28"/>
          <w:szCs w:val="28"/>
        </w:rPr>
        <w:t>Phenikaa School of Economics and Business</w:t>
      </w:r>
      <w:r w:rsidR="00E6567A">
        <w:rPr>
          <w:rFonts w:ascii="Times New Roman" w:hAnsi="Times New Roman" w:cs="Times New Roman"/>
          <w:sz w:val="28"/>
          <w:szCs w:val="28"/>
        </w:rPr>
        <w:t xml:space="preserve">, </w:t>
      </w:r>
      <w:r w:rsidR="00E6567A" w:rsidRPr="00E21B75">
        <w:rPr>
          <w:rFonts w:ascii="Times New Roman" w:hAnsi="Times New Roman" w:cs="Times New Roman"/>
          <w:sz w:val="28"/>
          <w:szCs w:val="28"/>
        </w:rPr>
        <w:t>Phenikaa University</w:t>
      </w:r>
    </w:p>
    <w:p w14:paraId="07CC682E" w14:textId="77777777" w:rsidR="004462FF" w:rsidRPr="00C51BAE" w:rsidRDefault="004462FF" w:rsidP="00D47302">
      <w:pPr>
        <w:spacing w:after="60" w:line="276" w:lineRule="auto"/>
        <w:jc w:val="center"/>
        <w:rPr>
          <w:rFonts w:ascii="Times New Roman" w:hAnsi="Times New Roman" w:cs="Times New Roman"/>
          <w:sz w:val="28"/>
          <w:szCs w:val="28"/>
        </w:rPr>
      </w:pPr>
      <w:r w:rsidRPr="00C51BAE">
        <w:rPr>
          <w:rFonts w:ascii="Times New Roman" w:hAnsi="Times New Roman" w:cs="Times New Roman"/>
          <w:sz w:val="28"/>
          <w:szCs w:val="28"/>
        </w:rPr>
        <w:t>Email: hong.lethiminh@phenikaa-uni.edu.vn</w:t>
      </w:r>
    </w:p>
    <w:p w14:paraId="3B2C7807" w14:textId="4510F90F" w:rsidR="00840193" w:rsidRPr="00C51BAE" w:rsidRDefault="00050F4C"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Abstract:</w:t>
      </w:r>
    </w:p>
    <w:p w14:paraId="3225C07D" w14:textId="0E7096C8" w:rsidR="00D47302" w:rsidRPr="00D47302" w:rsidRDefault="00D47302" w:rsidP="00D47302">
      <w:pPr>
        <w:pStyle w:val="NormalWeb"/>
        <w:jc w:val="both"/>
        <w:rPr>
          <w:sz w:val="28"/>
          <w:szCs w:val="28"/>
        </w:rPr>
      </w:pPr>
      <w:r w:rsidRPr="00D47302">
        <w:rPr>
          <w:sz w:val="28"/>
          <w:szCs w:val="28"/>
        </w:rPr>
        <w:t xml:space="preserve">This </w:t>
      </w:r>
      <w:r>
        <w:rPr>
          <w:sz w:val="28"/>
          <w:szCs w:val="28"/>
        </w:rPr>
        <w:t xml:space="preserve">study </w:t>
      </w:r>
      <w:r w:rsidRPr="00D47302">
        <w:rPr>
          <w:sz w:val="28"/>
          <w:szCs w:val="28"/>
        </w:rPr>
        <w:t xml:space="preserve">provides a conceptual overview of the relationship between ownership structure and CEO characteristics, with a focus on state ownership, foreign ownership, and family ownership. Drawing on Agency Theory and Upper Echelons Theory, the </w:t>
      </w:r>
      <w:r w:rsidR="004B12F7">
        <w:rPr>
          <w:sz w:val="28"/>
          <w:szCs w:val="28"/>
        </w:rPr>
        <w:t>study</w:t>
      </w:r>
      <w:r w:rsidRPr="00D47302">
        <w:rPr>
          <w:sz w:val="28"/>
          <w:szCs w:val="28"/>
        </w:rPr>
        <w:t xml:space="preserve"> argues that ownership structure plays a significant role in shaping CEO selection, managerial attributes, and strategic decision-making processes. It also examines the current corporate governance landscape in Vietnam in the context of recent strategic policy changes. Based on this analysis, the </w:t>
      </w:r>
      <w:r w:rsidR="00C51AFA">
        <w:rPr>
          <w:sz w:val="28"/>
          <w:szCs w:val="28"/>
        </w:rPr>
        <w:t xml:space="preserve">study </w:t>
      </w:r>
      <w:r w:rsidRPr="00D47302">
        <w:rPr>
          <w:sz w:val="28"/>
          <w:szCs w:val="28"/>
        </w:rPr>
        <w:t>develops a conceptual framework to explain how different forms of ownership influence CEO characteristics and discusses key governance implications for Vietnamese enterprises.</w:t>
      </w:r>
    </w:p>
    <w:p w14:paraId="6D56436A" w14:textId="77777777" w:rsidR="00D47302" w:rsidRPr="00D47302" w:rsidRDefault="00D47302" w:rsidP="00D47302">
      <w:pPr>
        <w:pStyle w:val="NormalWeb"/>
        <w:jc w:val="both"/>
        <w:rPr>
          <w:sz w:val="28"/>
          <w:szCs w:val="28"/>
        </w:rPr>
      </w:pPr>
      <w:r w:rsidRPr="00D47302">
        <w:rPr>
          <w:sz w:val="28"/>
          <w:szCs w:val="28"/>
        </w:rPr>
        <w:t>Keywords: ownership structure, CEO characteristics, corporate governance.</w:t>
      </w:r>
    </w:p>
    <w:p w14:paraId="77840013" w14:textId="496CF99E" w:rsidR="004462FF" w:rsidRPr="00C51BAE" w:rsidRDefault="00BE14A0" w:rsidP="00C51BAE">
      <w:pPr>
        <w:spacing w:after="60" w:line="276" w:lineRule="auto"/>
        <w:jc w:val="both"/>
        <w:rPr>
          <w:rFonts w:ascii="Times New Roman" w:hAnsi="Times New Roman" w:cs="Times New Roman"/>
          <w:b/>
          <w:bCs/>
          <w:sz w:val="28"/>
          <w:szCs w:val="28"/>
        </w:rPr>
      </w:pPr>
      <w:r>
        <w:rPr>
          <w:rFonts w:ascii="Times New Roman" w:hAnsi="Times New Roman" w:cs="Times New Roman"/>
          <w:b/>
          <w:bCs/>
          <w:sz w:val="28"/>
          <w:szCs w:val="28"/>
        </w:rPr>
        <w:t>1</w:t>
      </w:r>
      <w:r w:rsidR="004462FF" w:rsidRPr="00C51BAE">
        <w:rPr>
          <w:rFonts w:ascii="Times New Roman" w:hAnsi="Times New Roman" w:cs="Times New Roman"/>
          <w:b/>
          <w:bCs/>
          <w:sz w:val="28"/>
          <w:szCs w:val="28"/>
        </w:rPr>
        <w:t>. Introduction</w:t>
      </w:r>
    </w:p>
    <w:p w14:paraId="79FB0400" w14:textId="77777777" w:rsidR="009F7516" w:rsidRPr="00C51BAE" w:rsidRDefault="009F7516"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In the modern corporate landscape, the nexus between ownership structure and CEO characteristics is a fundamental determinant of a firm’s strategic trajectory and overall performance. According to Agency Theory (Jensen &amp; Meckling, 1979), the alignment of interests between owners and managers is essential to minimize agency costs and maximize profitability. This relationship is further explained by the Upper Echelons Theory (Hambrick and Mason, 1984), which posits that a CEO’s attributes, including education, experience, and nationality, shape strategic decision-making processes.</w:t>
      </w:r>
    </w:p>
    <w:p w14:paraId="5BFF0BC9" w14:textId="16F29958" w:rsidR="009F7516" w:rsidRPr="00C51BAE" w:rsidRDefault="009F7516"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As Vietnam continues its transition within a Socialist-Oriented Market Economy, this relationship has become increasingly important. The country’s business environment is mainly characterized by State-Owned Enterprises (SOEs), the domestic private sector, and Foreign Direct Investment (FDI). However, challenges remain, including inconsistent regulations and a lack of professional, market-based leadership selection, particularly in the state sector.</w:t>
      </w:r>
    </w:p>
    <w:p w14:paraId="1B099869" w14:textId="7206DBAB" w:rsidR="009F7516" w:rsidRPr="00C51BAE" w:rsidRDefault="009F7516"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Although prior studies have examined the effects of state, family, and foreign ownership on firm outcomes, limited attention has been given to how ownership structures shape CEO characteristics and CEO selection mechanisms in Vietnam. Therefore, this paper provides a conceptual overview of the interaction between </w:t>
      </w:r>
      <w:r w:rsidRPr="00C51BAE">
        <w:rPr>
          <w:rFonts w:ascii="Times New Roman" w:hAnsi="Times New Roman" w:cs="Times New Roman"/>
          <w:sz w:val="28"/>
          <w:szCs w:val="28"/>
        </w:rPr>
        <w:lastRenderedPageBreak/>
        <w:t>state, family, and foreign ownership and CEO attributes. It also develops a conceptual framework explaining how ownership structure influences CEO characteristics and derives implications for Vietnam.</w:t>
      </w:r>
    </w:p>
    <w:p w14:paraId="6725204A" w14:textId="73E45E7B"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2. Theoretical framework and literature review about relationship between ownership structure and CEO characteristics</w:t>
      </w:r>
    </w:p>
    <w:p w14:paraId="16549A9E" w14:textId="257595D0"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 xml:space="preserve">2.1 Agency </w:t>
      </w:r>
      <w:r w:rsidR="00142947">
        <w:rPr>
          <w:rFonts w:ascii="Times New Roman" w:hAnsi="Times New Roman" w:cs="Times New Roman"/>
          <w:b/>
          <w:bCs/>
          <w:sz w:val="28"/>
          <w:szCs w:val="28"/>
        </w:rPr>
        <w:t>T</w:t>
      </w:r>
      <w:r w:rsidRPr="00C51BAE">
        <w:rPr>
          <w:rFonts w:ascii="Times New Roman" w:hAnsi="Times New Roman" w:cs="Times New Roman"/>
          <w:b/>
          <w:bCs/>
          <w:sz w:val="28"/>
          <w:szCs w:val="28"/>
        </w:rPr>
        <w:t>heory and Upper Echelons Theory</w:t>
      </w:r>
    </w:p>
    <w:p w14:paraId="46BC49CF"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As primary investors, ownership groups have a direct influence on strategic decision-making and innovation activities of their companies, though the extent of their influence varies depending on ownership structures. While a CEO can directly influence a corporation's development trajectory, the CEO’s abilities are critical to the firm’s overall performance. </w:t>
      </w:r>
    </w:p>
    <w:p w14:paraId="336C052F" w14:textId="77777777" w:rsidR="009F7516" w:rsidRPr="00C51BAE" w:rsidRDefault="009F7516"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The relationship between CEOs and ownership structure is therefore an important issue in corporate governance. Agency Theory (Jensen &amp; Meckling, 1976) explains the conflicts arising when principals (owners) delegate decision-making authority to agents (managers). The separation between ownership and control may create conflicts of interest, as managers may pursue personal objectives rather than maximizing owners’ wealth. Consequently, agency costs arise from the need to monitor and align managerial behavior with owners’ interests. Prior studies further suggest that ownership structure significantly influences CEO performance, selection, turnover, and compensation across different dimensions (Brickley et al., 1994; Coughlan &amp; Schmidt, 1985; Chakraborty &amp; Mahakud, 2023; Hanousek et al., 2017; Kabir &amp; Thai, 2021; Khidmat et al., 2022).</w:t>
      </w:r>
    </w:p>
    <w:p w14:paraId="5C15672F" w14:textId="77777777" w:rsidR="009F7516" w:rsidRPr="00C51BAE" w:rsidRDefault="009F7516"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In addition, CEO competence and characteristics have been widely examined in previous studies. Upper Echelons Theory, introduced by Hambrick and Mason (1984), posits that a firm’s strategic trajectory and performance reflect the values and demographic characteristics of top executives. CEO attributes, including background, personal traits, and values, shape managerial perspectives and influence strategic decision-making and firm operations.</w:t>
      </w:r>
    </w:p>
    <w:p w14:paraId="1827F171" w14:textId="4FFD9E6B"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 xml:space="preserve">2.2 Ownership </w:t>
      </w:r>
      <w:r w:rsidR="000B5E07" w:rsidRPr="00C51BAE">
        <w:rPr>
          <w:rFonts w:ascii="Times New Roman" w:hAnsi="Times New Roman" w:cs="Times New Roman"/>
          <w:b/>
          <w:bCs/>
          <w:sz w:val="28"/>
          <w:szCs w:val="28"/>
        </w:rPr>
        <w:t>structure and ceo characteristics</w:t>
      </w:r>
    </w:p>
    <w:p w14:paraId="4F664C00"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The relationship between board of owners and CEO in managing companies has been researched long before. The results generally illustrate that different ownership structures will have different influence on CEO selection, incentives and monitoring mechanism. </w:t>
      </w:r>
    </w:p>
    <w:p w14:paraId="227E6E93" w14:textId="68B280D5" w:rsidR="004462FF" w:rsidRPr="00C51BAE" w:rsidRDefault="001B30F5"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First, state ownership is a common business structure in socialist-oriented economies, and its impact on firm performance remains widely debated. Some studies describe the state as a “grabbing hand” that reduces productivity and increases debt, while others argue that it acts as a “helping hand” by providing firms with financial support and market access (Abramov et al., 2017; Zhou et al., </w:t>
      </w:r>
      <w:r w:rsidRPr="00C51BAE">
        <w:rPr>
          <w:rFonts w:ascii="Times New Roman" w:hAnsi="Times New Roman" w:cs="Times New Roman"/>
          <w:sz w:val="28"/>
          <w:szCs w:val="28"/>
        </w:rPr>
        <w:lastRenderedPageBreak/>
        <w:t>2017). In SOEs, CEO selection and incentives are often influenced more by administrative objectives than by market mechanisms (Zhang et al., 2020). Consequently, executives may lack the managerial capabilities and performance-based incentives necessary to promote innovation and competitiveness (Zhou et al., 2017; Tihanyi et al., 2019). To overcome these limitations, previous studies recommend mixed-ownership reforms and reducing direct bureaucratic intervention in corporate governance (Nguyen &amp; Nguyen, 2020; Zhang et al., 2020).</w:t>
      </w:r>
      <w:r w:rsidR="004462FF" w:rsidRPr="00C51BAE">
        <w:rPr>
          <w:rFonts w:ascii="Times New Roman" w:hAnsi="Times New Roman" w:cs="Times New Roman"/>
          <w:sz w:val="28"/>
          <w:szCs w:val="28"/>
        </w:rPr>
        <w:t xml:space="preserve"> </w:t>
      </w:r>
    </w:p>
    <w:p w14:paraId="186E3F8E" w14:textId="77777777" w:rsidR="001B30F5" w:rsidRPr="00C51BAE" w:rsidRDefault="001B30F5"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Family-owned firms are characterized by strong family influence on CEO selection and succession. These firms often prefer internal successors, particularly family members, while companies with more outside directors are more likely to appoint external CEOs (Luan et al., 2018). Research also indicates a preference for male heirs in leadership succession and shows that family ownership positively affects CEO compensation (Ahrens et al., 2015; Msiedeen &amp; Sawalqa, 2021).</w:t>
      </w:r>
    </w:p>
    <w:p w14:paraId="4C61F970" w14:textId="77777777" w:rsidR="001B30F5" w:rsidRPr="00C51BAE" w:rsidRDefault="001B30F5"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Foreign ownership, meanwhile, is associated with stronger corporate governance and firm growth. Foreign investors tend to favor CEOs with higher education, financial expertise, or international backgrounds, as these characteristics signal better transparency and management capability (Chakraborty &amp; Mahakud, 2023; Nguyen &amp; Nguyen, 2020).</w:t>
      </w:r>
    </w:p>
    <w:p w14:paraId="43001D22" w14:textId="1C827B6E"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 xml:space="preserve">3. Vietnam’s </w:t>
      </w:r>
      <w:r w:rsidR="0067621A" w:rsidRPr="00C51BAE">
        <w:rPr>
          <w:rFonts w:ascii="Times New Roman" w:hAnsi="Times New Roman" w:cs="Times New Roman"/>
          <w:b/>
          <w:bCs/>
          <w:sz w:val="28"/>
          <w:szCs w:val="28"/>
        </w:rPr>
        <w:t>strategic orientations and challenges to the business structure and environment</w:t>
      </w:r>
    </w:p>
    <w:p w14:paraId="766A696E" w14:textId="461E76AE"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Vietnam’s corporate landscape is fundamentally governed by the framework of a Socialist-Oriented Market Economy, where market mechanisms are integrated with state leadership to ensure social equity and sustainable growth. The current business structure rests on three main pillars: State-Owned Enterprises (SOEs) acting as leading forces, a domestic private sector recognized as a primary important engine, and a high-quality Foreign Direct Investment (FDI) sector serving as a catalyst for global integration.</w:t>
      </w:r>
    </w:p>
    <w:p w14:paraId="1E3F8B73"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First, although the government has made efforts to reduce state ownership in state-owned enterprises, state control remains substantial in many firms constrain the autonomy of CEOs and hinder the development of market-oriented managerial decisions. This challenge is further intensified by overlapping and inconsistent regulations, which create barriers to strategic decision-making, particularly in areas related to innovation and entrepreneurship (Government News, 2026). </w:t>
      </w:r>
    </w:p>
    <w:p w14:paraId="06D58004" w14:textId="15B105DB"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Second, many Vietnamese family-owned firms still lack a clear, transparent, and merit-based mechanism for CEO appointment. Due to concerns about losing ownership control or diluting family influence, these firms often prefer appointing </w:t>
      </w:r>
      <w:r w:rsidRPr="00C51BAE">
        <w:rPr>
          <w:rFonts w:ascii="Times New Roman" w:hAnsi="Times New Roman" w:cs="Times New Roman"/>
          <w:sz w:val="28"/>
          <w:szCs w:val="28"/>
        </w:rPr>
        <w:lastRenderedPageBreak/>
        <w:t>family members or close relatives to CEO positions. However, family-based CEO candidates may not always possess the managerial capacity, professional expertise required to lead the firm in a competitive business environment. These dilemmas create significant difficulties for family-owned firms in professionalizing CEO succession and leadership selection (Dang Hoa, 2019).</w:t>
      </w:r>
    </w:p>
    <w:p w14:paraId="479CC6A2"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Third, foreign owners and foreign investors usually expect CEOs to possess strong qualifications, including transparency orientation, financial and managerial expertise, international experience, and the ability to operate in cross-border business settings. As a result, foreign-invested firms may prefer appointing home-country or internationally experienced CEOs rather than host-country CEOs. This tendency highlights the need for Vietnam to develop a stronger pool of domestic CEOs with international managerial competence.  </w:t>
      </w:r>
    </w:p>
    <w:p w14:paraId="647D22FF"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Finally, enterprises also frequently report that the cost of doing business in Vietnam remains high. Hidden costs arising from lengthy and non-transparent administrative procedures continue to increase compliance burdens and weaken foreign investors’ confidence (Government News, 2026; Ministry of Industry and Trade, 2024). The lack of clear and consistent policy implementation widens the gap between policy design and business reality.</w:t>
      </w:r>
    </w:p>
    <w:p w14:paraId="2FB46AED" w14:textId="6196CAEE"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 xml:space="preserve">4. Conceptual </w:t>
      </w:r>
      <w:r w:rsidR="00F31A6F" w:rsidRPr="00C51BAE">
        <w:rPr>
          <w:rFonts w:ascii="Times New Roman" w:hAnsi="Times New Roman" w:cs="Times New Roman"/>
          <w:b/>
          <w:bCs/>
          <w:sz w:val="28"/>
          <w:szCs w:val="28"/>
        </w:rPr>
        <w:t xml:space="preserve">framework and propositions </w:t>
      </w:r>
      <w:r w:rsidRPr="00C51BAE">
        <w:rPr>
          <w:rFonts w:ascii="Times New Roman" w:hAnsi="Times New Roman" w:cs="Times New Roman"/>
          <w:b/>
          <w:bCs/>
          <w:sz w:val="28"/>
          <w:szCs w:val="28"/>
        </w:rPr>
        <w:t>to Vietnam context</w:t>
      </w:r>
    </w:p>
    <w:p w14:paraId="3776DB38"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Based on the theoretical framework, literature review and assessing Vietnam context, ownership structures (state-owned, family-owned and foreign-owned) indirectly impacts on CEO attributes through the mechanism of selecting, providing incentives and monitoring CEOs. These different structures create different prior criteria in the mechanism in detail, that who should be selected as the CEO, on what kinds of standards, and under monitoring by which board of owners. </w:t>
      </w:r>
    </w:p>
    <w:p w14:paraId="4D7B5E83" w14:textId="7E7769B0"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According to that, these mechanisms not only influence directly on the company outcomes, but also on which characteristics the CEO should possess including education level, experience, family ties, gender. These traits, in return, effect on the CEOs’ strategic behaviors on innovation activities, information transparency and global integration. As a result, a conceptual framework explaining the impact of ownership structure on CEO characteristics and his strategic behaviors and governance outcomes is produced as the below diagram:</w:t>
      </w:r>
    </w:p>
    <w:p w14:paraId="47329D19" w14:textId="422D0A6C" w:rsidR="00050F4C" w:rsidRPr="00A47FF5" w:rsidRDefault="00050F4C" w:rsidP="00A47FF5">
      <w:pPr>
        <w:jc w:val="center"/>
        <w:rPr>
          <w:rFonts w:ascii="Times New Roman" w:hAnsi="Times New Roman" w:cs="Times New Roman"/>
          <w:b/>
          <w:bCs/>
          <w:sz w:val="28"/>
          <w:szCs w:val="28"/>
        </w:rPr>
      </w:pPr>
      <w:r w:rsidRPr="00A47FF5">
        <w:rPr>
          <w:rFonts w:ascii="Times New Roman" w:hAnsi="Times New Roman" w:cs="Times New Roman"/>
          <w:b/>
          <w:bCs/>
          <w:sz w:val="28"/>
          <w:szCs w:val="28"/>
        </w:rPr>
        <w:t xml:space="preserve">Figure </w:t>
      </w:r>
      <w:r w:rsidRPr="00A47FF5">
        <w:rPr>
          <w:rFonts w:ascii="Times New Roman" w:hAnsi="Times New Roman" w:cs="Times New Roman"/>
          <w:b/>
          <w:bCs/>
          <w:sz w:val="28"/>
          <w:szCs w:val="28"/>
        </w:rPr>
        <w:fldChar w:fldCharType="begin"/>
      </w:r>
      <w:r w:rsidRPr="00A47FF5">
        <w:rPr>
          <w:rFonts w:ascii="Times New Roman" w:hAnsi="Times New Roman" w:cs="Times New Roman"/>
          <w:b/>
          <w:bCs/>
          <w:sz w:val="28"/>
          <w:szCs w:val="28"/>
        </w:rPr>
        <w:instrText xml:space="preserve"> SEQ Figure \* ARABIC </w:instrText>
      </w:r>
      <w:r w:rsidRPr="00A47FF5">
        <w:rPr>
          <w:rFonts w:ascii="Times New Roman" w:hAnsi="Times New Roman" w:cs="Times New Roman"/>
          <w:b/>
          <w:bCs/>
          <w:sz w:val="28"/>
          <w:szCs w:val="28"/>
        </w:rPr>
        <w:fldChar w:fldCharType="separate"/>
      </w:r>
      <w:r w:rsidRPr="00A47FF5">
        <w:rPr>
          <w:rFonts w:ascii="Times New Roman" w:hAnsi="Times New Roman" w:cs="Times New Roman"/>
          <w:b/>
          <w:bCs/>
          <w:noProof/>
          <w:sz w:val="28"/>
          <w:szCs w:val="28"/>
        </w:rPr>
        <w:t>1</w:t>
      </w:r>
      <w:r w:rsidRPr="00A47FF5">
        <w:rPr>
          <w:rFonts w:ascii="Times New Roman" w:hAnsi="Times New Roman" w:cs="Times New Roman"/>
          <w:b/>
          <w:bCs/>
          <w:sz w:val="28"/>
          <w:szCs w:val="28"/>
        </w:rPr>
        <w:fldChar w:fldCharType="end"/>
      </w:r>
      <w:r w:rsidR="002C3181" w:rsidRPr="00A47FF5">
        <w:rPr>
          <w:rFonts w:ascii="Times New Roman" w:hAnsi="Times New Roman" w:cs="Times New Roman"/>
          <w:b/>
          <w:bCs/>
          <w:sz w:val="28"/>
          <w:szCs w:val="28"/>
        </w:rPr>
        <w:t>.</w:t>
      </w:r>
      <w:r w:rsidRPr="00A47FF5">
        <w:rPr>
          <w:rFonts w:ascii="Times New Roman" w:hAnsi="Times New Roman" w:cs="Times New Roman"/>
          <w:b/>
          <w:bCs/>
          <w:sz w:val="28"/>
          <w:szCs w:val="28"/>
        </w:rPr>
        <w:t xml:space="preserve"> The </w:t>
      </w:r>
      <w:r w:rsidR="002C3181" w:rsidRPr="00A47FF5">
        <w:rPr>
          <w:rFonts w:ascii="Times New Roman" w:hAnsi="Times New Roman" w:cs="Times New Roman"/>
          <w:b/>
          <w:bCs/>
          <w:sz w:val="28"/>
          <w:szCs w:val="28"/>
        </w:rPr>
        <w:t xml:space="preserve">conceptual framework of the relationship between ownership </w:t>
      </w:r>
      <w:r w:rsidRPr="00A47FF5">
        <w:rPr>
          <w:rFonts w:ascii="Times New Roman" w:hAnsi="Times New Roman" w:cs="Times New Roman"/>
          <w:b/>
          <w:bCs/>
          <w:sz w:val="28"/>
          <w:szCs w:val="28"/>
        </w:rPr>
        <w:t>structure and CEO characteristics</w:t>
      </w:r>
    </w:p>
    <w:p w14:paraId="73094F42" w14:textId="77777777" w:rsidR="00050F4C" w:rsidRPr="00C51BAE" w:rsidRDefault="00050F4C" w:rsidP="00C51BAE">
      <w:pPr>
        <w:spacing w:after="60" w:line="276" w:lineRule="auto"/>
        <w:jc w:val="both"/>
        <w:rPr>
          <w:rFonts w:ascii="Times New Roman" w:hAnsi="Times New Roman" w:cs="Times New Roman"/>
          <w:sz w:val="28"/>
          <w:szCs w:val="28"/>
        </w:rPr>
      </w:pPr>
    </w:p>
    <w:p w14:paraId="10E5B164"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noProof/>
          <w:sz w:val="28"/>
          <w:szCs w:val="28"/>
        </w:rPr>
        <w:lastRenderedPageBreak/>
        <mc:AlternateContent>
          <mc:Choice Requires="wpg">
            <w:drawing>
              <wp:anchor distT="0" distB="0" distL="114300" distR="114300" simplePos="0" relativeHeight="251657216" behindDoc="0" locked="0" layoutInCell="1" allowOverlap="1" wp14:anchorId="6B0B7A0E" wp14:editId="32565E07">
                <wp:simplePos x="0" y="0"/>
                <wp:positionH relativeFrom="margin">
                  <wp:posOffset>490855</wp:posOffset>
                </wp:positionH>
                <wp:positionV relativeFrom="paragraph">
                  <wp:posOffset>95250</wp:posOffset>
                </wp:positionV>
                <wp:extent cx="4674235" cy="3397885"/>
                <wp:effectExtent l="0" t="0" r="12065" b="12065"/>
                <wp:wrapTopAndBottom/>
                <wp:docPr id="2043775175" name="Group 9"/>
                <wp:cNvGraphicFramePr/>
                <a:graphic xmlns:a="http://schemas.openxmlformats.org/drawingml/2006/main">
                  <a:graphicData uri="http://schemas.microsoft.com/office/word/2010/wordprocessingGroup">
                    <wpg:wgp>
                      <wpg:cNvGrpSpPr/>
                      <wpg:grpSpPr>
                        <a:xfrm>
                          <a:off x="0" y="0"/>
                          <a:ext cx="4674235" cy="3397885"/>
                          <a:chOff x="0" y="0"/>
                          <a:chExt cx="5062118" cy="3671926"/>
                        </a:xfrm>
                      </wpg:grpSpPr>
                      <wps:wsp>
                        <wps:cNvPr id="1294945957" name="Text Box 1"/>
                        <wps:cNvSpPr txBox="1"/>
                        <wps:spPr>
                          <a:xfrm>
                            <a:off x="1638604" y="0"/>
                            <a:ext cx="1777594" cy="358444"/>
                          </a:xfrm>
                          <a:prstGeom prst="rect">
                            <a:avLst/>
                          </a:prstGeom>
                          <a:ln/>
                        </wps:spPr>
                        <wps:style>
                          <a:lnRef idx="2">
                            <a:schemeClr val="dk1"/>
                          </a:lnRef>
                          <a:fillRef idx="1">
                            <a:schemeClr val="lt1"/>
                          </a:fillRef>
                          <a:effectRef idx="0">
                            <a:schemeClr val="dk1"/>
                          </a:effectRef>
                          <a:fontRef idx="minor">
                            <a:schemeClr val="dk1"/>
                          </a:fontRef>
                        </wps:style>
                        <wps:txbx>
                          <w:txbxContent>
                            <w:p w14:paraId="15B7CAF4"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Ownership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8699938" name="Text Box 1"/>
                        <wps:cNvSpPr txBox="1"/>
                        <wps:spPr>
                          <a:xfrm>
                            <a:off x="1111910" y="1836116"/>
                            <a:ext cx="3035808" cy="358444"/>
                          </a:xfrm>
                          <a:prstGeom prst="rect">
                            <a:avLst/>
                          </a:prstGeom>
                          <a:ln/>
                        </wps:spPr>
                        <wps:style>
                          <a:lnRef idx="2">
                            <a:schemeClr val="dk1"/>
                          </a:lnRef>
                          <a:fillRef idx="1">
                            <a:schemeClr val="lt1"/>
                          </a:fillRef>
                          <a:effectRef idx="0">
                            <a:schemeClr val="dk1"/>
                          </a:effectRef>
                          <a:fontRef idx="minor">
                            <a:schemeClr val="dk1"/>
                          </a:fontRef>
                        </wps:style>
                        <wps:txbx>
                          <w:txbxContent>
                            <w:p w14:paraId="41C62451"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CEO selection, Incentives and 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909842" name="Text Box 1"/>
                        <wps:cNvSpPr txBox="1"/>
                        <wps:spPr>
                          <a:xfrm>
                            <a:off x="1653235" y="2589581"/>
                            <a:ext cx="1791995" cy="358444"/>
                          </a:xfrm>
                          <a:prstGeom prst="rect">
                            <a:avLst/>
                          </a:prstGeom>
                          <a:ln/>
                        </wps:spPr>
                        <wps:style>
                          <a:lnRef idx="2">
                            <a:schemeClr val="dk1"/>
                          </a:lnRef>
                          <a:fillRef idx="1">
                            <a:schemeClr val="lt1"/>
                          </a:fillRef>
                          <a:effectRef idx="0">
                            <a:schemeClr val="dk1"/>
                          </a:effectRef>
                          <a:fontRef idx="minor">
                            <a:schemeClr val="dk1"/>
                          </a:fontRef>
                        </wps:style>
                        <wps:txbx>
                          <w:txbxContent>
                            <w:p w14:paraId="72EA8358"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CEO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5764265" name="Text Box 1"/>
                        <wps:cNvSpPr txBox="1"/>
                        <wps:spPr>
                          <a:xfrm>
                            <a:off x="914400" y="3313786"/>
                            <a:ext cx="3254832" cy="358140"/>
                          </a:xfrm>
                          <a:prstGeom prst="rect">
                            <a:avLst/>
                          </a:prstGeom>
                          <a:ln/>
                        </wps:spPr>
                        <wps:style>
                          <a:lnRef idx="2">
                            <a:schemeClr val="dk1"/>
                          </a:lnRef>
                          <a:fillRef idx="1">
                            <a:schemeClr val="lt1"/>
                          </a:fillRef>
                          <a:effectRef idx="0">
                            <a:schemeClr val="dk1"/>
                          </a:effectRef>
                          <a:fontRef idx="minor">
                            <a:schemeClr val="dk1"/>
                          </a:fontRef>
                        </wps:style>
                        <wps:txbx>
                          <w:txbxContent>
                            <w:p w14:paraId="708BD4EF"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Strategic Behavior and Governance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1662658" name="Text Box 1"/>
                        <wps:cNvSpPr txBox="1"/>
                        <wps:spPr>
                          <a:xfrm>
                            <a:off x="0" y="994868"/>
                            <a:ext cx="1309421" cy="358140"/>
                          </a:xfrm>
                          <a:prstGeom prst="rect">
                            <a:avLst/>
                          </a:prstGeom>
                          <a:ln/>
                        </wps:spPr>
                        <wps:style>
                          <a:lnRef idx="2">
                            <a:schemeClr val="dk1"/>
                          </a:lnRef>
                          <a:fillRef idx="1">
                            <a:schemeClr val="lt1"/>
                          </a:fillRef>
                          <a:effectRef idx="0">
                            <a:schemeClr val="dk1"/>
                          </a:effectRef>
                          <a:fontRef idx="minor">
                            <a:schemeClr val="dk1"/>
                          </a:fontRef>
                        </wps:style>
                        <wps:txbx>
                          <w:txbxContent>
                            <w:p w14:paraId="7D01032F"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State ownership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6960940" name="Text Box 1"/>
                        <wps:cNvSpPr txBox="1"/>
                        <wps:spPr>
                          <a:xfrm>
                            <a:off x="1777593" y="980237"/>
                            <a:ext cx="1419149" cy="358444"/>
                          </a:xfrm>
                          <a:prstGeom prst="rect">
                            <a:avLst/>
                          </a:prstGeom>
                          <a:ln/>
                        </wps:spPr>
                        <wps:style>
                          <a:lnRef idx="2">
                            <a:schemeClr val="dk1"/>
                          </a:lnRef>
                          <a:fillRef idx="1">
                            <a:schemeClr val="lt1"/>
                          </a:fillRef>
                          <a:effectRef idx="0">
                            <a:schemeClr val="dk1"/>
                          </a:effectRef>
                          <a:fontRef idx="minor">
                            <a:schemeClr val="dk1"/>
                          </a:fontRef>
                        </wps:style>
                        <wps:txbx>
                          <w:txbxContent>
                            <w:p w14:paraId="0DA1E881"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Family Ownership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3527257" name="Text Box 1"/>
                        <wps:cNvSpPr txBox="1"/>
                        <wps:spPr>
                          <a:xfrm>
                            <a:off x="3664915" y="987552"/>
                            <a:ext cx="1397203" cy="358444"/>
                          </a:xfrm>
                          <a:prstGeom prst="rect">
                            <a:avLst/>
                          </a:prstGeom>
                          <a:ln/>
                        </wps:spPr>
                        <wps:style>
                          <a:lnRef idx="2">
                            <a:schemeClr val="dk1"/>
                          </a:lnRef>
                          <a:fillRef idx="1">
                            <a:schemeClr val="lt1"/>
                          </a:fillRef>
                          <a:effectRef idx="0">
                            <a:schemeClr val="dk1"/>
                          </a:effectRef>
                          <a:fontRef idx="minor">
                            <a:schemeClr val="dk1"/>
                          </a:fontRef>
                        </wps:style>
                        <wps:txbx>
                          <w:txbxContent>
                            <w:p w14:paraId="0DE06DEC"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Foreign Ownership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6540854" name="Straight Connector 4"/>
                        <wps:cNvCnPr/>
                        <wps:spPr>
                          <a:xfrm>
                            <a:off x="2501798" y="380391"/>
                            <a:ext cx="0" cy="585216"/>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1563794701" name="Straight Connector 5"/>
                        <wps:cNvCnPr/>
                        <wps:spPr>
                          <a:xfrm>
                            <a:off x="643737" y="643737"/>
                            <a:ext cx="3731213" cy="0"/>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1765009698" name="Straight Connector 6"/>
                        <wps:cNvCnPr/>
                        <wps:spPr>
                          <a:xfrm>
                            <a:off x="636422" y="651053"/>
                            <a:ext cx="7315" cy="306731"/>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1694695306" name="Straight Connector 7"/>
                        <wps:cNvCnPr>
                          <a:endCxn id="413527257" idx="0"/>
                        </wps:cNvCnPr>
                        <wps:spPr>
                          <a:xfrm>
                            <a:off x="4363516" y="629169"/>
                            <a:ext cx="0" cy="358383"/>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1986536284" name="Straight Connector 5"/>
                        <wps:cNvCnPr/>
                        <wps:spPr>
                          <a:xfrm>
                            <a:off x="665683" y="1565453"/>
                            <a:ext cx="3680002" cy="0"/>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443536288" name="Straight Connector 6"/>
                        <wps:cNvCnPr/>
                        <wps:spPr>
                          <a:xfrm>
                            <a:off x="636422" y="1316736"/>
                            <a:ext cx="7315" cy="263348"/>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1064383594" name="Straight Connector 6"/>
                        <wps:cNvCnPr/>
                        <wps:spPr>
                          <a:xfrm>
                            <a:off x="2504846" y="1338682"/>
                            <a:ext cx="14630" cy="482803"/>
                          </a:xfrm>
                          <a:prstGeom prst="line">
                            <a:avLst/>
                          </a:prstGeom>
                          <a:ln w="1270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424190290" name="Straight Connector 6"/>
                        <wps:cNvCnPr>
                          <a:stCxn id="413527257" idx="2"/>
                        </wps:cNvCnPr>
                        <wps:spPr>
                          <a:xfrm>
                            <a:off x="4363516" y="1345995"/>
                            <a:ext cx="0" cy="219457"/>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wps:wsp>
                        <wps:cNvPr id="695180621" name="Straight Connector 6"/>
                        <wps:cNvCnPr/>
                        <wps:spPr>
                          <a:xfrm>
                            <a:off x="2526792" y="2201876"/>
                            <a:ext cx="11582" cy="351129"/>
                          </a:xfrm>
                          <a:prstGeom prst="line">
                            <a:avLst/>
                          </a:prstGeom>
                          <a:ln w="1270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647819765" name="Straight Connector 6"/>
                        <wps:cNvCnPr/>
                        <wps:spPr>
                          <a:xfrm>
                            <a:off x="2534107" y="2948026"/>
                            <a:ext cx="11582" cy="351129"/>
                          </a:xfrm>
                          <a:prstGeom prst="line">
                            <a:avLst/>
                          </a:prstGeom>
                          <a:ln w="1270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0B7A0E" id="Group 9" o:spid="_x0000_s1026" style="position:absolute;left:0;text-align:left;margin-left:38.65pt;margin-top:7.5pt;width:368.05pt;height:267.55pt;z-index:251657216;mso-position-horizontal-relative:margin;mso-width-relative:margin;mso-height-relative:margin" coordsize="50621,36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">
                <v:shapetype id="_x0000_t202" coordsize="21600,21600" o:spt="202" path="m,l,21600r21600,l21600,xe">
                  <v:stroke joinstyle="miter"/>
                  <v:path gradientshapeok="t" o:connecttype="rect"/>
                </v:shapetype>
                <v:shape id="_x0000_s1027" type="#_x0000_t202" style="position:absolute;left:16386;width:17775;height:3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" fillcolor="white [3201]" strokecolor="black [3200]" strokeweight="1pt">
                  <v:textbox>
                    <w:txbxContent>
                      <w:p w14:paraId="15B7CAF4"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Ownership Structure</w:t>
                        </w:r>
                      </w:p>
                    </w:txbxContent>
                  </v:textbox>
                </v:shape>
                <v:shape id="_x0000_s1028" type="#_x0000_t202" style="position:absolute;left:11119;top:18361;width:30358;height:3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" fillcolor="white [3201]" strokecolor="black [3200]" strokeweight="1pt">
                  <v:textbox>
                    <w:txbxContent>
                      <w:p w14:paraId="41C62451"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CEO selection, Incentives and Monitoring</w:t>
                        </w:r>
                      </w:p>
                    </w:txbxContent>
                  </v:textbox>
                </v:shape>
                <v:shape id="_x0000_s1029" type="#_x0000_t202" style="position:absolute;left:16532;top:25895;width:17920;height:3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" fillcolor="white [3201]" strokecolor="black [3200]" strokeweight="1pt">
                  <v:textbox>
                    <w:txbxContent>
                      <w:p w14:paraId="72EA8358"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CEO Characteristics</w:t>
                        </w:r>
                      </w:p>
                    </w:txbxContent>
                  </v:textbox>
                </v:shape>
                <v:shape id="_x0000_s1030" type="#_x0000_t202" style="position:absolute;left:9144;top:33137;width:32548;height:3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" fillcolor="white [3201]" strokecolor="black [3200]" strokeweight="1pt">
                  <v:textbox>
                    <w:txbxContent>
                      <w:p w14:paraId="708BD4EF"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Strategic Behavior and Governance Outcomes</w:t>
                        </w:r>
                      </w:p>
                    </w:txbxContent>
                  </v:textbox>
                </v:shape>
                <v:shape id="_x0000_s1031" type="#_x0000_t202" style="position:absolute;top:9948;width:13094;height:3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" fillcolor="white [3201]" strokecolor="black [3200]" strokeweight="1pt">
                  <v:textbox>
                    <w:txbxContent>
                      <w:p w14:paraId="7D01032F"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State ownership</w:t>
                        </w:r>
                      </w:p>
                    </w:txbxContent>
                  </v:textbox>
                </v:shape>
                <v:shape id="_x0000_s1032" type="#_x0000_t202" style="position:absolute;left:17775;top:9802;width:14192;height:3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" fillcolor="white [3201]" strokecolor="black [3200]" strokeweight="1pt">
                  <v:textbox>
                    <w:txbxContent>
                      <w:p w14:paraId="0DA1E881"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Family Ownership</w:t>
                        </w:r>
                      </w:p>
                    </w:txbxContent>
                  </v:textbox>
                </v:shape>
                <v:shape id="_x0000_s1033" type="#_x0000_t202" style="position:absolute;left:36649;top:9875;width:13972;height:3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" fillcolor="white [3201]" strokecolor="black [3200]" strokeweight="1pt">
                  <v:textbox>
                    <w:txbxContent>
                      <w:p w14:paraId="0DE06DEC" w14:textId="77777777" w:rsidR="004462FF" w:rsidRPr="00F93A6A" w:rsidRDefault="004462FF" w:rsidP="004462FF">
                        <w:pPr>
                          <w:jc w:val="center"/>
                          <w:rPr>
                            <w:rFonts w:ascii="Times New Roman" w:hAnsi="Times New Roman" w:cs="Times New Roman"/>
                            <w:sz w:val="22"/>
                            <w:szCs w:val="22"/>
                          </w:rPr>
                        </w:pPr>
                        <w:r w:rsidRPr="00F93A6A">
                          <w:rPr>
                            <w:rFonts w:ascii="Times New Roman" w:hAnsi="Times New Roman" w:cs="Times New Roman"/>
                            <w:sz w:val="22"/>
                            <w:szCs w:val="22"/>
                          </w:rPr>
                          <w:t>Foreign Ownership</w:t>
                        </w:r>
                      </w:p>
                    </w:txbxContent>
                  </v:textbox>
                </v:shape>
                <v:line id="Straight Connector 4" o:spid="_x0000_s1034" style="position:absolute;visibility:visible;mso-wrap-style:square" from="25017,3803" to="25017,96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" strokecolor="black [3200]" strokeweight="1pt">
                  <v:stroke joinstyle="miter"/>
                </v:line>
                <v:line id="Straight Connector 5" o:spid="_x0000_s1035" style="position:absolute;visibility:visible;mso-wrap-style:square" from="6437,6437" to="43749,6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" strokecolor="black [3200]" strokeweight="1pt">
                  <v:stroke joinstyle="miter"/>
                </v:line>
                <v:line id="Straight Connector 6" o:spid="_x0000_s1036" style="position:absolute;visibility:visible;mso-wrap-style:square" from="6364,6510" to="6437,9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" strokecolor="black [3200]" strokeweight="1pt">
                  <v:stroke joinstyle="miter"/>
                </v:line>
                <v:line id="Straight Connector 7" o:spid="_x0000_s1037" style="position:absolute;visibility:visible;mso-wrap-style:square" from="43635,6291" to="43635,98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" strokecolor="black [3200]" strokeweight="1pt">
                  <v:stroke joinstyle="miter"/>
                </v:line>
                <v:line id="Straight Connector 5" o:spid="_x0000_s1038" style="position:absolute;visibility:visible;mso-wrap-style:square" from="6656,15654" to="43456,156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" strokecolor="black [3200]" strokeweight="1pt">
                  <v:stroke joinstyle="miter"/>
                </v:line>
                <v:line id="Straight Connector 6" o:spid="_x0000_s1039" style="position:absolute;visibility:visible;mso-wrap-style:square" from="6364,13167" to="6437,15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" strokecolor="black [3200]" strokeweight="1pt">
                  <v:stroke joinstyle="miter"/>
                </v:line>
                <v:line id="Straight Connector 6" o:spid="_x0000_s1040" style="position:absolute;visibility:visible;mso-wrap-style:square" from="25048,13386" to="25194,182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" strokecolor="black [3200]" strokeweight="1pt">
                  <v:stroke endarrow="open"/>
                </v:line>
                <v:line id="Straight Connector 6" o:spid="_x0000_s1041" style="position:absolute;visibility:visible;mso-wrap-style:square" from="43635,13459" to="43635,156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" strokecolor="black [3200]" strokeweight="1pt">
                  <v:stroke joinstyle="miter"/>
                </v:line>
                <v:line id="Straight Connector 6" o:spid="_x0000_s1042" style="position:absolute;visibility:visible;mso-wrap-style:square" from="25267,22018" to="25383,255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" strokecolor="black [3200]" strokeweight="1pt">
                  <v:stroke endarrow="open"/>
                </v:line>
                <v:line id="Straight Connector 6" o:spid="_x0000_s1043" style="position:absolute;visibility:visible;mso-wrap-style:square" from="25341,29480" to="25456,329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" strokecolor="black [3200]" strokeweight="1pt">
                  <v:stroke endarrow="open"/>
                </v:line>
                <w10:wrap type="topAndBottom" anchorx="margin"/>
              </v:group>
            </w:pict>
          </mc:Fallback>
        </mc:AlternateContent>
      </w:r>
      <w:r w:rsidRPr="00C51BAE">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66209FC" wp14:editId="6A25E169">
                <wp:simplePos x="0" y="0"/>
                <wp:positionH relativeFrom="margin">
                  <wp:align>center</wp:align>
                </wp:positionH>
                <wp:positionV relativeFrom="paragraph">
                  <wp:posOffset>3877310</wp:posOffset>
                </wp:positionV>
                <wp:extent cx="5061585" cy="635"/>
                <wp:effectExtent l="0" t="0" r="5715" b="0"/>
                <wp:wrapTopAndBottom/>
                <wp:docPr id="1105134420" name="Text Box 1"/>
                <wp:cNvGraphicFramePr/>
                <a:graphic xmlns:a="http://schemas.openxmlformats.org/drawingml/2006/main">
                  <a:graphicData uri="http://schemas.microsoft.com/office/word/2010/wordprocessingShape">
                    <wps:wsp>
                      <wps:cNvSpPr txBox="1"/>
                      <wps:spPr>
                        <a:xfrm>
                          <a:off x="0" y="0"/>
                          <a:ext cx="5061585" cy="635"/>
                        </a:xfrm>
                        <a:prstGeom prst="rect">
                          <a:avLst/>
                        </a:prstGeom>
                        <a:solidFill>
                          <a:prstClr val="white"/>
                        </a:solidFill>
                        <a:ln>
                          <a:noFill/>
                        </a:ln>
                      </wps:spPr>
                      <wps:txbx>
                        <w:txbxContent>
                          <w:p w14:paraId="1D18DF91" w14:textId="1E2DE4F9" w:rsidR="004462FF" w:rsidRPr="00535E4B" w:rsidRDefault="00F43508" w:rsidP="004462FF">
                            <w:pPr>
                              <w:jc w:val="right"/>
                              <w:rPr>
                                <w:rFonts w:ascii="Times New Roman" w:hAnsi="Times New Roman" w:cs="Times New Roman"/>
                                <w:i/>
                                <w:iCs/>
                              </w:rPr>
                            </w:pPr>
                            <w:r>
                              <w:rPr>
                                <w:rFonts w:ascii="Times New Roman" w:hAnsi="Times New Roman" w:cs="Times New Roman"/>
                                <w:i/>
                                <w:iCs/>
                              </w:rPr>
                              <w:t>(</w:t>
                            </w:r>
                            <w:r w:rsidR="004462FF" w:rsidRPr="00535E4B">
                              <w:rPr>
                                <w:rFonts w:ascii="Times New Roman" w:hAnsi="Times New Roman" w:cs="Times New Roman"/>
                                <w:i/>
                                <w:iCs/>
                              </w:rPr>
                              <w:t>Source: Author</w:t>
                            </w:r>
                            <w:r>
                              <w:rPr>
                                <w:rFonts w:ascii="Times New Roman" w:hAnsi="Times New Roman" w:cs="Times New Roman"/>
                                <w:i/>
                                <w:i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6209FC" id="Text Box 1" o:spid="_x0000_s1044" type="#_x0000_t202" style="position:absolute;left:0;text-align:left;margin-left:0;margin-top:305.3pt;width:398.55pt;height:.0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" stroked="f">
                <v:textbox style="mso-fit-shape-to-text:t" inset="0,0,0,0">
                  <w:txbxContent>
                    <w:p w14:paraId="1D18DF91" w14:textId="1E2DE4F9" w:rsidR="004462FF" w:rsidRPr="00535E4B" w:rsidRDefault="00F43508" w:rsidP="004462FF">
                      <w:pPr>
                        <w:jc w:val="right"/>
                        <w:rPr>
                          <w:rFonts w:ascii="Times New Roman" w:hAnsi="Times New Roman" w:cs="Times New Roman"/>
                          <w:i/>
                          <w:iCs/>
                        </w:rPr>
                      </w:pPr>
                      <w:r>
                        <w:rPr>
                          <w:rFonts w:ascii="Times New Roman" w:hAnsi="Times New Roman" w:cs="Times New Roman"/>
                          <w:i/>
                          <w:iCs/>
                        </w:rPr>
                        <w:t>(</w:t>
                      </w:r>
                      <w:r w:rsidR="004462FF" w:rsidRPr="00535E4B">
                        <w:rPr>
                          <w:rFonts w:ascii="Times New Roman" w:hAnsi="Times New Roman" w:cs="Times New Roman"/>
                          <w:i/>
                          <w:iCs/>
                        </w:rPr>
                        <w:t>Source: Author</w:t>
                      </w:r>
                      <w:r>
                        <w:rPr>
                          <w:rFonts w:ascii="Times New Roman" w:hAnsi="Times New Roman" w:cs="Times New Roman"/>
                          <w:i/>
                          <w:iCs/>
                        </w:rPr>
                        <w:t>)</w:t>
                      </w:r>
                    </w:p>
                  </w:txbxContent>
                </v:textbox>
                <w10:wrap type="topAndBottom" anchorx="margin"/>
              </v:shape>
            </w:pict>
          </mc:Fallback>
        </mc:AlternateContent>
      </w:r>
    </w:p>
    <w:p w14:paraId="7885CB14" w14:textId="77777777" w:rsidR="00050F4C" w:rsidRPr="00C51BAE" w:rsidRDefault="00050F4C" w:rsidP="00C51BAE">
      <w:pPr>
        <w:spacing w:after="60" w:line="276" w:lineRule="auto"/>
        <w:jc w:val="both"/>
        <w:rPr>
          <w:rFonts w:ascii="Times New Roman" w:hAnsi="Times New Roman" w:cs="Times New Roman"/>
          <w:sz w:val="28"/>
          <w:szCs w:val="28"/>
        </w:rPr>
      </w:pPr>
    </w:p>
    <w:p w14:paraId="56D30F16" w14:textId="4A3F46A4"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Based on this conceptual framework, four main propositions are proposed: </w:t>
      </w:r>
    </w:p>
    <w:p w14:paraId="79F69CF3"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P1: Different ownership structures tend to create different expectations and criteria about who should become CEO and which characteristics the CEO should possess.</w:t>
      </w:r>
    </w:p>
    <w:p w14:paraId="04F00DF1"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P2: In state-owned enterprises, administrative intervention in the mechanism of appointing CEO may reduce the role of market-oriented managerial competence in CEO selection.</w:t>
      </w:r>
    </w:p>
    <w:p w14:paraId="08538D2D"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P3: In family-owned firms, family-based CEO succession may may weaken the professionalism and independence of CEO selection and evaluation.</w:t>
      </w:r>
    </w:p>
    <w:p w14:paraId="2F2EB283" w14:textId="0C2617CD" w:rsidR="001B30F5"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P4: In firms with foreign ownership, foreign investors are more likely to favor qualified CEOs with higher education, financial expertise, international experience, and stronger disclosure orientation.</w:t>
      </w:r>
    </w:p>
    <w:p w14:paraId="421976C7" w14:textId="35B0E3EF"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 xml:space="preserve">5. Recommendations to Vietnam’s </w:t>
      </w:r>
      <w:r w:rsidR="00A064F9">
        <w:rPr>
          <w:rFonts w:ascii="Times New Roman" w:hAnsi="Times New Roman" w:cs="Times New Roman"/>
          <w:b/>
          <w:bCs/>
          <w:sz w:val="28"/>
          <w:szCs w:val="28"/>
        </w:rPr>
        <w:t>c</w:t>
      </w:r>
      <w:r w:rsidRPr="00C51BAE">
        <w:rPr>
          <w:rFonts w:ascii="Times New Roman" w:hAnsi="Times New Roman" w:cs="Times New Roman"/>
          <w:b/>
          <w:bCs/>
          <w:sz w:val="28"/>
          <w:szCs w:val="28"/>
        </w:rPr>
        <w:t>ontext</w:t>
      </w:r>
    </w:p>
    <w:p w14:paraId="65EE8E40"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Based on the comprehensive literature provided and the current regulatory landscape in Vietnam, the following recommendations are designed to bridge the gap between theoretical agency conflicts and the practical needs of Vietnam’s transition economy.</w:t>
      </w:r>
    </w:p>
    <w:p w14:paraId="0BD424EA" w14:textId="2D832308"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First, Vietnam should develop a more professional and market-oriented mechanism for appointing CEOs in state-owned enterprises (SOEs). This is </w:t>
      </w:r>
      <w:r w:rsidRPr="00C51BAE">
        <w:rPr>
          <w:rFonts w:ascii="Times New Roman" w:hAnsi="Times New Roman" w:cs="Times New Roman"/>
          <w:sz w:val="28"/>
          <w:szCs w:val="28"/>
        </w:rPr>
        <w:lastRenderedPageBreak/>
        <w:t>necessary to align SOE leadership with the national goal of developing a globally competitive entrepreneur class. In many SOEs, leadership selection may still be influenced by administrative seniority and bureaucratic experience rather than commercial competence. In addition, the transition from “pre-check” to “post-check” regulatory mechanisms should be promoted based on risk management principles. This also can reduce unnecessary compliance burdens, thereby allowing CEOs in SOEs to focus more on long-term strategic goals.</w:t>
      </w:r>
    </w:p>
    <w:p w14:paraId="6498DB8E" w14:textId="697DC369"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Second, family-owned enterprises should professionalize their CEO appointment and succession mechanisms. While family succession may remain important in many family firms, CEO selection should be guided by transparent and merit-based criteria, including educational background, managerial expertise, financial competence, and international experience. This approach can help family firms avoid overreliance on family ties that are closely linked to CEO performance and firm outcomes. Such mechanisms can reduce agency costs between family owners and professional managers while maintaining the long-term interests of the family business.</w:t>
      </w:r>
    </w:p>
    <w:p w14:paraId="572BB96A" w14:textId="18BE7F92"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Third, to attract high-quality foreign direct investment (FDI), Vietnam should improve CEO quality and strengthen the transparency of the business environment. At the enterprise level, firms should prioritize CEOs with strong professional backgrounds, including financial expertise, international experience, managerial competence, and a clear orientation toward disclosure and transparency. These characteristics can serve as important signals of governance quality and help strengthen foreign investors’ confidence. </w:t>
      </w:r>
    </w:p>
    <w:p w14:paraId="437507C0" w14:textId="5F30B125"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At the policy level, the government should support CEO development through professional training programs, executive workshops, and platforms for knowledge sharing among business leaders. These activities should focus on corporate governance, financial management, digital transformation, green transition, ESG practices, and international business competence. In addition, the government should provide clearer and more detailed guidelines for both enterprises and government officials to reduce compliance costs and hidden business costs. </w:t>
      </w:r>
    </w:p>
    <w:p w14:paraId="7BB72E55" w14:textId="05D41FAF" w:rsidR="004462FF" w:rsidRPr="00C51BAE" w:rsidRDefault="00AC7D0C" w:rsidP="00C51BAE">
      <w:pPr>
        <w:spacing w:after="60" w:line="276"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004462FF" w:rsidRPr="00C51BAE">
        <w:rPr>
          <w:rFonts w:ascii="Times New Roman" w:hAnsi="Times New Roman" w:cs="Times New Roman"/>
          <w:b/>
          <w:bCs/>
          <w:sz w:val="28"/>
          <w:szCs w:val="28"/>
        </w:rPr>
        <w:t>. Conclusion</w:t>
      </w:r>
    </w:p>
    <w:p w14:paraId="3D796E10" w14:textId="77777777" w:rsidR="004462FF" w:rsidRPr="00C51BAE" w:rsidRDefault="004462FF" w:rsidP="00C51BAE">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 xml:space="preserve">In conclusion, this paper has synthesized the relationship between ownership structures and CEO attributes, emphasizing how executive characteristics serve as critical signals for diverse investor groups. It further evaluates Vietnam’s current strategic shift toward an enabling government, which prioritizes transparency and a more resilient business environment. Based on these findings, recommendations are proposed to align CEO selection and development with </w:t>
      </w:r>
      <w:r w:rsidRPr="00C51BAE">
        <w:rPr>
          <w:rFonts w:ascii="Times New Roman" w:hAnsi="Times New Roman" w:cs="Times New Roman"/>
          <w:sz w:val="28"/>
          <w:szCs w:val="28"/>
        </w:rPr>
        <w:lastRenderedPageBreak/>
        <w:t>national orientations to foster a globally competitive entrepreneur class. At the government level, continued efforts such as issuing detailed guidelines to companies are needed to reduce administrative intervention, improve regulatory transparency, and reduce hidden compliance burdens. At the enterprise level, firms should professionalize CEO appointment and evaluation by prioritizing managerial competence, financial expertise, international experience, and ethical leadership over administrative seniority or family ties. Besides, aligning CEO compensation with CEO performance may reduce agency costs and increase company performance. Given the remaining gaps between policy design and practical implementation, future empirical research is needed to provide more rigorous, data-driven evidence for governance reforms in Vietnam.</w:t>
      </w:r>
    </w:p>
    <w:p w14:paraId="768026F6" w14:textId="3FCCC5BC" w:rsidR="004462FF" w:rsidRPr="00C51BAE" w:rsidRDefault="004462FF"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References</w:t>
      </w:r>
      <w:r w:rsidR="00050F4C" w:rsidRPr="00C51BAE">
        <w:rPr>
          <w:rFonts w:ascii="Times New Roman" w:hAnsi="Times New Roman" w:cs="Times New Roman"/>
          <w:b/>
          <w:bCs/>
          <w:sz w:val="28"/>
          <w:szCs w:val="28"/>
        </w:rPr>
        <w:t>:</w:t>
      </w:r>
    </w:p>
    <w:p w14:paraId="28F41B13" w14:textId="41AA0E93"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Abramov, A., Radygin, A., Entov, R., &amp; Chernova, M. (2017). State ownership and efficiency characteristics. </w:t>
      </w:r>
      <w:r w:rsidRPr="000821F2">
        <w:rPr>
          <w:rFonts w:ascii="Times New Roman" w:eastAsia="Times New Roman" w:hAnsi="Times New Roman" w:cs="Times New Roman"/>
          <w:i/>
          <w:iCs/>
          <w:kern w:val="0"/>
          <w:sz w:val="28"/>
          <w:szCs w:val="28"/>
          <w:lang w:val="en-VN"/>
          <w14:ligatures w14:val="none"/>
        </w:rPr>
        <w:t>Russian Journal of Economics, 3</w:t>
      </w:r>
      <w:r w:rsidRPr="000821F2">
        <w:rPr>
          <w:rFonts w:ascii="Times New Roman" w:eastAsia="Times New Roman" w:hAnsi="Times New Roman" w:cs="Times New Roman"/>
          <w:kern w:val="0"/>
          <w:sz w:val="28"/>
          <w:szCs w:val="28"/>
          <w:lang w:val="en-VN"/>
          <w14:ligatures w14:val="none"/>
        </w:rPr>
        <w:t>(2), 129</w:t>
      </w:r>
      <w:r>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 xml:space="preserve">157. </w:t>
      </w:r>
    </w:p>
    <w:p w14:paraId="37BF72AE" w14:textId="60001005"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Ahrens, J. P., Landmann, A., &amp; Woywode, M. (2015). Gender preferences in the CEO successions of family firms: Family characteristics and human capital of the successor. </w:t>
      </w:r>
      <w:r w:rsidRPr="000821F2">
        <w:rPr>
          <w:rFonts w:ascii="Times New Roman" w:eastAsia="Times New Roman" w:hAnsi="Times New Roman" w:cs="Times New Roman"/>
          <w:i/>
          <w:iCs/>
          <w:kern w:val="0"/>
          <w:sz w:val="28"/>
          <w:szCs w:val="28"/>
          <w:lang w:val="en-VN"/>
          <w14:ligatures w14:val="none"/>
        </w:rPr>
        <w:t>Journal of Family Business Strategy, 6</w:t>
      </w:r>
      <w:r w:rsidRPr="000821F2">
        <w:rPr>
          <w:rFonts w:ascii="Times New Roman" w:eastAsia="Times New Roman" w:hAnsi="Times New Roman" w:cs="Times New Roman"/>
          <w:kern w:val="0"/>
          <w:sz w:val="28"/>
          <w:szCs w:val="28"/>
          <w:lang w:val="en-VN"/>
          <w14:ligatures w14:val="none"/>
        </w:rPr>
        <w:t>(2), 86</w:t>
      </w:r>
      <w:r>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103.</w:t>
      </w:r>
    </w:p>
    <w:p w14:paraId="469F61B1" w14:textId="16AFD119"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Brickley, J. A., Coles, J. L., &amp; Terry, R. L. (1994). Outside directors and the adoption of poison pills. </w:t>
      </w:r>
      <w:r w:rsidRPr="000821F2">
        <w:rPr>
          <w:rFonts w:ascii="Times New Roman" w:eastAsia="Times New Roman" w:hAnsi="Times New Roman" w:cs="Times New Roman"/>
          <w:i/>
          <w:iCs/>
          <w:kern w:val="0"/>
          <w:sz w:val="28"/>
          <w:szCs w:val="28"/>
          <w:lang w:val="en-VN"/>
          <w14:ligatures w14:val="none"/>
        </w:rPr>
        <w:t>Journal of Financial Economics, 35</w:t>
      </w:r>
      <w:r w:rsidRPr="000821F2">
        <w:rPr>
          <w:rFonts w:ascii="Times New Roman" w:eastAsia="Times New Roman" w:hAnsi="Times New Roman" w:cs="Times New Roman"/>
          <w:kern w:val="0"/>
          <w:sz w:val="28"/>
          <w:szCs w:val="28"/>
          <w:lang w:val="en-VN"/>
          <w14:ligatures w14:val="none"/>
        </w:rPr>
        <w:t>(3), 371</w:t>
      </w:r>
      <w:r>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 xml:space="preserve">390. </w:t>
      </w:r>
    </w:p>
    <w:p w14:paraId="6B738D07" w14:textId="6E1A9A36"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Chakraborty, D., &amp; Mahakud, J. (2023). CEO attributes and foreign shareholdings: Evidence from an emerging economy. </w:t>
      </w:r>
      <w:r w:rsidRPr="000821F2">
        <w:rPr>
          <w:rFonts w:ascii="Times New Roman" w:eastAsia="Times New Roman" w:hAnsi="Times New Roman" w:cs="Times New Roman"/>
          <w:i/>
          <w:iCs/>
          <w:kern w:val="0"/>
          <w:sz w:val="28"/>
          <w:szCs w:val="28"/>
          <w:lang w:val="en-VN"/>
          <w14:ligatures w14:val="none"/>
        </w:rPr>
        <w:t>Journal of Financial Reporting and Accounting</w:t>
      </w:r>
      <w:r w:rsidRPr="000821F2">
        <w:rPr>
          <w:rFonts w:ascii="Times New Roman" w:eastAsia="Times New Roman" w:hAnsi="Times New Roman" w:cs="Times New Roman"/>
          <w:kern w:val="0"/>
          <w:sz w:val="28"/>
          <w:szCs w:val="28"/>
          <w:lang w:val="en-VN"/>
          <w14:ligatures w14:val="none"/>
        </w:rPr>
        <w:t>.</w:t>
      </w:r>
    </w:p>
    <w:p w14:paraId="4AF63B8E" w14:textId="77777777"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Dang, H. (2019). </w:t>
      </w:r>
      <w:r w:rsidRPr="000821F2">
        <w:rPr>
          <w:rFonts w:ascii="Times New Roman" w:eastAsia="Times New Roman" w:hAnsi="Times New Roman" w:cs="Times New Roman"/>
          <w:i/>
          <w:iCs/>
          <w:kern w:val="0"/>
          <w:sz w:val="28"/>
          <w:szCs w:val="28"/>
          <w:lang w:val="en-VN"/>
          <w14:ligatures w14:val="none"/>
        </w:rPr>
        <w:t>Nan đề chuyển giao thế hệ trong các doanh nghiệp gia đình [Challenges of generational transition in family businesses]</w:t>
      </w:r>
      <w:r w:rsidRPr="000821F2">
        <w:rPr>
          <w:rFonts w:ascii="Times New Roman" w:eastAsia="Times New Roman" w:hAnsi="Times New Roman" w:cs="Times New Roman"/>
          <w:kern w:val="0"/>
          <w:sz w:val="28"/>
          <w:szCs w:val="28"/>
          <w:lang w:val="en-VN"/>
          <w14:ligatures w14:val="none"/>
        </w:rPr>
        <w:t xml:space="preserve">. TheLeader. </w:t>
      </w:r>
      <w:hyperlink r:id="rId4" w:anchor="google_vignette" w:history="1">
        <w:r w:rsidRPr="000821F2">
          <w:rPr>
            <w:rFonts w:ascii="Times New Roman" w:eastAsia="Times New Roman" w:hAnsi="Times New Roman" w:cs="Times New Roman"/>
            <w:color w:val="0000FF"/>
            <w:kern w:val="0"/>
            <w:sz w:val="28"/>
            <w:szCs w:val="28"/>
            <w:u w:val="single"/>
            <w:lang w:val="en-VN"/>
            <w14:ligatures w14:val="none"/>
          </w:rPr>
          <w:t>https://theleader.vn/nan-de-chuyen-giao-the-he-trong-cac-doanh-nghiep-gia-dinh-d26765.html#google_vignette</w:t>
        </w:r>
      </w:hyperlink>
    </w:p>
    <w:p w14:paraId="635793B8" w14:textId="77777777"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Government News. (2026). </w:t>
      </w:r>
      <w:r w:rsidRPr="000821F2">
        <w:rPr>
          <w:rFonts w:ascii="Times New Roman" w:eastAsia="Times New Roman" w:hAnsi="Times New Roman" w:cs="Times New Roman"/>
          <w:i/>
          <w:iCs/>
          <w:kern w:val="0"/>
          <w:sz w:val="28"/>
          <w:szCs w:val="28"/>
          <w:lang w:val="en-VN"/>
          <w14:ligatures w14:val="none"/>
        </w:rPr>
        <w:t>Những nhiệm vụ, giải pháp cải thiện môi trường kinh doanh, nâng cao năng lực cạnh tranh quốc gia năm 2026</w:t>
      </w:r>
      <w:r w:rsidRPr="000821F2">
        <w:rPr>
          <w:rFonts w:ascii="Times New Roman" w:eastAsia="Times New Roman" w:hAnsi="Times New Roman" w:cs="Times New Roman"/>
          <w:kern w:val="0"/>
          <w:sz w:val="28"/>
          <w:szCs w:val="28"/>
          <w:lang w:val="en-VN"/>
          <w14:ligatures w14:val="none"/>
        </w:rPr>
        <w:t xml:space="preserve">. </w:t>
      </w:r>
      <w:hyperlink r:id="rId5" w:history="1">
        <w:r w:rsidRPr="000821F2">
          <w:rPr>
            <w:rFonts w:ascii="Times New Roman" w:eastAsia="Times New Roman" w:hAnsi="Times New Roman" w:cs="Times New Roman"/>
            <w:color w:val="0000FF"/>
            <w:kern w:val="0"/>
            <w:sz w:val="28"/>
            <w:szCs w:val="28"/>
            <w:u w:val="single"/>
            <w:lang w:val="en-VN"/>
            <w14:ligatures w14:val="none"/>
          </w:rPr>
          <w:t>https://baochinhphu.vn/giai-phap-cai-thien-moi-truong-kinh-doanh-nang-cao-nang-luc-canh-tranh-quoc-gia-nam-2026-102260116184117514.htm</w:t>
        </w:r>
      </w:hyperlink>
    </w:p>
    <w:p w14:paraId="31CAF195" w14:textId="77777777"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Hambrick, D. C., &amp; Mason, P. A. (1984). Upper echelons: The organization as a reflection of its top managers. </w:t>
      </w:r>
      <w:r w:rsidRPr="000821F2">
        <w:rPr>
          <w:rFonts w:ascii="Times New Roman" w:eastAsia="Times New Roman" w:hAnsi="Times New Roman" w:cs="Times New Roman"/>
          <w:i/>
          <w:iCs/>
          <w:kern w:val="0"/>
          <w:sz w:val="28"/>
          <w:szCs w:val="28"/>
          <w:lang w:val="en-VN"/>
          <w14:ligatures w14:val="none"/>
        </w:rPr>
        <w:t>The Academy of Management Review, 9</w:t>
      </w:r>
      <w:r w:rsidRPr="000821F2">
        <w:rPr>
          <w:rFonts w:ascii="Times New Roman" w:eastAsia="Times New Roman" w:hAnsi="Times New Roman" w:cs="Times New Roman"/>
          <w:kern w:val="0"/>
          <w:sz w:val="28"/>
          <w:szCs w:val="28"/>
          <w:lang w:val="en-VN"/>
          <w14:ligatures w14:val="none"/>
        </w:rPr>
        <w:t xml:space="preserve">(2), 193. </w:t>
      </w:r>
      <w:hyperlink r:id="rId6" w:history="1">
        <w:r w:rsidRPr="000821F2">
          <w:rPr>
            <w:rFonts w:ascii="Times New Roman" w:eastAsia="Times New Roman" w:hAnsi="Times New Roman" w:cs="Times New Roman"/>
            <w:color w:val="0000FF"/>
            <w:kern w:val="0"/>
            <w:sz w:val="28"/>
            <w:szCs w:val="28"/>
            <w:u w:val="single"/>
            <w:lang w:val="en-VN"/>
            <w14:ligatures w14:val="none"/>
          </w:rPr>
          <w:t>https://doi.org/10.2307/258434</w:t>
        </w:r>
      </w:hyperlink>
    </w:p>
    <w:p w14:paraId="51A29EA5" w14:textId="77777777"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Hanousek, J., Shamshur, A., &amp; Tresl, J. (2017). Firm efficiency, foreign ownership and CEO gender in corrupt environments. </w:t>
      </w:r>
      <w:r w:rsidRPr="000821F2">
        <w:rPr>
          <w:rFonts w:ascii="Times New Roman" w:eastAsia="Times New Roman" w:hAnsi="Times New Roman" w:cs="Times New Roman"/>
          <w:i/>
          <w:iCs/>
          <w:kern w:val="0"/>
          <w:sz w:val="28"/>
          <w:szCs w:val="28"/>
          <w:lang w:val="en-VN"/>
          <w14:ligatures w14:val="none"/>
        </w:rPr>
        <w:t>CERGE-EI Working Paper Series, 595</w:t>
      </w:r>
      <w:r w:rsidRPr="000821F2">
        <w:rPr>
          <w:rFonts w:ascii="Times New Roman" w:eastAsia="Times New Roman" w:hAnsi="Times New Roman" w:cs="Times New Roman"/>
          <w:kern w:val="0"/>
          <w:sz w:val="28"/>
          <w:szCs w:val="28"/>
          <w:lang w:val="en-VN"/>
          <w14:ligatures w14:val="none"/>
        </w:rPr>
        <w:t xml:space="preserve">. </w:t>
      </w:r>
      <w:hyperlink r:id="rId7" w:history="1">
        <w:r w:rsidRPr="000821F2">
          <w:rPr>
            <w:rFonts w:ascii="Times New Roman" w:eastAsia="Times New Roman" w:hAnsi="Times New Roman" w:cs="Times New Roman"/>
            <w:color w:val="0000FF"/>
            <w:kern w:val="0"/>
            <w:sz w:val="28"/>
            <w:szCs w:val="28"/>
            <w:u w:val="single"/>
            <w:lang w:val="en-VN"/>
            <w14:ligatures w14:val="none"/>
          </w:rPr>
          <w:t>https://papers.ssrn.com/sol3/papers.cfm?abstract_id=3014469</w:t>
        </w:r>
      </w:hyperlink>
    </w:p>
    <w:p w14:paraId="66ACFEA6" w14:textId="77777777"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lastRenderedPageBreak/>
        <w:t xml:space="preserve">Jensen, M. C., &amp; Meckling, W. H. (1979). Theory of the firm: Managerial behavior, agency costs, and ownership structure. In K. Brunner (Ed.), </w:t>
      </w:r>
      <w:r w:rsidRPr="000821F2">
        <w:rPr>
          <w:rFonts w:ascii="Times New Roman" w:eastAsia="Times New Roman" w:hAnsi="Times New Roman" w:cs="Times New Roman"/>
          <w:i/>
          <w:iCs/>
          <w:kern w:val="0"/>
          <w:sz w:val="28"/>
          <w:szCs w:val="28"/>
          <w:lang w:val="en-VN"/>
          <w14:ligatures w14:val="none"/>
        </w:rPr>
        <w:t>Economics social institutions</w:t>
      </w:r>
      <w:r w:rsidRPr="000821F2">
        <w:rPr>
          <w:rFonts w:ascii="Times New Roman" w:eastAsia="Times New Roman" w:hAnsi="Times New Roman" w:cs="Times New Roman"/>
          <w:kern w:val="0"/>
          <w:sz w:val="28"/>
          <w:szCs w:val="28"/>
          <w:lang w:val="en-VN"/>
          <w14:ligatures w14:val="none"/>
        </w:rPr>
        <w:t xml:space="preserve"> (Vol. 1, pp. 163–231). Springer Netherlands. </w:t>
      </w:r>
      <w:hyperlink r:id="rId8" w:history="1">
        <w:r w:rsidRPr="000821F2">
          <w:rPr>
            <w:rFonts w:ascii="Times New Roman" w:eastAsia="Times New Roman" w:hAnsi="Times New Roman" w:cs="Times New Roman"/>
            <w:color w:val="0000FF"/>
            <w:kern w:val="0"/>
            <w:sz w:val="28"/>
            <w:szCs w:val="28"/>
            <w:u w:val="single"/>
            <w:lang w:val="en-VN"/>
            <w14:ligatures w14:val="none"/>
          </w:rPr>
          <w:t>https://doi.org/10.1007/978-94-009-9257-3_8</w:t>
        </w:r>
      </w:hyperlink>
    </w:p>
    <w:p w14:paraId="15B216ED" w14:textId="02033D7C"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Kabir, R., &amp; Thai, H. M. (2021). Key factors determining corporate social responsibility practices of Vietnamese firms and the joint effects of foreign ownership. </w:t>
      </w:r>
      <w:r w:rsidRPr="000821F2">
        <w:rPr>
          <w:rFonts w:ascii="Times New Roman" w:eastAsia="Times New Roman" w:hAnsi="Times New Roman" w:cs="Times New Roman"/>
          <w:i/>
          <w:iCs/>
          <w:kern w:val="0"/>
          <w:sz w:val="28"/>
          <w:szCs w:val="28"/>
          <w:lang w:val="en-VN"/>
          <w14:ligatures w14:val="none"/>
        </w:rPr>
        <w:t>Journal of Multinational Financial Management, 59</w:t>
      </w:r>
      <w:r w:rsidRPr="000821F2">
        <w:rPr>
          <w:rFonts w:ascii="Times New Roman" w:eastAsia="Times New Roman" w:hAnsi="Times New Roman" w:cs="Times New Roman"/>
          <w:kern w:val="0"/>
          <w:sz w:val="28"/>
          <w:szCs w:val="28"/>
          <w:lang w:val="en-VN"/>
          <w14:ligatures w14:val="none"/>
        </w:rPr>
        <w:t>, Article 100676.</w:t>
      </w:r>
    </w:p>
    <w:p w14:paraId="6C2635CC" w14:textId="78102769"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Khidmat, W. B., Habib, M. D., Awan, S., &amp; Raza, K. (2022). Female directors on corporate boards and their impact on corporate social responsibility (CSR): Evidence from China. </w:t>
      </w:r>
      <w:r w:rsidRPr="000821F2">
        <w:rPr>
          <w:rFonts w:ascii="Times New Roman" w:eastAsia="Times New Roman" w:hAnsi="Times New Roman" w:cs="Times New Roman"/>
          <w:i/>
          <w:iCs/>
          <w:kern w:val="0"/>
          <w:sz w:val="28"/>
          <w:szCs w:val="28"/>
          <w:lang w:val="en-VN"/>
          <w14:ligatures w14:val="none"/>
        </w:rPr>
        <w:t>Management Research Review, 45</w:t>
      </w:r>
      <w:r w:rsidRPr="000821F2">
        <w:rPr>
          <w:rFonts w:ascii="Times New Roman" w:eastAsia="Times New Roman" w:hAnsi="Times New Roman" w:cs="Times New Roman"/>
          <w:kern w:val="0"/>
          <w:sz w:val="28"/>
          <w:szCs w:val="28"/>
          <w:lang w:val="en-VN"/>
          <w14:ligatures w14:val="none"/>
        </w:rPr>
        <w:t>(4), 563</w:t>
      </w:r>
      <w:r>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595.</w:t>
      </w:r>
    </w:p>
    <w:p w14:paraId="10EAB9B0" w14:textId="5D81EC0E"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Luan, C. J., Chen, Y. Y., Huang, H. Y., &amp; Wang, K. S. (2018). CEO succession decision in family businesses: A corporate governance perspective. </w:t>
      </w:r>
      <w:r w:rsidRPr="000821F2">
        <w:rPr>
          <w:rFonts w:ascii="Times New Roman" w:eastAsia="Times New Roman" w:hAnsi="Times New Roman" w:cs="Times New Roman"/>
          <w:i/>
          <w:iCs/>
          <w:kern w:val="0"/>
          <w:sz w:val="28"/>
          <w:szCs w:val="28"/>
          <w:lang w:val="en-VN"/>
          <w14:ligatures w14:val="none"/>
        </w:rPr>
        <w:t>Asia Pacific Management Review, 23</w:t>
      </w:r>
      <w:r w:rsidRPr="000821F2">
        <w:rPr>
          <w:rFonts w:ascii="Times New Roman" w:eastAsia="Times New Roman" w:hAnsi="Times New Roman" w:cs="Times New Roman"/>
          <w:kern w:val="0"/>
          <w:sz w:val="28"/>
          <w:szCs w:val="28"/>
          <w:lang w:val="en-VN"/>
          <w14:ligatures w14:val="none"/>
        </w:rPr>
        <w:t>(2), 130</w:t>
      </w:r>
      <w:r>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136.</w:t>
      </w:r>
    </w:p>
    <w:p w14:paraId="17E2620B" w14:textId="77777777"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Ministry of Industry and Trade. (2024). </w:t>
      </w:r>
      <w:r w:rsidRPr="000821F2">
        <w:rPr>
          <w:rFonts w:ascii="Times New Roman" w:eastAsia="Times New Roman" w:hAnsi="Times New Roman" w:cs="Times New Roman"/>
          <w:i/>
          <w:iCs/>
          <w:kern w:val="0"/>
          <w:sz w:val="28"/>
          <w:szCs w:val="28"/>
          <w:lang w:val="en-VN"/>
          <w14:ligatures w14:val="none"/>
        </w:rPr>
        <w:t>Giải pháp cải thiện môi trường kinh doanh, nâng cao năng lực cạnh tranh quốc gia năm 2024 [Solutions to improve the business environment and enhance national competitiveness in 2024]</w:t>
      </w:r>
      <w:r w:rsidRPr="000821F2">
        <w:rPr>
          <w:rFonts w:ascii="Times New Roman" w:eastAsia="Times New Roman" w:hAnsi="Times New Roman" w:cs="Times New Roman"/>
          <w:kern w:val="0"/>
          <w:sz w:val="28"/>
          <w:szCs w:val="28"/>
          <w:lang w:val="en-VN"/>
          <w14:ligatures w14:val="none"/>
        </w:rPr>
        <w:t xml:space="preserve">. </w:t>
      </w:r>
      <w:hyperlink r:id="rId9" w:history="1">
        <w:r w:rsidRPr="000821F2">
          <w:rPr>
            <w:rFonts w:ascii="Times New Roman" w:eastAsia="Times New Roman" w:hAnsi="Times New Roman" w:cs="Times New Roman"/>
            <w:color w:val="0000FF"/>
            <w:kern w:val="0"/>
            <w:sz w:val="28"/>
            <w:szCs w:val="28"/>
            <w:u w:val="single"/>
            <w:lang w:val="en-VN"/>
            <w14:ligatures w14:val="none"/>
          </w:rPr>
          <w:t>https://moit.gov.vn/tin-tuc/bao-chi-voi-nguoi-dan/giai-phap-cai-thien-moi-truong-kinh-doanh-nang-cao-nang-luc-canh-tranh-quoc-gia-nam-2024.html</w:t>
        </w:r>
      </w:hyperlink>
    </w:p>
    <w:p w14:paraId="62D7EFF3" w14:textId="1C618711"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Nguyen, T. T., &amp; Nguyen, H. T. (2020). State ownership and firm performance in Vietnam: Role of state-owned holding company. </w:t>
      </w:r>
      <w:r w:rsidRPr="000821F2">
        <w:rPr>
          <w:rFonts w:ascii="Times New Roman" w:eastAsia="Times New Roman" w:hAnsi="Times New Roman" w:cs="Times New Roman"/>
          <w:i/>
          <w:iCs/>
          <w:kern w:val="0"/>
          <w:sz w:val="28"/>
          <w:szCs w:val="28"/>
          <w:lang w:val="en-VN"/>
          <w14:ligatures w14:val="none"/>
        </w:rPr>
        <w:t>Asian Journal of Business and Accounting, 13</w:t>
      </w:r>
      <w:r w:rsidRPr="000821F2">
        <w:rPr>
          <w:rFonts w:ascii="Times New Roman" w:eastAsia="Times New Roman" w:hAnsi="Times New Roman" w:cs="Times New Roman"/>
          <w:kern w:val="0"/>
          <w:sz w:val="28"/>
          <w:szCs w:val="28"/>
          <w:lang w:val="en-VN"/>
          <w14:ligatures w14:val="none"/>
        </w:rPr>
        <w:t>(2), 181</w:t>
      </w:r>
      <w:r w:rsidR="00D103D8">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211.</w:t>
      </w:r>
    </w:p>
    <w:p w14:paraId="111D20B6" w14:textId="105667A0"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Tihanyi, L., Aguilera, R., Heugens, P., van Essen, M., Duran, P., Sauerwald, S., &amp; Turturea, R. (2019). State ownership and political connections. </w:t>
      </w:r>
      <w:r w:rsidRPr="000821F2">
        <w:rPr>
          <w:rFonts w:ascii="Times New Roman" w:eastAsia="Times New Roman" w:hAnsi="Times New Roman" w:cs="Times New Roman"/>
          <w:i/>
          <w:iCs/>
          <w:kern w:val="0"/>
          <w:sz w:val="28"/>
          <w:szCs w:val="28"/>
          <w:lang w:val="en-VN"/>
          <w14:ligatures w14:val="none"/>
        </w:rPr>
        <w:t>Journal of Management, 45</w:t>
      </w:r>
      <w:r w:rsidRPr="000821F2">
        <w:rPr>
          <w:rFonts w:ascii="Times New Roman" w:eastAsia="Times New Roman" w:hAnsi="Times New Roman" w:cs="Times New Roman"/>
          <w:kern w:val="0"/>
          <w:sz w:val="28"/>
          <w:szCs w:val="28"/>
          <w:lang w:val="en-VN"/>
          <w14:ligatures w14:val="none"/>
        </w:rPr>
        <w:t>(6), 2293</w:t>
      </w:r>
      <w:r w:rsidR="00FF25B6">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2321.</w:t>
      </w:r>
    </w:p>
    <w:p w14:paraId="257C9B05" w14:textId="3CE726F8" w:rsidR="000821F2" w:rsidRPr="000821F2" w:rsidRDefault="000821F2" w:rsidP="000821F2">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Zhang, X., Yu, M., &amp; Chen, G. (2020). Does mixed-ownership reform improve SOEs’ innovation? Evidence from state ownership. </w:t>
      </w:r>
      <w:r w:rsidRPr="000821F2">
        <w:rPr>
          <w:rFonts w:ascii="Times New Roman" w:eastAsia="Times New Roman" w:hAnsi="Times New Roman" w:cs="Times New Roman"/>
          <w:i/>
          <w:iCs/>
          <w:kern w:val="0"/>
          <w:sz w:val="28"/>
          <w:szCs w:val="28"/>
          <w:lang w:val="en-VN"/>
          <w14:ligatures w14:val="none"/>
        </w:rPr>
        <w:t>China Economic Review, 61</w:t>
      </w:r>
      <w:r w:rsidRPr="000821F2">
        <w:rPr>
          <w:rFonts w:ascii="Times New Roman" w:eastAsia="Times New Roman" w:hAnsi="Times New Roman" w:cs="Times New Roman"/>
          <w:kern w:val="0"/>
          <w:sz w:val="28"/>
          <w:szCs w:val="28"/>
          <w:lang w:val="en-VN"/>
          <w14:ligatures w14:val="none"/>
        </w:rPr>
        <w:t xml:space="preserve">, Article 101450. </w:t>
      </w:r>
    </w:p>
    <w:p w14:paraId="35460B83" w14:textId="13587036" w:rsidR="004E4EF6" w:rsidRPr="005F07EC" w:rsidRDefault="000821F2" w:rsidP="005F07EC">
      <w:pPr>
        <w:spacing w:before="100" w:beforeAutospacing="1" w:after="100" w:afterAutospacing="1" w:line="240" w:lineRule="auto"/>
        <w:jc w:val="both"/>
        <w:rPr>
          <w:rFonts w:ascii="Times New Roman" w:eastAsia="Times New Roman" w:hAnsi="Times New Roman" w:cs="Times New Roman"/>
          <w:kern w:val="0"/>
          <w:sz w:val="28"/>
          <w:szCs w:val="28"/>
          <w:lang w:val="en-VN"/>
          <w14:ligatures w14:val="none"/>
        </w:rPr>
      </w:pPr>
      <w:r w:rsidRPr="000821F2">
        <w:rPr>
          <w:rFonts w:ascii="Times New Roman" w:eastAsia="Times New Roman" w:hAnsi="Times New Roman" w:cs="Times New Roman"/>
          <w:kern w:val="0"/>
          <w:sz w:val="28"/>
          <w:szCs w:val="28"/>
          <w:lang w:val="en-VN"/>
          <w14:ligatures w14:val="none"/>
        </w:rPr>
        <w:t xml:space="preserve">Zhou, K. Z., Gao, G. Y., &amp; Zhao, H. (2017). State ownership and firm innovation in China: An integrated view of institutional and efficiency logics. </w:t>
      </w:r>
      <w:r w:rsidRPr="000821F2">
        <w:rPr>
          <w:rFonts w:ascii="Times New Roman" w:eastAsia="Times New Roman" w:hAnsi="Times New Roman" w:cs="Times New Roman"/>
          <w:i/>
          <w:iCs/>
          <w:kern w:val="0"/>
          <w:sz w:val="28"/>
          <w:szCs w:val="28"/>
          <w:lang w:val="en-VN"/>
          <w14:ligatures w14:val="none"/>
        </w:rPr>
        <w:t>Administrative Science Quarterly, 62</w:t>
      </w:r>
      <w:r w:rsidRPr="000821F2">
        <w:rPr>
          <w:rFonts w:ascii="Times New Roman" w:eastAsia="Times New Roman" w:hAnsi="Times New Roman" w:cs="Times New Roman"/>
          <w:kern w:val="0"/>
          <w:sz w:val="28"/>
          <w:szCs w:val="28"/>
          <w:lang w:val="en-VN"/>
          <w14:ligatures w14:val="none"/>
        </w:rPr>
        <w:t>(2), 375</w:t>
      </w:r>
      <w:r w:rsidR="005A7487">
        <w:rPr>
          <w:rFonts w:ascii="Times New Roman" w:eastAsia="Times New Roman" w:hAnsi="Times New Roman" w:cs="Times New Roman"/>
          <w:kern w:val="0"/>
          <w:sz w:val="28"/>
          <w:szCs w:val="28"/>
          <w:lang w:val="en-VN"/>
          <w14:ligatures w14:val="none"/>
        </w:rPr>
        <w:t xml:space="preserve"> - </w:t>
      </w:r>
      <w:r w:rsidRPr="000821F2">
        <w:rPr>
          <w:rFonts w:ascii="Times New Roman" w:eastAsia="Times New Roman" w:hAnsi="Times New Roman" w:cs="Times New Roman"/>
          <w:kern w:val="0"/>
          <w:sz w:val="28"/>
          <w:szCs w:val="28"/>
          <w:lang w:val="en-VN"/>
          <w14:ligatures w14:val="none"/>
        </w:rPr>
        <w:t xml:space="preserve">404. </w:t>
      </w:r>
    </w:p>
    <w:p w14:paraId="1D069878" w14:textId="0432FACB" w:rsidR="00E21B75" w:rsidRDefault="00E21B75" w:rsidP="00C51BAE">
      <w:pPr>
        <w:spacing w:after="60" w:line="276" w:lineRule="auto"/>
        <w:jc w:val="both"/>
        <w:rPr>
          <w:rFonts w:ascii="Times New Roman" w:hAnsi="Times New Roman" w:cs="Times New Roman"/>
          <w:b/>
          <w:bCs/>
          <w:sz w:val="28"/>
          <w:szCs w:val="28"/>
        </w:rPr>
      </w:pPr>
      <w:r>
        <w:rPr>
          <w:rFonts w:ascii="Times New Roman" w:hAnsi="Times New Roman" w:cs="Times New Roman"/>
          <w:b/>
          <w:bCs/>
          <w:sz w:val="28"/>
          <w:szCs w:val="28"/>
        </w:rPr>
        <w:t>Author’s biology:</w:t>
      </w:r>
    </w:p>
    <w:p w14:paraId="619908CC" w14:textId="77777777" w:rsidR="00E21B75" w:rsidRPr="00E21B75" w:rsidRDefault="00E21B75" w:rsidP="00E21B75">
      <w:pPr>
        <w:spacing w:after="60" w:line="276" w:lineRule="auto"/>
        <w:jc w:val="both"/>
        <w:rPr>
          <w:rFonts w:ascii="Times New Roman" w:hAnsi="Times New Roman" w:cs="Times New Roman"/>
          <w:sz w:val="28"/>
          <w:szCs w:val="28"/>
        </w:rPr>
      </w:pPr>
      <w:r w:rsidRPr="00E21B75">
        <w:rPr>
          <w:rFonts w:ascii="Times New Roman" w:hAnsi="Times New Roman" w:cs="Times New Roman"/>
          <w:sz w:val="28"/>
          <w:szCs w:val="28"/>
        </w:rPr>
        <w:t>Le Thi Minh Hong</w:t>
      </w:r>
    </w:p>
    <w:p w14:paraId="46F363D5" w14:textId="77777777" w:rsidR="00E21B75" w:rsidRPr="00C51BAE" w:rsidRDefault="00E21B75" w:rsidP="00E21B75">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Faculty of Economics and International Business,</w:t>
      </w:r>
    </w:p>
    <w:p w14:paraId="0249C789" w14:textId="77777777" w:rsidR="00E21B75" w:rsidRPr="00C51BAE" w:rsidRDefault="00E21B75" w:rsidP="00E21B75">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Phenikaa School of Economics and Business</w:t>
      </w:r>
      <w:r>
        <w:rPr>
          <w:rFonts w:ascii="Times New Roman" w:hAnsi="Times New Roman" w:cs="Times New Roman"/>
          <w:sz w:val="28"/>
          <w:szCs w:val="28"/>
        </w:rPr>
        <w:t xml:space="preserve">, </w:t>
      </w:r>
      <w:r w:rsidRPr="00E21B75">
        <w:rPr>
          <w:rFonts w:ascii="Times New Roman" w:hAnsi="Times New Roman" w:cs="Times New Roman"/>
          <w:sz w:val="28"/>
          <w:szCs w:val="28"/>
        </w:rPr>
        <w:t>Phenikaa University</w:t>
      </w:r>
    </w:p>
    <w:p w14:paraId="63788E7C" w14:textId="77777777" w:rsidR="00E21B75" w:rsidRPr="00C51BAE" w:rsidRDefault="00E21B75" w:rsidP="00E21B75">
      <w:pPr>
        <w:spacing w:after="60" w:line="276" w:lineRule="auto"/>
        <w:jc w:val="both"/>
        <w:rPr>
          <w:rFonts w:ascii="Times New Roman" w:hAnsi="Times New Roman" w:cs="Times New Roman"/>
          <w:sz w:val="28"/>
          <w:szCs w:val="28"/>
        </w:rPr>
      </w:pPr>
      <w:r w:rsidRPr="00C51BAE">
        <w:rPr>
          <w:rFonts w:ascii="Times New Roman" w:hAnsi="Times New Roman" w:cs="Times New Roman"/>
          <w:sz w:val="28"/>
          <w:szCs w:val="28"/>
        </w:rPr>
        <w:t>Email: hong.lethiminh@phenikaa-uni.edu.vn</w:t>
      </w:r>
    </w:p>
    <w:p w14:paraId="549E8D21" w14:textId="77777777" w:rsidR="00E21B75" w:rsidRDefault="00E21B75" w:rsidP="00C51BAE">
      <w:pPr>
        <w:spacing w:after="60" w:line="276" w:lineRule="auto"/>
        <w:jc w:val="both"/>
        <w:rPr>
          <w:rFonts w:ascii="Times New Roman" w:hAnsi="Times New Roman" w:cs="Times New Roman"/>
          <w:b/>
          <w:bCs/>
          <w:sz w:val="28"/>
          <w:szCs w:val="28"/>
        </w:rPr>
      </w:pPr>
    </w:p>
    <w:p w14:paraId="19D8EFA2" w14:textId="5DFAD1AB" w:rsidR="00E21B75" w:rsidRPr="00C318C6" w:rsidRDefault="00D036E0" w:rsidP="00C51BAE">
      <w:pPr>
        <w:spacing w:after="60" w:line="276" w:lineRule="auto"/>
        <w:jc w:val="both"/>
        <w:rPr>
          <w:rFonts w:ascii="Times New Roman" w:hAnsi="Times New Roman" w:cs="Times New Roman"/>
          <w:sz w:val="28"/>
          <w:szCs w:val="28"/>
        </w:rPr>
      </w:pPr>
      <w:r w:rsidRPr="00C318C6">
        <w:rPr>
          <w:rFonts w:ascii="Times New Roman" w:hAnsi="Times New Roman" w:cs="Times New Roman"/>
          <w:sz w:val="28"/>
          <w:szCs w:val="28"/>
        </w:rPr>
        <w:t>Received date: May 2, 2026</w:t>
      </w:r>
    </w:p>
    <w:p w14:paraId="70E2F8A8" w14:textId="682F3381" w:rsidR="00D036E0" w:rsidRPr="00C318C6" w:rsidRDefault="00D036E0" w:rsidP="00C51BAE">
      <w:pPr>
        <w:spacing w:after="60" w:line="276" w:lineRule="auto"/>
        <w:jc w:val="both"/>
        <w:rPr>
          <w:rFonts w:ascii="Times New Roman" w:hAnsi="Times New Roman" w:cs="Times New Roman"/>
          <w:sz w:val="28"/>
          <w:szCs w:val="28"/>
        </w:rPr>
      </w:pPr>
      <w:r w:rsidRPr="00C318C6">
        <w:rPr>
          <w:rFonts w:ascii="Times New Roman" w:hAnsi="Times New Roman" w:cs="Times New Roman"/>
          <w:sz w:val="28"/>
          <w:szCs w:val="28"/>
        </w:rPr>
        <w:t>Revised date: May 15, 2026</w:t>
      </w:r>
    </w:p>
    <w:p w14:paraId="2159D842" w14:textId="5CC2FB71" w:rsidR="00D036E0" w:rsidRPr="00C318C6" w:rsidRDefault="00D036E0" w:rsidP="00C51BAE">
      <w:pPr>
        <w:spacing w:after="60" w:line="276" w:lineRule="auto"/>
        <w:jc w:val="both"/>
        <w:rPr>
          <w:rFonts w:ascii="Times New Roman" w:hAnsi="Times New Roman" w:cs="Times New Roman"/>
          <w:sz w:val="28"/>
          <w:szCs w:val="28"/>
        </w:rPr>
      </w:pPr>
      <w:r w:rsidRPr="00C318C6">
        <w:rPr>
          <w:rFonts w:ascii="Times New Roman" w:hAnsi="Times New Roman" w:cs="Times New Roman"/>
          <w:sz w:val="28"/>
          <w:szCs w:val="28"/>
        </w:rPr>
        <w:t>Accepted for publication date: May 27, 2026</w:t>
      </w:r>
    </w:p>
    <w:p w14:paraId="391A64CF" w14:textId="77777777" w:rsidR="00E21B75" w:rsidRDefault="00E21B75" w:rsidP="00C51BAE">
      <w:pPr>
        <w:spacing w:after="60" w:line="276" w:lineRule="auto"/>
        <w:jc w:val="both"/>
        <w:rPr>
          <w:rFonts w:ascii="Times New Roman" w:hAnsi="Times New Roman" w:cs="Times New Roman"/>
          <w:b/>
          <w:bCs/>
          <w:sz w:val="28"/>
          <w:szCs w:val="28"/>
        </w:rPr>
      </w:pPr>
    </w:p>
    <w:p w14:paraId="6A9F1890" w14:textId="032E17A2" w:rsidR="00E21B75" w:rsidRDefault="00D27A46" w:rsidP="00D27A46">
      <w:pPr>
        <w:spacing w:after="60" w:line="276" w:lineRule="auto"/>
        <w:jc w:val="center"/>
        <w:rPr>
          <w:rFonts w:ascii="Times New Roman" w:hAnsi="Times New Roman" w:cs="Times New Roman"/>
          <w:b/>
          <w:bCs/>
          <w:sz w:val="28"/>
          <w:szCs w:val="28"/>
        </w:rPr>
      </w:pPr>
      <w:r>
        <w:rPr>
          <w:rFonts w:ascii="Times New Roman" w:hAnsi="Times New Roman" w:cs="Times New Roman"/>
          <w:b/>
          <w:bCs/>
          <w:sz w:val="28"/>
          <w:szCs w:val="28"/>
        </w:rPr>
        <w:t>Mối quan hệ giữa c</w:t>
      </w:r>
      <w:r w:rsidRPr="00D27A46">
        <w:rPr>
          <w:rFonts w:ascii="Times New Roman" w:hAnsi="Times New Roman" w:cs="Times New Roman"/>
          <w:b/>
          <w:bCs/>
          <w:sz w:val="28"/>
          <w:szCs w:val="28"/>
        </w:rPr>
        <w:t>ấu trúc sở hữu và đặc điểm của CEO</w:t>
      </w:r>
      <w:r w:rsidR="00171444">
        <w:rPr>
          <w:rFonts w:ascii="Times New Roman" w:hAnsi="Times New Roman" w:cs="Times New Roman"/>
          <w:b/>
          <w:bCs/>
          <w:sz w:val="28"/>
          <w:szCs w:val="28"/>
        </w:rPr>
        <w:t>:</w:t>
      </w:r>
      <w:r w:rsidRPr="00D27A46">
        <w:rPr>
          <w:rFonts w:ascii="Times New Roman" w:hAnsi="Times New Roman" w:cs="Times New Roman"/>
          <w:b/>
          <w:bCs/>
          <w:sz w:val="28"/>
          <w:szCs w:val="28"/>
        </w:rPr>
        <w:t xml:space="preserve"> </w:t>
      </w:r>
      <w:r w:rsidR="00171444">
        <w:rPr>
          <w:rFonts w:ascii="Times New Roman" w:hAnsi="Times New Roman" w:cs="Times New Roman"/>
          <w:b/>
          <w:bCs/>
          <w:sz w:val="28"/>
          <w:szCs w:val="28"/>
        </w:rPr>
        <w:t>H</w:t>
      </w:r>
      <w:r w:rsidRPr="00D27A46">
        <w:rPr>
          <w:rFonts w:ascii="Times New Roman" w:hAnsi="Times New Roman" w:cs="Times New Roman"/>
          <w:b/>
          <w:bCs/>
          <w:sz w:val="28"/>
          <w:szCs w:val="28"/>
        </w:rPr>
        <w:t>àm ý quản trị đối với Việt Nam</w:t>
      </w:r>
    </w:p>
    <w:p w14:paraId="6495D57C" w14:textId="77777777" w:rsidR="002751DB" w:rsidRPr="002751DB" w:rsidRDefault="002751DB" w:rsidP="002751DB">
      <w:pPr>
        <w:spacing w:after="60" w:line="276" w:lineRule="auto"/>
        <w:jc w:val="center"/>
        <w:rPr>
          <w:rFonts w:ascii="Times New Roman" w:hAnsi="Times New Roman" w:cs="Times New Roman"/>
          <w:sz w:val="28"/>
          <w:szCs w:val="28"/>
        </w:rPr>
      </w:pPr>
      <w:r w:rsidRPr="002751DB">
        <w:rPr>
          <w:rFonts w:ascii="Times New Roman" w:hAnsi="Times New Roman" w:cs="Times New Roman"/>
          <w:sz w:val="28"/>
          <w:szCs w:val="28"/>
        </w:rPr>
        <w:t>Lê Thị Minh Hồng</w:t>
      </w:r>
    </w:p>
    <w:p w14:paraId="632BF340" w14:textId="77777777" w:rsidR="002751DB" w:rsidRPr="002751DB" w:rsidRDefault="002751DB" w:rsidP="002751DB">
      <w:pPr>
        <w:spacing w:after="60" w:line="276" w:lineRule="auto"/>
        <w:jc w:val="center"/>
        <w:rPr>
          <w:rFonts w:ascii="Times New Roman" w:hAnsi="Times New Roman" w:cs="Times New Roman"/>
          <w:sz w:val="28"/>
          <w:szCs w:val="28"/>
        </w:rPr>
      </w:pPr>
      <w:r w:rsidRPr="002751DB">
        <w:rPr>
          <w:rFonts w:ascii="Times New Roman" w:hAnsi="Times New Roman" w:cs="Times New Roman"/>
          <w:sz w:val="28"/>
          <w:szCs w:val="28"/>
        </w:rPr>
        <w:t>Khoa Kinh tế và Quan hệ Quốc tế,</w:t>
      </w:r>
    </w:p>
    <w:p w14:paraId="27B56A64" w14:textId="281FCC19" w:rsidR="00E21B75" w:rsidRDefault="002751DB" w:rsidP="002751DB">
      <w:pPr>
        <w:spacing w:after="60" w:line="276" w:lineRule="auto"/>
        <w:jc w:val="center"/>
        <w:rPr>
          <w:rFonts w:ascii="Times New Roman" w:hAnsi="Times New Roman" w:cs="Times New Roman"/>
          <w:sz w:val="28"/>
          <w:szCs w:val="28"/>
        </w:rPr>
      </w:pPr>
      <w:r w:rsidRPr="002751DB">
        <w:rPr>
          <w:rFonts w:ascii="Times New Roman" w:hAnsi="Times New Roman" w:cs="Times New Roman"/>
          <w:sz w:val="28"/>
          <w:szCs w:val="28"/>
        </w:rPr>
        <w:t>Trường Kinh tế và Kinh doanh Phenikaa, Đại học Phenikaa</w:t>
      </w:r>
    </w:p>
    <w:p w14:paraId="33161BBC" w14:textId="77777777" w:rsidR="002751DB" w:rsidRPr="00C51BAE" w:rsidRDefault="002751DB" w:rsidP="002751DB">
      <w:pPr>
        <w:spacing w:after="60" w:line="276" w:lineRule="auto"/>
        <w:jc w:val="center"/>
        <w:rPr>
          <w:rFonts w:ascii="Times New Roman" w:hAnsi="Times New Roman" w:cs="Times New Roman"/>
          <w:sz w:val="28"/>
          <w:szCs w:val="28"/>
        </w:rPr>
      </w:pPr>
      <w:r w:rsidRPr="00C51BAE">
        <w:rPr>
          <w:rFonts w:ascii="Times New Roman" w:hAnsi="Times New Roman" w:cs="Times New Roman"/>
          <w:sz w:val="28"/>
          <w:szCs w:val="28"/>
        </w:rPr>
        <w:t>Email: hong.lethiminh@phenikaa-uni.edu.vn</w:t>
      </w:r>
    </w:p>
    <w:p w14:paraId="47340E51" w14:textId="77777777" w:rsidR="002751DB" w:rsidRPr="002751DB" w:rsidRDefault="002751DB" w:rsidP="002751DB">
      <w:pPr>
        <w:spacing w:after="60" w:line="276" w:lineRule="auto"/>
        <w:jc w:val="center"/>
        <w:rPr>
          <w:rFonts w:ascii="Times New Roman" w:hAnsi="Times New Roman" w:cs="Times New Roman"/>
          <w:sz w:val="28"/>
          <w:szCs w:val="28"/>
        </w:rPr>
      </w:pPr>
    </w:p>
    <w:p w14:paraId="3D518EB6" w14:textId="2E62A3EA" w:rsidR="00050F4C" w:rsidRPr="00C51BAE" w:rsidRDefault="00050F4C" w:rsidP="00C51BAE">
      <w:pPr>
        <w:spacing w:after="60" w:line="276" w:lineRule="auto"/>
        <w:jc w:val="both"/>
        <w:rPr>
          <w:rFonts w:ascii="Times New Roman" w:hAnsi="Times New Roman" w:cs="Times New Roman"/>
          <w:b/>
          <w:bCs/>
          <w:sz w:val="28"/>
          <w:szCs w:val="28"/>
        </w:rPr>
      </w:pPr>
      <w:r w:rsidRPr="00C51BAE">
        <w:rPr>
          <w:rFonts w:ascii="Times New Roman" w:hAnsi="Times New Roman" w:cs="Times New Roman"/>
          <w:b/>
          <w:bCs/>
          <w:sz w:val="28"/>
          <w:szCs w:val="28"/>
        </w:rPr>
        <w:t>Tóm tắt:</w:t>
      </w:r>
    </w:p>
    <w:p w14:paraId="201340DF" w14:textId="107F88EC" w:rsidR="00126B44" w:rsidRPr="00C51BAE" w:rsidRDefault="00126B44" w:rsidP="00C51BAE">
      <w:pPr>
        <w:spacing w:after="60" w:line="276" w:lineRule="auto"/>
        <w:jc w:val="both"/>
        <w:rPr>
          <w:rFonts w:ascii="Times New Roman" w:hAnsi="Times New Roman" w:cs="Times New Roman"/>
          <w:sz w:val="28"/>
          <w:szCs w:val="28"/>
        </w:rPr>
      </w:pPr>
      <w:r>
        <w:rPr>
          <w:rFonts w:ascii="Times New Roman" w:hAnsi="Times New Roman" w:cs="Times New Roman"/>
          <w:sz w:val="28"/>
          <w:szCs w:val="28"/>
        </w:rPr>
        <w:t>Nghiên cứu này nhằm</w:t>
      </w:r>
      <w:r w:rsidR="00050F4C" w:rsidRPr="00C51BAE">
        <w:rPr>
          <w:rFonts w:ascii="Times New Roman" w:hAnsi="Times New Roman" w:cs="Times New Roman"/>
          <w:sz w:val="28"/>
          <w:szCs w:val="28"/>
        </w:rPr>
        <w:t xml:space="preserve"> cung cấp khái niệm tổng quan về mối quan hệ giữa cơ cấu sở hữu (bao gồm sở hữu nhà nước, sở hữu nước ngoài và sở hữu hộ gia đình) với các đặc điểm của quản trị điều hành (CEO). Dựa trên nền tảng của Lý thuyết </w:t>
      </w:r>
      <w:r>
        <w:rPr>
          <w:rFonts w:ascii="Times New Roman" w:hAnsi="Times New Roman" w:cs="Times New Roman"/>
          <w:sz w:val="28"/>
          <w:szCs w:val="28"/>
        </w:rPr>
        <w:t>Đ</w:t>
      </w:r>
      <w:r w:rsidR="00050F4C" w:rsidRPr="00C51BAE">
        <w:rPr>
          <w:rFonts w:ascii="Times New Roman" w:hAnsi="Times New Roman" w:cs="Times New Roman"/>
          <w:sz w:val="28"/>
          <w:szCs w:val="28"/>
        </w:rPr>
        <w:t>ại diện</w:t>
      </w:r>
      <w:r>
        <w:rPr>
          <w:rFonts w:ascii="Times New Roman" w:hAnsi="Times New Roman" w:cs="Times New Roman"/>
          <w:sz w:val="28"/>
          <w:szCs w:val="28"/>
        </w:rPr>
        <w:t xml:space="preserve"> </w:t>
      </w:r>
      <w:r w:rsidR="00050F4C" w:rsidRPr="00C51BAE">
        <w:rPr>
          <w:rFonts w:ascii="Times New Roman" w:hAnsi="Times New Roman" w:cs="Times New Roman"/>
          <w:sz w:val="28"/>
          <w:szCs w:val="28"/>
        </w:rPr>
        <w:t xml:space="preserve">(Agency Theory) và Lý thuyết </w:t>
      </w:r>
      <w:r>
        <w:rPr>
          <w:rFonts w:ascii="Times New Roman" w:hAnsi="Times New Roman" w:cs="Times New Roman"/>
          <w:sz w:val="28"/>
          <w:szCs w:val="28"/>
        </w:rPr>
        <w:t>N</w:t>
      </w:r>
      <w:r w:rsidR="00050F4C" w:rsidRPr="00C51BAE">
        <w:rPr>
          <w:rFonts w:ascii="Times New Roman" w:hAnsi="Times New Roman" w:cs="Times New Roman"/>
          <w:sz w:val="28"/>
          <w:szCs w:val="28"/>
        </w:rPr>
        <w:t>hà quản trị cấp cao</w:t>
      </w:r>
      <w:r>
        <w:rPr>
          <w:rFonts w:ascii="Times New Roman" w:hAnsi="Times New Roman" w:cs="Times New Roman"/>
          <w:sz w:val="28"/>
          <w:szCs w:val="28"/>
        </w:rPr>
        <w:t xml:space="preserve"> (</w:t>
      </w:r>
      <w:r w:rsidR="00050F4C" w:rsidRPr="00C51BAE">
        <w:rPr>
          <w:rFonts w:ascii="Times New Roman" w:hAnsi="Times New Roman" w:cs="Times New Roman"/>
          <w:sz w:val="28"/>
          <w:szCs w:val="28"/>
        </w:rPr>
        <w:t>Upper Echelons Theory), nghiên cứu cho rằng cơ cấu sở hữu có ảnh hưởng đáng kể đến quá trình lựa chọn CEO cũng như quá trình ra quyết định quản trị. Bên cạnh đó, nghiên cứu cũng xem xét bối cảnh thực tiễn tại Việt Nam trong điều kiện xuất hiện những thay đổi chiến lược về chính sách trong thời gian gần đây đồng thời đề xuất một số hàm ý quản trị đối với các tổ chức</w:t>
      </w:r>
      <w:r>
        <w:rPr>
          <w:rFonts w:ascii="Times New Roman" w:hAnsi="Times New Roman" w:cs="Times New Roman"/>
          <w:sz w:val="28"/>
          <w:szCs w:val="28"/>
        </w:rPr>
        <w:t xml:space="preserve">, doanh nghiệp </w:t>
      </w:r>
      <w:r w:rsidR="00050F4C" w:rsidRPr="00C51BAE">
        <w:rPr>
          <w:rFonts w:ascii="Times New Roman" w:hAnsi="Times New Roman" w:cs="Times New Roman"/>
          <w:sz w:val="28"/>
          <w:szCs w:val="28"/>
        </w:rPr>
        <w:t>tại Việt Nam.</w:t>
      </w:r>
    </w:p>
    <w:p w14:paraId="3A9F0548" w14:textId="6EA51555" w:rsidR="00050F4C" w:rsidRDefault="00050F4C" w:rsidP="00C51BAE">
      <w:pPr>
        <w:spacing w:after="60" w:line="276" w:lineRule="auto"/>
        <w:jc w:val="both"/>
        <w:rPr>
          <w:rFonts w:ascii="Times New Roman" w:hAnsi="Times New Roman" w:cs="Times New Roman"/>
          <w:i/>
          <w:iCs/>
          <w:sz w:val="28"/>
          <w:szCs w:val="28"/>
        </w:rPr>
      </w:pPr>
      <w:r w:rsidRPr="00C51BAE">
        <w:rPr>
          <w:rFonts w:ascii="Times New Roman" w:hAnsi="Times New Roman" w:cs="Times New Roman"/>
          <w:b/>
          <w:bCs/>
          <w:sz w:val="28"/>
          <w:szCs w:val="28"/>
        </w:rPr>
        <w:t>Từ khóa:</w:t>
      </w:r>
      <w:r w:rsidRPr="00C51BAE">
        <w:rPr>
          <w:rFonts w:ascii="Times New Roman" w:hAnsi="Times New Roman" w:cs="Times New Roman"/>
          <w:sz w:val="28"/>
          <w:szCs w:val="28"/>
        </w:rPr>
        <w:t xml:space="preserve"> cơ cấu sở hữu, năng lực quản trị của lãnh đạo, quản trị doanh nghiệp</w:t>
      </w:r>
      <w:r w:rsidRPr="00C51BAE">
        <w:rPr>
          <w:rFonts w:ascii="Times New Roman" w:hAnsi="Times New Roman" w:cs="Times New Roman"/>
          <w:i/>
          <w:iCs/>
          <w:sz w:val="28"/>
          <w:szCs w:val="28"/>
        </w:rPr>
        <w:t>.</w:t>
      </w:r>
    </w:p>
    <w:p w14:paraId="2F3A4CF3" w14:textId="77777777" w:rsidR="00E21B75" w:rsidRDefault="00E21B75" w:rsidP="00C51BAE">
      <w:pPr>
        <w:spacing w:after="60" w:line="276" w:lineRule="auto"/>
        <w:jc w:val="both"/>
        <w:rPr>
          <w:rFonts w:ascii="Times New Roman" w:hAnsi="Times New Roman" w:cs="Times New Roman"/>
          <w:i/>
          <w:iCs/>
          <w:sz w:val="28"/>
          <w:szCs w:val="28"/>
        </w:rPr>
      </w:pPr>
    </w:p>
    <w:p w14:paraId="30022810" w14:textId="77777777" w:rsidR="006A573C" w:rsidRPr="00C51BAE" w:rsidRDefault="006A573C" w:rsidP="00C51BAE">
      <w:pPr>
        <w:spacing w:after="60" w:line="276" w:lineRule="auto"/>
        <w:jc w:val="both"/>
        <w:rPr>
          <w:rFonts w:ascii="Times New Roman" w:hAnsi="Times New Roman" w:cs="Times New Roman"/>
          <w:sz w:val="28"/>
          <w:szCs w:val="28"/>
        </w:rPr>
      </w:pPr>
    </w:p>
    <w:sectPr w:rsidR="006A573C" w:rsidRPr="00C51BAE" w:rsidSect="004E4EF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FF"/>
    <w:rsid w:val="00050F4C"/>
    <w:rsid w:val="000821F2"/>
    <w:rsid w:val="000B5E07"/>
    <w:rsid w:val="00126B44"/>
    <w:rsid w:val="00142947"/>
    <w:rsid w:val="00167183"/>
    <w:rsid w:val="00171444"/>
    <w:rsid w:val="001B30F5"/>
    <w:rsid w:val="001B6E2C"/>
    <w:rsid w:val="001C7C36"/>
    <w:rsid w:val="0024127C"/>
    <w:rsid w:val="0024668F"/>
    <w:rsid w:val="002726F0"/>
    <w:rsid w:val="002751DB"/>
    <w:rsid w:val="002B61C2"/>
    <w:rsid w:val="002C3181"/>
    <w:rsid w:val="00364306"/>
    <w:rsid w:val="00403118"/>
    <w:rsid w:val="00430588"/>
    <w:rsid w:val="004462FF"/>
    <w:rsid w:val="004909B8"/>
    <w:rsid w:val="004B12F7"/>
    <w:rsid w:val="004E4EF6"/>
    <w:rsid w:val="0056024A"/>
    <w:rsid w:val="00591D4A"/>
    <w:rsid w:val="005A7487"/>
    <w:rsid w:val="005F07EC"/>
    <w:rsid w:val="0067621A"/>
    <w:rsid w:val="006A573C"/>
    <w:rsid w:val="006D13A2"/>
    <w:rsid w:val="006F236B"/>
    <w:rsid w:val="00736D8C"/>
    <w:rsid w:val="007A6A80"/>
    <w:rsid w:val="007F3D27"/>
    <w:rsid w:val="00840193"/>
    <w:rsid w:val="0084063F"/>
    <w:rsid w:val="00946E5B"/>
    <w:rsid w:val="00992C88"/>
    <w:rsid w:val="009F7516"/>
    <w:rsid w:val="00A064F9"/>
    <w:rsid w:val="00A45A20"/>
    <w:rsid w:val="00A47FF5"/>
    <w:rsid w:val="00AC7D0C"/>
    <w:rsid w:val="00B21B4C"/>
    <w:rsid w:val="00BE14A0"/>
    <w:rsid w:val="00BF2546"/>
    <w:rsid w:val="00C318C6"/>
    <w:rsid w:val="00C51AFA"/>
    <w:rsid w:val="00C51BAE"/>
    <w:rsid w:val="00C67FFE"/>
    <w:rsid w:val="00CD2142"/>
    <w:rsid w:val="00D036E0"/>
    <w:rsid w:val="00D103D8"/>
    <w:rsid w:val="00D2313E"/>
    <w:rsid w:val="00D27A46"/>
    <w:rsid w:val="00D47302"/>
    <w:rsid w:val="00D83357"/>
    <w:rsid w:val="00DB1089"/>
    <w:rsid w:val="00E0754B"/>
    <w:rsid w:val="00E21B75"/>
    <w:rsid w:val="00E6567A"/>
    <w:rsid w:val="00F13857"/>
    <w:rsid w:val="00F31A6F"/>
    <w:rsid w:val="00F43508"/>
    <w:rsid w:val="00FF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4E9D"/>
  <w15:chartTrackingRefBased/>
  <w15:docId w15:val="{B1FD0ACA-0906-4D8F-AD62-93B76536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FF"/>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2FF"/>
    <w:rPr>
      <w:color w:val="0563C1" w:themeColor="hyperlink"/>
      <w:u w:val="single"/>
    </w:rPr>
  </w:style>
  <w:style w:type="paragraph" w:styleId="Caption">
    <w:name w:val="caption"/>
    <w:basedOn w:val="Normal"/>
    <w:next w:val="Normal"/>
    <w:uiPriority w:val="35"/>
    <w:unhideWhenUsed/>
    <w:qFormat/>
    <w:rsid w:val="004462FF"/>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4E4EF6"/>
    <w:rPr>
      <w:color w:val="605E5C"/>
      <w:shd w:val="clear" w:color="auto" w:fill="E1DFDD"/>
    </w:rPr>
  </w:style>
  <w:style w:type="paragraph" w:styleId="NormalWeb">
    <w:name w:val="Normal (Web)"/>
    <w:basedOn w:val="Normal"/>
    <w:uiPriority w:val="99"/>
    <w:semiHidden/>
    <w:unhideWhenUsed/>
    <w:rsid w:val="00D47302"/>
    <w:pPr>
      <w:spacing w:before="100" w:beforeAutospacing="1" w:after="100" w:afterAutospacing="1" w:line="240" w:lineRule="auto"/>
    </w:pPr>
    <w:rPr>
      <w:rFonts w:ascii="Times New Roman" w:eastAsia="Times New Roman" w:hAnsi="Times New Roman" w:cs="Times New Roman"/>
      <w:kern w:val="0"/>
      <w:lang w:val="en-VN"/>
      <w14:ligatures w14:val="none"/>
    </w:rPr>
  </w:style>
  <w:style w:type="character" w:styleId="Emphasis">
    <w:name w:val="Emphasis"/>
    <w:basedOn w:val="DefaultParagraphFont"/>
    <w:uiPriority w:val="20"/>
    <w:qFormat/>
    <w:rsid w:val="000821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94-009-9257-3_8" TargetMode="External"/><Relationship Id="rId3" Type="http://schemas.openxmlformats.org/officeDocument/2006/relationships/webSettings" Target="webSettings.xml"/><Relationship Id="rId7" Type="http://schemas.openxmlformats.org/officeDocument/2006/relationships/hyperlink" Target="https://papers.ssrn.com/sol3/papers.cfm?abstract_id=30144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307/258434" TargetMode="External"/><Relationship Id="rId11" Type="http://schemas.openxmlformats.org/officeDocument/2006/relationships/theme" Target="theme/theme1.xml"/><Relationship Id="rId5" Type="http://schemas.openxmlformats.org/officeDocument/2006/relationships/hyperlink" Target="https://baochinhphu.vn/giai-phap-cai-thien-moi-truong-kinh-doanh-nang-cao-nang-luc-canh-tranh-quoc-gia-nam-2026-102260116184117514.htm" TargetMode="External"/><Relationship Id="rId10" Type="http://schemas.openxmlformats.org/officeDocument/2006/relationships/fontTable" Target="fontTable.xml"/><Relationship Id="rId4" Type="http://schemas.openxmlformats.org/officeDocument/2006/relationships/hyperlink" Target="https://theleader.vn/nan-de-chuyen-giao-the-he-trong-cac-doanh-nghiep-gia-dinh-d26765.html" TargetMode="External"/><Relationship Id="rId9" Type="http://schemas.openxmlformats.org/officeDocument/2006/relationships/hyperlink" Target="https://moit.gov.vn/tin-tuc/bao-chi-voi-nguoi-dan/giai-phap-cai-thien-moi-truong-kinh-doanh-nang-cao-nang-luc-canh-tranh-quoc-gia-nam-20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Dang Duy Quang</cp:lastModifiedBy>
  <cp:revision>47</cp:revision>
  <dcterms:created xsi:type="dcterms:W3CDTF">2026-06-12T15:55:00Z</dcterms:created>
  <dcterms:modified xsi:type="dcterms:W3CDTF">2026-06-30T06:03:00Z</dcterms:modified>
</cp:coreProperties>
</file>