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6A1ED" w14:textId="05CF4E65" w:rsidR="00522929" w:rsidRPr="00BC5E10" w:rsidRDefault="00522929" w:rsidP="009E0880">
      <w:pPr>
        <w:spacing w:after="60" w:line="276" w:lineRule="auto"/>
        <w:jc w:val="center"/>
        <w:rPr>
          <w:rFonts w:cs="Times New Roman"/>
          <w:b/>
          <w:szCs w:val="28"/>
          <w:lang w:val="en-US"/>
        </w:rPr>
      </w:pPr>
      <w:r w:rsidRPr="00522929">
        <w:rPr>
          <w:rFonts w:cs="Times New Roman"/>
          <w:b/>
          <w:szCs w:val="28"/>
        </w:rPr>
        <w:t xml:space="preserve">Digital </w:t>
      </w:r>
      <w:r w:rsidR="00756A7B" w:rsidRPr="00522929">
        <w:rPr>
          <w:rFonts w:cs="Times New Roman"/>
          <w:b/>
          <w:szCs w:val="28"/>
        </w:rPr>
        <w:t>transformation and artificial intelligence in education</w:t>
      </w:r>
      <w:r w:rsidRPr="00522929">
        <w:rPr>
          <w:rFonts w:cs="Times New Roman"/>
          <w:b/>
          <w:szCs w:val="28"/>
        </w:rPr>
        <w:t xml:space="preserve">: Implications for </w:t>
      </w:r>
      <w:r w:rsidR="00273BCC" w:rsidRPr="00522929">
        <w:rPr>
          <w:rFonts w:cs="Times New Roman"/>
          <w:b/>
          <w:szCs w:val="28"/>
        </w:rPr>
        <w:t>modern governance</w:t>
      </w:r>
    </w:p>
    <w:p w14:paraId="37940802" w14:textId="587EDCD9" w:rsidR="00FD7899" w:rsidRPr="00BC5E10" w:rsidRDefault="00FD7899" w:rsidP="009E0880">
      <w:pPr>
        <w:spacing w:after="60" w:line="276" w:lineRule="auto"/>
        <w:jc w:val="center"/>
        <w:rPr>
          <w:rFonts w:cs="Times New Roman"/>
          <w:b/>
          <w:szCs w:val="28"/>
          <w:lang w:val="en-US"/>
        </w:rPr>
      </w:pPr>
      <w:r w:rsidRPr="00BC5E10">
        <w:rPr>
          <w:rFonts w:cs="Times New Roman"/>
          <w:b/>
          <w:szCs w:val="28"/>
          <w:lang w:val="en-US"/>
        </w:rPr>
        <w:t>Nguyen Huyen Quang</w:t>
      </w:r>
    </w:p>
    <w:p w14:paraId="60484CFA" w14:textId="7CFF3B39" w:rsidR="00C03508" w:rsidRPr="00BC5E10" w:rsidRDefault="00C03508" w:rsidP="009E0880">
      <w:pPr>
        <w:spacing w:after="60" w:line="276" w:lineRule="auto"/>
        <w:jc w:val="center"/>
        <w:rPr>
          <w:rFonts w:cs="Times New Roman"/>
          <w:b/>
          <w:szCs w:val="28"/>
          <w:lang w:val="en-US"/>
        </w:rPr>
      </w:pPr>
      <w:r w:rsidRPr="00BC5E10">
        <w:rPr>
          <w:rFonts w:cs="Times New Roman"/>
          <w:b/>
          <w:szCs w:val="28"/>
          <w:lang w:val="en-US"/>
        </w:rPr>
        <w:t xml:space="preserve">Ho Chi Minh City University of Technology </w:t>
      </w:r>
    </w:p>
    <w:p w14:paraId="4503FFBB" w14:textId="0223118D" w:rsidR="00FD7899" w:rsidRPr="00BC5E10" w:rsidRDefault="00FD7899" w:rsidP="001725C2">
      <w:pPr>
        <w:spacing w:after="60" w:line="276" w:lineRule="auto"/>
        <w:rPr>
          <w:rFonts w:cs="Times New Roman"/>
          <w:b/>
          <w:szCs w:val="28"/>
          <w:lang w:val="en-US"/>
        </w:rPr>
      </w:pPr>
      <w:r w:rsidRPr="00BC5E10">
        <w:rPr>
          <w:rFonts w:cs="Times New Roman"/>
          <w:b/>
          <w:szCs w:val="28"/>
          <w:lang w:val="en-US"/>
        </w:rPr>
        <w:t>Abstract</w:t>
      </w:r>
      <w:r w:rsidR="007A4E3E" w:rsidRPr="00BC5E10">
        <w:rPr>
          <w:rFonts w:cs="Times New Roman"/>
          <w:b/>
          <w:szCs w:val="28"/>
          <w:lang w:val="en-US"/>
        </w:rPr>
        <w:t>:</w:t>
      </w:r>
    </w:p>
    <w:p w14:paraId="47AD0A34" w14:textId="24098912" w:rsidR="0024658D" w:rsidRPr="00CD3507" w:rsidRDefault="0024658D" w:rsidP="001725C2">
      <w:pPr>
        <w:pStyle w:val="NormalWeb"/>
        <w:spacing w:before="0" w:beforeAutospacing="0" w:after="60" w:afterAutospacing="0" w:line="276" w:lineRule="auto"/>
        <w:jc w:val="both"/>
        <w:rPr>
          <w:sz w:val="28"/>
          <w:szCs w:val="28"/>
        </w:rPr>
      </w:pPr>
      <w:r w:rsidRPr="00CD3507">
        <w:rPr>
          <w:szCs w:val="28"/>
        </w:rPr>
        <w:t>Digital technology is rapidly transforming higher education, reshaping how universities deliver teaching, conduct research, and manage institutional operations. Artificial intelligence (AI) and smart technologies play a central role in this transformation by improving efficiency, supporting data-driven decision-making, and strengthening accountability. This study examines the opportunities and challenges associated with the adoption of AI and smart technologies in higher education governance. The findings indicate that these technologies offer significant benefits, including more effective strategic planning, better resource allocation, and greater transparency in institutional management. However, their implementation also presents several risks, such as digital inequality, ethical concerns, privacy issues, and algorithmic bias. To address these challenges, the study emphasizes the need for clear governance frameworks, improved digital infrastructure, and continuous evaluation to ensure the responsible and effective use of AI and smart technologies in higher education.</w:t>
      </w:r>
    </w:p>
    <w:p w14:paraId="6D7E235E" w14:textId="25731371" w:rsidR="00FD7899" w:rsidRPr="00CD3507" w:rsidRDefault="00FD7899" w:rsidP="001725C2">
      <w:pPr>
        <w:spacing w:after="60" w:line="276" w:lineRule="auto"/>
        <w:rPr>
          <w:rFonts w:eastAsia="Times New Roman" w:cs="Times New Roman"/>
          <w:iCs/>
          <w:szCs w:val="28"/>
          <w:lang w:val="en-US"/>
        </w:rPr>
      </w:pPr>
      <w:r w:rsidRPr="00CD3507">
        <w:rPr>
          <w:rFonts w:eastAsia="Times New Roman" w:cs="Times New Roman"/>
          <w:b/>
          <w:bCs/>
          <w:szCs w:val="28"/>
          <w:lang w:val="en-US"/>
        </w:rPr>
        <w:t>Keywords</w:t>
      </w:r>
      <w:r w:rsidRPr="00CD3507">
        <w:rPr>
          <w:rFonts w:eastAsia="Times New Roman" w:cs="Times New Roman"/>
          <w:szCs w:val="28"/>
          <w:lang w:val="en-US"/>
        </w:rPr>
        <w:t xml:space="preserve">: </w:t>
      </w:r>
      <w:r w:rsidR="007A4E3E" w:rsidRPr="00CD3507">
        <w:rPr>
          <w:rFonts w:eastAsia="Times New Roman" w:cs="Times New Roman"/>
          <w:iCs/>
          <w:szCs w:val="28"/>
          <w:lang w:val="en-US"/>
        </w:rPr>
        <w:t>a</w:t>
      </w:r>
      <w:r w:rsidRPr="00CD3507">
        <w:rPr>
          <w:rFonts w:eastAsia="Times New Roman" w:cs="Times New Roman"/>
          <w:iCs/>
          <w:szCs w:val="28"/>
          <w:lang w:val="en-US"/>
        </w:rPr>
        <w:t>rtificial intelligence, digital transformation, higher education governance, smart technology</w:t>
      </w:r>
      <w:r w:rsidR="001725C2" w:rsidRPr="00CD3507">
        <w:rPr>
          <w:rFonts w:eastAsia="Times New Roman" w:cs="Times New Roman"/>
          <w:iCs/>
          <w:szCs w:val="28"/>
          <w:lang w:val="en-US"/>
        </w:rPr>
        <w:t>.</w:t>
      </w:r>
      <w:r w:rsidR="00D67202" w:rsidRPr="00CD3507">
        <w:rPr>
          <w:rFonts w:eastAsia="Times New Roman" w:cs="Times New Roman"/>
          <w:iCs/>
          <w:szCs w:val="28"/>
          <w:lang w:val="en-US"/>
        </w:rPr>
        <w:t xml:space="preserve"> </w:t>
      </w:r>
    </w:p>
    <w:p w14:paraId="2CAB5449" w14:textId="77777777" w:rsidR="0098504A" w:rsidRPr="00BC5E10" w:rsidRDefault="0098504A" w:rsidP="001725C2">
      <w:pPr>
        <w:spacing w:after="60" w:line="276" w:lineRule="auto"/>
        <w:rPr>
          <w:rFonts w:eastAsia="Times New Roman" w:cs="Times New Roman"/>
          <w:szCs w:val="28"/>
          <w:lang w:val="en-US"/>
        </w:rPr>
      </w:pPr>
    </w:p>
    <w:p w14:paraId="1B1FC449" w14:textId="77777777" w:rsidR="00FD7899" w:rsidRPr="00BC5E10" w:rsidRDefault="00FD7899" w:rsidP="001725C2">
      <w:pPr>
        <w:spacing w:after="60" w:line="276" w:lineRule="auto"/>
        <w:rPr>
          <w:rFonts w:eastAsia="Times New Roman" w:cs="Times New Roman"/>
          <w:szCs w:val="28"/>
          <w:lang w:val="en-US"/>
        </w:rPr>
      </w:pPr>
      <w:r w:rsidRPr="00BC5E10">
        <w:rPr>
          <w:rFonts w:eastAsia="Times New Roman" w:cs="Times New Roman"/>
          <w:b/>
          <w:bCs/>
          <w:szCs w:val="28"/>
          <w:lang w:val="en-US"/>
        </w:rPr>
        <w:t>1. Introduction</w:t>
      </w:r>
    </w:p>
    <w:p w14:paraId="2CB9F72B" w14:textId="77777777" w:rsidR="00FD7899" w:rsidRPr="00BC5E10" w:rsidRDefault="00FD7899" w:rsidP="001725C2">
      <w:pPr>
        <w:spacing w:after="60" w:line="276" w:lineRule="auto"/>
        <w:rPr>
          <w:rStyle w:val="Strong"/>
          <w:rFonts w:eastAsia="Times New Roman" w:cs="Times New Roman"/>
          <w:b w:val="0"/>
          <w:bCs w:val="0"/>
          <w:szCs w:val="28"/>
          <w:lang w:val="en-US"/>
        </w:rPr>
      </w:pPr>
      <w:r w:rsidRPr="00BC5E10">
        <w:rPr>
          <w:rFonts w:eastAsia="Times New Roman" w:cs="Times New Roman"/>
          <w:szCs w:val="28"/>
          <w:lang w:val="en-US"/>
        </w:rPr>
        <w:t>The rapid advancement of digital technologies is driving higher education toward comprehensive digital transformation, reshaping teaching, research, and governance (Diaz-Garcia et al., 2022). Universities must now adapt their management and decision-making through data-driven approaches (Komljenovic et al., 2025). Digital transformation involves integrating technology to enhance efficiency, transparency, and innovation (Fernández et al., 2023). AI plays a crucial role in supporting reasoning and decision-making (Crompton et al., 2023), while smart technologies improve administrative processes (Dudycz et al., 2021). However, this shift also raises ethical, privacy, and legal concerns (Oncioiu et al., 2025). This paper analyzes related opportunities and challenges and proposes solutions for effective higher education governance.</w:t>
      </w:r>
    </w:p>
    <w:p w14:paraId="754BED82" w14:textId="77777777" w:rsidR="00FD7899" w:rsidRPr="00BC5E10" w:rsidRDefault="00910724" w:rsidP="001725C2">
      <w:pPr>
        <w:pStyle w:val="NormalWeb"/>
        <w:spacing w:before="0" w:beforeAutospacing="0" w:after="60" w:afterAutospacing="0" w:line="276" w:lineRule="auto"/>
        <w:jc w:val="both"/>
        <w:rPr>
          <w:sz w:val="28"/>
          <w:szCs w:val="28"/>
        </w:rPr>
      </w:pPr>
      <w:r w:rsidRPr="00BC5E10">
        <w:rPr>
          <w:rStyle w:val="Strong"/>
          <w:sz w:val="28"/>
          <w:szCs w:val="28"/>
        </w:rPr>
        <w:t>2. Theoretical and regulatory f</w:t>
      </w:r>
      <w:r w:rsidR="00FD7899" w:rsidRPr="00BC5E10">
        <w:rPr>
          <w:rStyle w:val="Strong"/>
          <w:sz w:val="28"/>
          <w:szCs w:val="28"/>
        </w:rPr>
        <w:t>rameworks</w:t>
      </w:r>
    </w:p>
    <w:p w14:paraId="7CE3799A" w14:textId="77777777" w:rsidR="00FD7899" w:rsidRPr="00BC5E10" w:rsidRDefault="00FD7899" w:rsidP="001725C2">
      <w:pPr>
        <w:pStyle w:val="NormalWeb"/>
        <w:spacing w:before="0" w:beforeAutospacing="0" w:after="60" w:afterAutospacing="0" w:line="276" w:lineRule="auto"/>
        <w:jc w:val="both"/>
        <w:rPr>
          <w:sz w:val="28"/>
          <w:szCs w:val="28"/>
        </w:rPr>
      </w:pPr>
      <w:r w:rsidRPr="00BC5E10">
        <w:rPr>
          <w:sz w:val="28"/>
          <w:szCs w:val="28"/>
        </w:rPr>
        <w:t xml:space="preserve">UNESCO’s recommendations, as discussed by Chan (2023), establish a foundational framework for integrating AI and smart technologies into national education systems through clear strategies, ethical guidelines, and evidence-based policymaking. These principles link AI governance with the Sustainable </w:t>
      </w:r>
      <w:r w:rsidRPr="00BC5E10">
        <w:rPr>
          <w:sz w:val="28"/>
          <w:szCs w:val="28"/>
        </w:rPr>
        <w:lastRenderedPageBreak/>
        <w:t>Development Goals and lifelong learning, guiding higher education institutions in managing both the opportunities and risks of digital transformation.</w:t>
      </w:r>
    </w:p>
    <w:p w14:paraId="3DBD0002" w14:textId="45D84536" w:rsidR="00FD7899" w:rsidRPr="00BC5E10" w:rsidRDefault="00FD7899" w:rsidP="001725C2">
      <w:pPr>
        <w:pStyle w:val="NormalWeb"/>
        <w:spacing w:before="0" w:beforeAutospacing="0" w:after="60" w:afterAutospacing="0" w:line="276" w:lineRule="auto"/>
        <w:jc w:val="both"/>
        <w:rPr>
          <w:sz w:val="28"/>
          <w:szCs w:val="28"/>
        </w:rPr>
      </w:pPr>
      <w:r w:rsidRPr="00BC5E10">
        <w:rPr>
          <w:sz w:val="28"/>
          <w:szCs w:val="28"/>
        </w:rPr>
        <w:t>In Viet</w:t>
      </w:r>
      <w:r w:rsidR="001408A0">
        <w:rPr>
          <w:sz w:val="28"/>
          <w:szCs w:val="28"/>
        </w:rPr>
        <w:t>n</w:t>
      </w:r>
      <w:r w:rsidRPr="00BC5E10">
        <w:rPr>
          <w:sz w:val="28"/>
          <w:szCs w:val="28"/>
        </w:rPr>
        <w:t>am, Decision 749/QĐ-TTg (2020) on the National Digital Transformation Program and Decision 131/QĐ-TTg (2022) on promoting digital transformation in education connect theory with practical implementation. These policies position AI and smart technologies as vital instruments for enhancing educational quality, accessibility, and efficiency, while aligning domestic reforms with global digital trends.</w:t>
      </w:r>
    </w:p>
    <w:p w14:paraId="16B61855" w14:textId="77777777" w:rsidR="00FD7899" w:rsidRPr="00BC5E10" w:rsidRDefault="00FD7899" w:rsidP="001725C2">
      <w:pPr>
        <w:pStyle w:val="NormalWeb"/>
        <w:spacing w:before="0" w:beforeAutospacing="0" w:after="60" w:afterAutospacing="0" w:line="276" w:lineRule="auto"/>
        <w:jc w:val="both"/>
        <w:rPr>
          <w:rStyle w:val="Strong"/>
          <w:b w:val="0"/>
          <w:bCs w:val="0"/>
          <w:sz w:val="28"/>
          <w:szCs w:val="28"/>
        </w:rPr>
      </w:pPr>
      <w:r w:rsidRPr="00BC5E10">
        <w:rPr>
          <w:sz w:val="28"/>
          <w:szCs w:val="28"/>
        </w:rPr>
        <w:t>Overall, this framework underscores AI as a transformative governance tool, requiring a balance between innovation, ethical responsibility, and equity in higher education management during the digital era.</w:t>
      </w:r>
    </w:p>
    <w:p w14:paraId="62D032EB" w14:textId="77777777" w:rsidR="00FD7899" w:rsidRPr="00BC5E10" w:rsidRDefault="00F5448A" w:rsidP="001725C2">
      <w:pPr>
        <w:pStyle w:val="NormalWeb"/>
        <w:spacing w:before="0" w:beforeAutospacing="0" w:after="60" w:afterAutospacing="0" w:line="276" w:lineRule="auto"/>
        <w:jc w:val="both"/>
        <w:rPr>
          <w:sz w:val="28"/>
          <w:szCs w:val="28"/>
        </w:rPr>
      </w:pPr>
      <w:r w:rsidRPr="00BC5E10">
        <w:rPr>
          <w:rStyle w:val="Strong"/>
          <w:sz w:val="28"/>
          <w:szCs w:val="28"/>
        </w:rPr>
        <w:t>3. Current situation of AI and smart technology adoption in higher e</w:t>
      </w:r>
      <w:r w:rsidR="00FD7899" w:rsidRPr="00BC5E10">
        <w:rPr>
          <w:rStyle w:val="Strong"/>
          <w:sz w:val="28"/>
          <w:szCs w:val="28"/>
        </w:rPr>
        <w:t>du</w:t>
      </w:r>
      <w:r w:rsidRPr="00BC5E10">
        <w:rPr>
          <w:rStyle w:val="Strong"/>
          <w:sz w:val="28"/>
          <w:szCs w:val="28"/>
        </w:rPr>
        <w:t>cation g</w:t>
      </w:r>
      <w:r w:rsidR="00FD7899" w:rsidRPr="00BC5E10">
        <w:rPr>
          <w:rStyle w:val="Strong"/>
          <w:sz w:val="28"/>
          <w:szCs w:val="28"/>
        </w:rPr>
        <w:t>overnance</w:t>
      </w:r>
    </w:p>
    <w:p w14:paraId="683E4A7E" w14:textId="14E3FEDD" w:rsidR="00FD7899" w:rsidRPr="00BC5E10" w:rsidRDefault="00FD7899" w:rsidP="001725C2">
      <w:pPr>
        <w:pStyle w:val="NormalWeb"/>
        <w:spacing w:before="0" w:beforeAutospacing="0" w:after="60" w:afterAutospacing="0" w:line="276" w:lineRule="auto"/>
        <w:jc w:val="both"/>
        <w:rPr>
          <w:sz w:val="28"/>
          <w:szCs w:val="28"/>
        </w:rPr>
      </w:pPr>
      <w:r w:rsidRPr="00BC5E10">
        <w:rPr>
          <w:sz w:val="28"/>
          <w:szCs w:val="28"/>
        </w:rPr>
        <w:t xml:space="preserve">Globally, the integration of </w:t>
      </w:r>
      <w:r w:rsidR="008B3F2A" w:rsidRPr="00BC5E10">
        <w:rPr>
          <w:sz w:val="28"/>
          <w:szCs w:val="28"/>
        </w:rPr>
        <w:t xml:space="preserve">AI </w:t>
      </w:r>
      <w:r w:rsidRPr="00BC5E10">
        <w:rPr>
          <w:sz w:val="28"/>
          <w:szCs w:val="28"/>
        </w:rPr>
        <w:t xml:space="preserve">and smart technologies into higher education governance has become a defining feature of institutional modernization. This transformation reflects varying socio-economic conditions and development priorities across </w:t>
      </w:r>
      <w:r w:rsidR="000E09E7" w:rsidRPr="00BC5E10">
        <w:rPr>
          <w:sz w:val="28"/>
          <w:szCs w:val="28"/>
        </w:rPr>
        <w:t>nations;</w:t>
      </w:r>
      <w:r w:rsidRPr="00BC5E10">
        <w:rPr>
          <w:sz w:val="28"/>
          <w:szCs w:val="28"/>
        </w:rPr>
        <w:t xml:space="preserve"> all aimed at enhancing decision-making and operational efficiency. Universities increasingly apply AI-driven tools to automate administrative processes, strengthen transparency, and support accountability mechanisms. Ocen et al. (2025) identify three primary opportunities emerging from this trend: improved strategic planning, optimized resource allocation, and increased openness in institutional management. For example, Qatar’s collaboration between Binary Logic and the Ministry of Education links AI initiatives to national educational and economic strategies (Le et al., 2024). Similarly, Portugal’s ICT integration has advanced digital infrastructure, student competencies, and institutional adaptability (Pombo et al., 2016). In the UAE, AI adoption aligns with efforts to promote transparency, ethical governance, and data-driven management (Shwedeh et al., 2024).</w:t>
      </w:r>
    </w:p>
    <w:p w14:paraId="38BCBDE8" w14:textId="09B51A63" w:rsidR="00FD7899" w:rsidRPr="00BC5E10" w:rsidRDefault="00FD7899" w:rsidP="001725C2">
      <w:pPr>
        <w:pStyle w:val="NormalWeb"/>
        <w:spacing w:before="0" w:beforeAutospacing="0" w:after="60" w:afterAutospacing="0" w:line="276" w:lineRule="auto"/>
        <w:jc w:val="both"/>
        <w:rPr>
          <w:sz w:val="28"/>
          <w:szCs w:val="28"/>
        </w:rPr>
      </w:pPr>
      <w:r w:rsidRPr="00BC5E10">
        <w:rPr>
          <w:sz w:val="28"/>
          <w:szCs w:val="28"/>
        </w:rPr>
        <w:t xml:space="preserve">In </w:t>
      </w:r>
      <w:r w:rsidR="00077A80">
        <w:rPr>
          <w:sz w:val="28"/>
          <w:szCs w:val="28"/>
        </w:rPr>
        <w:t>Vietnam</w:t>
      </w:r>
      <w:r w:rsidRPr="00BC5E10">
        <w:rPr>
          <w:sz w:val="28"/>
          <w:szCs w:val="28"/>
        </w:rPr>
        <w:t>, the application of AI and smart technologies in higher education governance remains in its early stages. Several institutions have introduced digital systems for academic management, including online admissions, learning management systems, and smart campus models that employ analytics for institutional decision-making. Vietnam National University, for instance, has piloted online admission and e-learning platforms to streamline enrollment and teaching, while HUTECH University’s LMS supports digitalized student records and data-informed administrative processes.</w:t>
      </w:r>
    </w:p>
    <w:p w14:paraId="3BCE49F8" w14:textId="77777777" w:rsidR="00FD7899" w:rsidRPr="00BC5E10" w:rsidRDefault="00FD7899" w:rsidP="001725C2">
      <w:pPr>
        <w:pStyle w:val="NormalWeb"/>
        <w:spacing w:before="0" w:beforeAutospacing="0" w:after="60" w:afterAutospacing="0" w:line="276" w:lineRule="auto"/>
        <w:jc w:val="both"/>
        <w:rPr>
          <w:sz w:val="28"/>
          <w:szCs w:val="28"/>
        </w:rPr>
      </w:pPr>
      <w:r w:rsidRPr="00BC5E10">
        <w:rPr>
          <w:sz w:val="28"/>
          <w:szCs w:val="28"/>
        </w:rPr>
        <w:lastRenderedPageBreak/>
        <w:t>Nevertheless, significant challenges persist. The digital divide limits equitable access to technology and infrastructure, especially between urban and rural universities. Zhang (2018) notes that disparities in resources exacerbate inequalities in digital readiness and governance capacity. Ethical and legal concerns also arise, particularly regarding data privacy, copyright, and AI-generated content lacking attribution (Saúde et al., 2024). Furthermore, heavy reliance on big data introduces risks of cyberattacks and data breaches (Florea et al., 2020). Thus, while AI and smart technologies offer transformative potential for innovation, their implementation exposes complex structural, ethical, and security challenges in higher education governance worldwide.</w:t>
      </w:r>
    </w:p>
    <w:p w14:paraId="73F87D04" w14:textId="77777777" w:rsidR="006D001A" w:rsidRPr="00BC5E10" w:rsidRDefault="00FD7899" w:rsidP="001725C2">
      <w:pPr>
        <w:pStyle w:val="ListParagraph"/>
        <w:numPr>
          <w:ilvl w:val="0"/>
          <w:numId w:val="4"/>
        </w:numPr>
        <w:spacing w:after="60" w:line="276" w:lineRule="auto"/>
        <w:ind w:left="0" w:firstLine="0"/>
        <w:rPr>
          <w:rFonts w:cs="Times New Roman"/>
          <w:b/>
          <w:szCs w:val="28"/>
          <w:lang w:val="en-US"/>
        </w:rPr>
      </w:pPr>
      <w:r w:rsidRPr="00BC5E10">
        <w:rPr>
          <w:rFonts w:cs="Times New Roman"/>
          <w:b/>
          <w:szCs w:val="28"/>
          <w:lang w:val="en-US"/>
        </w:rPr>
        <w:t xml:space="preserve">Solutions and </w:t>
      </w:r>
      <w:r w:rsidR="006D001A" w:rsidRPr="00BC5E10">
        <w:rPr>
          <w:rFonts w:cs="Times New Roman"/>
          <w:b/>
          <w:szCs w:val="28"/>
          <w:lang w:val="en-US"/>
        </w:rPr>
        <w:t>recommendations</w:t>
      </w:r>
    </w:p>
    <w:p w14:paraId="1EE0FF10" w14:textId="77777777" w:rsidR="00FD7899" w:rsidRPr="009E0880" w:rsidRDefault="006D001A" w:rsidP="001725C2">
      <w:pPr>
        <w:pStyle w:val="ListParagraph"/>
        <w:numPr>
          <w:ilvl w:val="1"/>
          <w:numId w:val="4"/>
        </w:numPr>
        <w:spacing w:after="60" w:line="276" w:lineRule="auto"/>
        <w:ind w:left="0" w:firstLine="0"/>
        <w:rPr>
          <w:rFonts w:cs="Times New Roman"/>
          <w:b/>
          <w:i/>
          <w:iCs/>
          <w:szCs w:val="28"/>
          <w:lang w:val="en-US"/>
        </w:rPr>
      </w:pPr>
      <w:r w:rsidRPr="009E0880">
        <w:rPr>
          <w:rFonts w:cs="Times New Roman"/>
          <w:b/>
          <w:i/>
          <w:iCs/>
          <w:szCs w:val="28"/>
          <w:lang w:val="en-US"/>
        </w:rPr>
        <w:t xml:space="preserve"> </w:t>
      </w:r>
      <w:r w:rsidR="00FD7899" w:rsidRPr="009E0880">
        <w:rPr>
          <w:rFonts w:cs="Times New Roman"/>
          <w:b/>
          <w:i/>
          <w:iCs/>
          <w:szCs w:val="28"/>
          <w:lang w:val="en-US"/>
        </w:rPr>
        <w:t>Solutions</w:t>
      </w:r>
    </w:p>
    <w:p w14:paraId="38A5BEFD" w14:textId="77777777" w:rsidR="00FD7899" w:rsidRPr="00BC5E10" w:rsidRDefault="00FD7899" w:rsidP="001725C2">
      <w:pPr>
        <w:spacing w:after="60" w:line="276" w:lineRule="auto"/>
        <w:rPr>
          <w:rFonts w:cs="Times New Roman"/>
          <w:szCs w:val="28"/>
          <w:lang w:val="en-US"/>
        </w:rPr>
      </w:pPr>
      <w:r w:rsidRPr="00BC5E10">
        <w:rPr>
          <w:rFonts w:cs="Times New Roman"/>
          <w:szCs w:val="28"/>
        </w:rPr>
        <w:t xml:space="preserve">Barrett </w:t>
      </w:r>
      <w:r w:rsidRPr="00BC5E10">
        <w:rPr>
          <w:rFonts w:cs="Times New Roman"/>
          <w:szCs w:val="28"/>
          <w:lang w:val="en-US"/>
        </w:rPr>
        <w:t>et al.</w:t>
      </w:r>
      <w:r w:rsidRPr="00BC5E10">
        <w:rPr>
          <w:rFonts w:cs="Times New Roman"/>
          <w:szCs w:val="28"/>
        </w:rPr>
        <w:t xml:space="preserve"> (2024) emphasized that limitations in technological facilities and financial resources are major barriers to the digitalization of higher education.</w:t>
      </w:r>
      <w:r w:rsidRPr="00BC5E10">
        <w:rPr>
          <w:rFonts w:cs="Times New Roman"/>
          <w:szCs w:val="28"/>
          <w:lang w:val="en-US"/>
        </w:rPr>
        <w:t xml:space="preserve"> </w:t>
      </w:r>
      <w:r w:rsidRPr="00BC5E10">
        <w:rPr>
          <w:rFonts w:cs="Times New Roman"/>
          <w:szCs w:val="28"/>
        </w:rPr>
        <w:t xml:space="preserve">Therefore, governments should introduce </w:t>
      </w:r>
      <w:r w:rsidRPr="00BC5E10">
        <w:rPr>
          <w:rFonts w:cs="Times New Roman"/>
          <w:szCs w:val="28"/>
          <w:lang w:val="en-US"/>
        </w:rPr>
        <w:t>suitable</w:t>
      </w:r>
      <w:r w:rsidRPr="00BC5E10">
        <w:rPr>
          <w:rFonts w:cs="Times New Roman"/>
          <w:szCs w:val="28"/>
        </w:rPr>
        <w:t xml:space="preserve"> financial and strategic policies, while universities need to mobilize resources, invest in digital infrastructure, and </w:t>
      </w:r>
      <w:r w:rsidRPr="00BC5E10">
        <w:rPr>
          <w:rFonts w:cs="Times New Roman"/>
          <w:szCs w:val="28"/>
          <w:lang w:val="en-US"/>
        </w:rPr>
        <w:t>improve</w:t>
      </w:r>
      <w:r w:rsidRPr="00BC5E10">
        <w:rPr>
          <w:rFonts w:cs="Times New Roman"/>
          <w:szCs w:val="28"/>
        </w:rPr>
        <w:t xml:space="preserve"> technological capacity.</w:t>
      </w:r>
      <w:r w:rsidRPr="00BC5E10">
        <w:rPr>
          <w:rFonts w:cs="Times New Roman"/>
          <w:szCs w:val="28"/>
          <w:lang w:val="en-US"/>
        </w:rPr>
        <w:t xml:space="preserve"> First, </w:t>
      </w:r>
      <w:r w:rsidRPr="00BC5E10">
        <w:rPr>
          <w:rFonts w:cs="Times New Roman"/>
          <w:szCs w:val="28"/>
        </w:rPr>
        <w:t>universities need strong digital systems that allow data to be connected, shared, and protected, so that decisions are made on secure and reliable information</w:t>
      </w:r>
      <w:r w:rsidRPr="00BC5E10">
        <w:rPr>
          <w:rFonts w:cs="Times New Roman"/>
          <w:szCs w:val="28"/>
          <w:lang w:val="en-US"/>
        </w:rPr>
        <w:t xml:space="preserve"> (</w:t>
      </w:r>
      <w:r w:rsidRPr="00BC5E10">
        <w:rPr>
          <w:rFonts w:cs="Times New Roman"/>
          <w:szCs w:val="28"/>
        </w:rPr>
        <w:t>Alammary</w:t>
      </w:r>
      <w:r w:rsidRPr="00BC5E10">
        <w:rPr>
          <w:rFonts w:cs="Times New Roman"/>
          <w:szCs w:val="28"/>
          <w:lang w:val="en-US"/>
        </w:rPr>
        <w:t xml:space="preserve">, </w:t>
      </w:r>
      <w:r w:rsidRPr="00BC5E10">
        <w:rPr>
          <w:rFonts w:cs="Times New Roman"/>
          <w:szCs w:val="28"/>
        </w:rPr>
        <w:t>2024)</w:t>
      </w:r>
      <w:r w:rsidRPr="00BC5E10">
        <w:rPr>
          <w:rFonts w:cs="Times New Roman"/>
          <w:szCs w:val="28"/>
          <w:lang w:val="en-US"/>
        </w:rPr>
        <w:t>. Second, u</w:t>
      </w:r>
      <w:r w:rsidRPr="00BC5E10">
        <w:rPr>
          <w:rFonts w:cs="Times New Roman"/>
          <w:szCs w:val="28"/>
        </w:rPr>
        <w:t>niversities should build clear governance frameworks for AI, with policies that cover ethical practices, risk control, and openness, so that decision-making remains responsible and trustworthy</w:t>
      </w:r>
      <w:r w:rsidRPr="00BC5E10">
        <w:rPr>
          <w:rFonts w:cs="Times New Roman"/>
          <w:szCs w:val="28"/>
          <w:lang w:val="en-US"/>
        </w:rPr>
        <w:t xml:space="preserve"> (</w:t>
      </w:r>
      <w:r w:rsidRPr="00BC5E10">
        <w:rPr>
          <w:rFonts w:cs="Times New Roman"/>
          <w:color w:val="222222"/>
          <w:szCs w:val="28"/>
          <w:shd w:val="clear" w:color="auto" w:fill="FFFFFF"/>
        </w:rPr>
        <w:t>Wu</w:t>
      </w:r>
      <w:r w:rsidRPr="00BC5E10">
        <w:rPr>
          <w:rFonts w:cs="Times New Roman"/>
          <w:color w:val="222222"/>
          <w:szCs w:val="28"/>
          <w:shd w:val="clear" w:color="auto" w:fill="FFFFFF"/>
          <w:lang w:val="en-US"/>
        </w:rPr>
        <w:t xml:space="preserve"> et al., 2024)</w:t>
      </w:r>
      <w:r w:rsidRPr="00BC5E10">
        <w:rPr>
          <w:rFonts w:cs="Times New Roman"/>
          <w:szCs w:val="28"/>
        </w:rPr>
        <w:t>.</w:t>
      </w:r>
      <w:r w:rsidRPr="00BC5E10">
        <w:rPr>
          <w:rFonts w:cs="Times New Roman"/>
          <w:szCs w:val="28"/>
          <w:lang w:val="en-US"/>
        </w:rPr>
        <w:t xml:space="preserve"> Third, </w:t>
      </w:r>
      <w:r w:rsidRPr="00BC5E10">
        <w:rPr>
          <w:rFonts w:cs="Times New Roman"/>
          <w:szCs w:val="28"/>
        </w:rPr>
        <w:t>building human capacity is essential</w:t>
      </w:r>
      <w:r w:rsidRPr="00BC5E10">
        <w:rPr>
          <w:rFonts w:cs="Times New Roman"/>
          <w:szCs w:val="28"/>
          <w:lang w:val="en-US"/>
        </w:rPr>
        <w:t xml:space="preserve">, including but not limited </w:t>
      </w:r>
      <w:r w:rsidRPr="00BC5E10">
        <w:rPr>
          <w:rFonts w:cs="Times New Roman"/>
          <w:szCs w:val="28"/>
        </w:rPr>
        <w:t xml:space="preserve">leaders, teachers, and staff should receive continuous training to strengthen their digital literacy and AI competencies, ensuring that technology supports rather than replaces their professional roles (Chan </w:t>
      </w:r>
      <w:r w:rsidRPr="00BC5E10">
        <w:rPr>
          <w:rFonts w:cs="Times New Roman"/>
          <w:szCs w:val="28"/>
          <w:lang w:val="en-US"/>
        </w:rPr>
        <w:t>et al.</w:t>
      </w:r>
      <w:r w:rsidRPr="00BC5E10">
        <w:rPr>
          <w:rFonts w:cs="Times New Roman"/>
          <w:szCs w:val="28"/>
        </w:rPr>
        <w:t>, 2023).</w:t>
      </w:r>
      <w:r w:rsidRPr="00BC5E10">
        <w:rPr>
          <w:rFonts w:cs="Times New Roman"/>
          <w:szCs w:val="28"/>
          <w:lang w:val="en-US"/>
        </w:rPr>
        <w:t xml:space="preserve"> </w:t>
      </w:r>
      <w:r w:rsidRPr="00BC5E10">
        <w:rPr>
          <w:rFonts w:cs="Times New Roman"/>
          <w:szCs w:val="28"/>
        </w:rPr>
        <w:t xml:space="preserve">Fourth, universities may begin with small pilot projects in safer </w:t>
      </w:r>
      <w:r w:rsidRPr="00BC5E10">
        <w:rPr>
          <w:rFonts w:cs="Times New Roman"/>
          <w:szCs w:val="28"/>
          <w:lang w:val="en-US"/>
        </w:rPr>
        <w:t>fields</w:t>
      </w:r>
      <w:r w:rsidRPr="00BC5E10">
        <w:rPr>
          <w:rFonts w:cs="Times New Roman"/>
          <w:szCs w:val="28"/>
        </w:rPr>
        <w:t xml:space="preserve"> like administration or student support, and then gradually extend them to more critical </w:t>
      </w:r>
      <w:r w:rsidRPr="00BC5E10">
        <w:rPr>
          <w:rFonts w:cs="Times New Roman"/>
          <w:szCs w:val="28"/>
          <w:lang w:val="en-US"/>
        </w:rPr>
        <w:t>ones</w:t>
      </w:r>
      <w:r w:rsidRPr="00BC5E10">
        <w:rPr>
          <w:rFonts w:cs="Times New Roman"/>
          <w:szCs w:val="28"/>
        </w:rPr>
        <w:t xml:space="preserve"> </w:t>
      </w:r>
      <w:r w:rsidRPr="00BC5E10">
        <w:rPr>
          <w:rFonts w:cs="Times New Roman"/>
          <w:szCs w:val="28"/>
          <w:lang w:val="en-US"/>
        </w:rPr>
        <w:t>like</w:t>
      </w:r>
      <w:r w:rsidRPr="00BC5E10">
        <w:rPr>
          <w:rFonts w:cs="Times New Roman"/>
          <w:szCs w:val="28"/>
        </w:rPr>
        <w:t xml:space="preserve"> admissions or quality assurance</w:t>
      </w:r>
      <w:r w:rsidRPr="00BC5E10">
        <w:rPr>
          <w:rFonts w:cs="Times New Roman"/>
          <w:szCs w:val="28"/>
          <w:lang w:val="en-US"/>
        </w:rPr>
        <w:t xml:space="preserve"> (Ali, 2025). </w:t>
      </w:r>
      <w:r w:rsidRPr="00BC5E10">
        <w:rPr>
          <w:rFonts w:cs="Times New Roman"/>
          <w:szCs w:val="28"/>
        </w:rPr>
        <w:t>Finally, taking a human-centered approach, where AI is used to assist rather than replace academic decisions, can improve efficiency while protecting integrity and trust in higher education</w:t>
      </w:r>
      <w:r w:rsidRPr="00BC5E10">
        <w:rPr>
          <w:rFonts w:cs="Times New Roman"/>
          <w:szCs w:val="28"/>
          <w:lang w:val="en-US"/>
        </w:rPr>
        <w:t xml:space="preserve"> (</w:t>
      </w:r>
      <w:r w:rsidRPr="00BC5E10">
        <w:rPr>
          <w:rFonts w:cs="Times New Roman"/>
          <w:color w:val="222222"/>
          <w:szCs w:val="28"/>
          <w:shd w:val="clear" w:color="auto" w:fill="FFFFFF"/>
        </w:rPr>
        <w:t>Selvaratnam</w:t>
      </w:r>
      <w:r w:rsidRPr="00BC5E10">
        <w:rPr>
          <w:rFonts w:cs="Times New Roman"/>
          <w:color w:val="222222"/>
          <w:szCs w:val="28"/>
          <w:shd w:val="clear" w:color="auto" w:fill="FFFFFF"/>
          <w:lang w:val="en-US"/>
        </w:rPr>
        <w:t xml:space="preserve"> et al., 2024). </w:t>
      </w:r>
      <w:r w:rsidRPr="00BC5E10">
        <w:rPr>
          <w:rFonts w:cs="Times New Roman"/>
          <w:szCs w:val="28"/>
        </w:rPr>
        <w:t>Together, these solutions offer a clear way for universities to use AI and smart technologies while still protecting their main values and goals.</w:t>
      </w:r>
    </w:p>
    <w:p w14:paraId="499CAFE6" w14:textId="77777777" w:rsidR="00FD7899" w:rsidRPr="009E0880" w:rsidRDefault="006D001A" w:rsidP="001725C2">
      <w:pPr>
        <w:pStyle w:val="ListParagraph"/>
        <w:numPr>
          <w:ilvl w:val="1"/>
          <w:numId w:val="4"/>
        </w:numPr>
        <w:spacing w:after="60" w:line="276" w:lineRule="auto"/>
        <w:ind w:left="0" w:firstLine="0"/>
        <w:rPr>
          <w:rFonts w:cs="Times New Roman"/>
          <w:b/>
          <w:i/>
          <w:iCs/>
          <w:szCs w:val="28"/>
          <w:lang w:val="en-US"/>
        </w:rPr>
      </w:pPr>
      <w:r w:rsidRPr="009E0880">
        <w:rPr>
          <w:rFonts w:cs="Times New Roman"/>
          <w:b/>
          <w:i/>
          <w:iCs/>
          <w:szCs w:val="28"/>
          <w:lang w:val="en-US"/>
        </w:rPr>
        <w:t xml:space="preserve"> </w:t>
      </w:r>
      <w:r w:rsidR="00FD7899" w:rsidRPr="009E0880">
        <w:rPr>
          <w:rFonts w:cs="Times New Roman"/>
          <w:b/>
          <w:i/>
          <w:iCs/>
          <w:szCs w:val="28"/>
          <w:lang w:val="en-US"/>
        </w:rPr>
        <w:t>Recommendations</w:t>
      </w:r>
    </w:p>
    <w:p w14:paraId="1B14E90B" w14:textId="77777777" w:rsidR="00AB1A39" w:rsidRPr="00BC5E10" w:rsidRDefault="00AB1A39" w:rsidP="001725C2">
      <w:pPr>
        <w:pStyle w:val="NormalWeb"/>
        <w:spacing w:before="0" w:beforeAutospacing="0" w:after="60" w:afterAutospacing="0" w:line="276" w:lineRule="auto"/>
        <w:jc w:val="both"/>
        <w:rPr>
          <w:sz w:val="28"/>
          <w:szCs w:val="28"/>
        </w:rPr>
      </w:pPr>
      <w:r w:rsidRPr="00BC5E10">
        <w:rPr>
          <w:sz w:val="28"/>
          <w:szCs w:val="28"/>
        </w:rPr>
        <w:t xml:space="preserve">At the policy level, governments and international organizations should take the lead in establishing frameworks that promote the responsible integration of AI and smart technologies in higher education governance. Stracke et al. (2025) emphasize that effective AI governance requires evidence-based regulations </w:t>
      </w:r>
      <w:r w:rsidRPr="00BC5E10">
        <w:rPr>
          <w:sz w:val="28"/>
          <w:szCs w:val="28"/>
        </w:rPr>
        <w:lastRenderedPageBreak/>
        <w:t>centered on transparency, accountability, privacy, and ethics. Similarly, Li et al. (2025) highlight the relevance of UNESCO’s global guidelines, which inform national digital strategies and stress investments in digital infrastructure to narrow access and equity gaps.</w:t>
      </w:r>
    </w:p>
    <w:p w14:paraId="0C3D0059" w14:textId="77777777" w:rsidR="00AB1A39" w:rsidRPr="00BC5E10" w:rsidRDefault="00AB1A39" w:rsidP="001725C2">
      <w:pPr>
        <w:pStyle w:val="NormalWeb"/>
        <w:spacing w:before="0" w:beforeAutospacing="0" w:after="60" w:afterAutospacing="0" w:line="276" w:lineRule="auto"/>
        <w:jc w:val="both"/>
        <w:rPr>
          <w:sz w:val="28"/>
          <w:szCs w:val="28"/>
        </w:rPr>
      </w:pPr>
      <w:r w:rsidRPr="00BC5E10">
        <w:rPr>
          <w:sz w:val="28"/>
          <w:szCs w:val="28"/>
        </w:rPr>
        <w:t>At the university level, AI and smart technologies should be embedded in both governance and pedagogy. Tools such as Grammarly and Turnitin enhance academic integrity, while virtual assistants like Moodle, IBM Watson Assistant, and chatbots support student engagement and instructi</w:t>
      </w:r>
      <w:r w:rsidR="006D001A" w:rsidRPr="00BC5E10">
        <w:rPr>
          <w:sz w:val="28"/>
          <w:szCs w:val="28"/>
        </w:rPr>
        <w:t xml:space="preserve">onal efficiency. Research tools, like </w:t>
      </w:r>
      <w:r w:rsidRPr="00BC5E10">
        <w:rPr>
          <w:sz w:val="28"/>
          <w:szCs w:val="28"/>
        </w:rPr>
        <w:t>ChatGPT, Elicit,</w:t>
      </w:r>
      <w:r w:rsidR="006D001A" w:rsidRPr="00BC5E10">
        <w:rPr>
          <w:sz w:val="28"/>
          <w:szCs w:val="28"/>
        </w:rPr>
        <w:t xml:space="preserve"> Semantic Scholar, and Mendeley, </w:t>
      </w:r>
      <w:r w:rsidRPr="00BC5E10">
        <w:rPr>
          <w:sz w:val="28"/>
          <w:szCs w:val="28"/>
        </w:rPr>
        <w:t>facilitate data-driven decision-making and streamline scholarly work. Furthermore, digital platforms such as Zoom, Microsoft Teams, and Webex, alongside intelligent tutoring systems like ALEKS and Carnegie Learning, promote inclusivity and personalized learning. Secure testing software such as ExamSoft and ProProfs ensures fairness in assessments. As Ocen et al. (2025) note</w:t>
      </w:r>
      <w:r w:rsidR="006D001A" w:rsidRPr="00BC5E10">
        <w:rPr>
          <w:sz w:val="28"/>
          <w:szCs w:val="28"/>
        </w:rPr>
        <w:t>d</w:t>
      </w:r>
      <w:r w:rsidRPr="00BC5E10">
        <w:rPr>
          <w:sz w:val="28"/>
          <w:szCs w:val="28"/>
        </w:rPr>
        <w:t>, these technologies enhance efficiency and foster transparent, data-informed governance. Collectively, these recommendations aim to ensure equitable, ethical, and sustainable digital transformation in higher education globally.</w:t>
      </w:r>
    </w:p>
    <w:p w14:paraId="1B431666" w14:textId="77777777" w:rsidR="00FD7899" w:rsidRPr="00BC5E10" w:rsidRDefault="00FD7899" w:rsidP="001725C2">
      <w:pPr>
        <w:pStyle w:val="ListParagraph"/>
        <w:numPr>
          <w:ilvl w:val="0"/>
          <w:numId w:val="4"/>
        </w:numPr>
        <w:spacing w:after="60" w:line="276" w:lineRule="auto"/>
        <w:ind w:left="0" w:firstLine="0"/>
        <w:rPr>
          <w:rFonts w:cs="Times New Roman"/>
          <w:b/>
          <w:szCs w:val="28"/>
          <w:lang w:val="en-US"/>
        </w:rPr>
      </w:pPr>
      <w:r w:rsidRPr="00BC5E10">
        <w:rPr>
          <w:rFonts w:cs="Times New Roman"/>
          <w:b/>
          <w:szCs w:val="28"/>
          <w:lang w:val="en-US"/>
        </w:rPr>
        <w:t>Conclusion and limitations</w:t>
      </w:r>
    </w:p>
    <w:p w14:paraId="77BF0624" w14:textId="77777777" w:rsidR="00FD7899" w:rsidRPr="00BC5E10" w:rsidRDefault="00FD7899" w:rsidP="001725C2">
      <w:pPr>
        <w:pStyle w:val="NormalWeb"/>
        <w:spacing w:before="0" w:beforeAutospacing="0" w:after="60" w:afterAutospacing="0" w:line="276" w:lineRule="auto"/>
        <w:jc w:val="both"/>
        <w:rPr>
          <w:sz w:val="28"/>
          <w:szCs w:val="28"/>
        </w:rPr>
      </w:pPr>
      <w:r w:rsidRPr="00BC5E10">
        <w:rPr>
          <w:sz w:val="28"/>
          <w:szCs w:val="28"/>
        </w:rPr>
        <w:t>This paper explored the opportunities and difficulties of using AI and smart technologies in higher education governance during digital transformation. Based on global frameworks like UNESCO’s Guidance and local regulations, the study shows their potential to improve efficiency, transparency, and data-driven decisions. However, it also points out ongoing issues like ethics, privacy, weak regulations, and low institutional readiness in both global and Vietnamese contexts.</w:t>
      </w:r>
    </w:p>
    <w:p w14:paraId="765B9108" w14:textId="77777777" w:rsidR="00FD7899" w:rsidRPr="00BC5E10" w:rsidRDefault="00FD7899" w:rsidP="001725C2">
      <w:pPr>
        <w:pStyle w:val="NormalWeb"/>
        <w:spacing w:before="0" w:beforeAutospacing="0" w:after="60" w:afterAutospacing="0" w:line="276" w:lineRule="auto"/>
        <w:jc w:val="both"/>
        <w:rPr>
          <w:sz w:val="28"/>
          <w:szCs w:val="28"/>
        </w:rPr>
      </w:pPr>
      <w:r w:rsidRPr="00BC5E10">
        <w:rPr>
          <w:sz w:val="28"/>
          <w:szCs w:val="28"/>
        </w:rPr>
        <w:t xml:space="preserve">Despite these contributions, the study has several limitations. It primarily relies on a review of global and national policies and documented practices, without extensive empirical data from specific universities. Future research should use </w:t>
      </w:r>
      <w:r w:rsidRPr="00BC5E10">
        <w:rPr>
          <w:rStyle w:val="Strong"/>
          <w:b w:val="0"/>
          <w:sz w:val="28"/>
          <w:szCs w:val="28"/>
        </w:rPr>
        <w:t>empirical case studies, longitudinal assessments, and cross-country comparisons</w:t>
      </w:r>
      <w:r w:rsidRPr="00BC5E10">
        <w:rPr>
          <w:sz w:val="28"/>
          <w:szCs w:val="28"/>
        </w:rPr>
        <w:t xml:space="preserve"> to provide a more comprehensive understanding of how AI and smart technologies reshape a</w:t>
      </w:r>
      <w:r w:rsidR="00AB1A39" w:rsidRPr="00BC5E10">
        <w:rPr>
          <w:sz w:val="28"/>
          <w:szCs w:val="28"/>
        </w:rPr>
        <w:t>cademic governance in practice.</w:t>
      </w:r>
    </w:p>
    <w:p w14:paraId="31D7C6C9" w14:textId="30CEEF29" w:rsidR="009E2E96" w:rsidRPr="00BC5E10" w:rsidRDefault="009E2E96" w:rsidP="001725C2">
      <w:pPr>
        <w:pStyle w:val="NormalWeb"/>
        <w:spacing w:before="0" w:beforeAutospacing="0" w:after="60" w:afterAutospacing="0" w:line="276" w:lineRule="auto"/>
        <w:jc w:val="both"/>
        <w:rPr>
          <w:b/>
          <w:sz w:val="28"/>
          <w:szCs w:val="28"/>
        </w:rPr>
      </w:pPr>
      <w:r w:rsidRPr="00BC5E10">
        <w:rPr>
          <w:b/>
          <w:sz w:val="28"/>
          <w:szCs w:val="28"/>
        </w:rPr>
        <w:t>References</w:t>
      </w:r>
      <w:r w:rsidR="007A4E3E" w:rsidRPr="00BC5E10">
        <w:rPr>
          <w:b/>
          <w:sz w:val="28"/>
          <w:szCs w:val="28"/>
        </w:rPr>
        <w:t>:</w:t>
      </w:r>
    </w:p>
    <w:p w14:paraId="00335E02" w14:textId="77777777" w:rsidR="002C00F4" w:rsidRPr="009E0880" w:rsidRDefault="002C00F4" w:rsidP="009E0880">
      <w:pPr>
        <w:pStyle w:val="NormalWeb"/>
        <w:jc w:val="both"/>
        <w:rPr>
          <w:sz w:val="28"/>
          <w:szCs w:val="28"/>
        </w:rPr>
      </w:pPr>
      <w:r w:rsidRPr="009E0880">
        <w:rPr>
          <w:sz w:val="28"/>
          <w:szCs w:val="28"/>
        </w:rPr>
        <w:t xml:space="preserve">Alammary, A. S. (2024). Building a sustainable digital infrastructure for higher education: A blockchain-based solution for cross-institutional enrollment. </w:t>
      </w:r>
      <w:r w:rsidRPr="009E0880">
        <w:rPr>
          <w:rStyle w:val="Emphasis"/>
          <w:sz w:val="28"/>
          <w:szCs w:val="28"/>
        </w:rPr>
        <w:t>Sustainability, 17</w:t>
      </w:r>
      <w:r w:rsidRPr="009E0880">
        <w:rPr>
          <w:sz w:val="28"/>
          <w:szCs w:val="28"/>
        </w:rPr>
        <w:t xml:space="preserve">(1), Article 194. </w:t>
      </w:r>
      <w:hyperlink r:id="rId7" w:history="1">
        <w:r w:rsidRPr="009E0880">
          <w:rPr>
            <w:rStyle w:val="Hyperlink"/>
            <w:sz w:val="28"/>
            <w:szCs w:val="28"/>
          </w:rPr>
          <w:t>https://doi.org/10.3390/su17010194</w:t>
        </w:r>
      </w:hyperlink>
    </w:p>
    <w:p w14:paraId="4DAA3423" w14:textId="77777777" w:rsidR="002C00F4" w:rsidRPr="009E0880" w:rsidRDefault="002C00F4" w:rsidP="009E0880">
      <w:pPr>
        <w:pStyle w:val="NormalWeb"/>
        <w:jc w:val="both"/>
        <w:rPr>
          <w:sz w:val="28"/>
          <w:szCs w:val="28"/>
        </w:rPr>
      </w:pPr>
      <w:r w:rsidRPr="009E0880">
        <w:rPr>
          <w:sz w:val="28"/>
          <w:szCs w:val="28"/>
        </w:rPr>
        <w:t xml:space="preserve">Ali, M. G. (2025). Artificial intelligence in higher education: Benefits and risks. </w:t>
      </w:r>
      <w:r w:rsidRPr="009E0880">
        <w:rPr>
          <w:rStyle w:val="Emphasis"/>
          <w:sz w:val="28"/>
          <w:szCs w:val="28"/>
        </w:rPr>
        <w:t>Online Submission</w:t>
      </w:r>
      <w:r w:rsidRPr="009E0880">
        <w:rPr>
          <w:sz w:val="28"/>
          <w:szCs w:val="28"/>
        </w:rPr>
        <w:t xml:space="preserve">. </w:t>
      </w:r>
      <w:hyperlink r:id="rId8" w:history="1">
        <w:r w:rsidRPr="009E0880">
          <w:rPr>
            <w:rStyle w:val="Hyperlink"/>
            <w:sz w:val="28"/>
            <w:szCs w:val="28"/>
          </w:rPr>
          <w:t>https://files.eric.ed.gov/fulltext/ED672516.pdf</w:t>
        </w:r>
      </w:hyperlink>
    </w:p>
    <w:p w14:paraId="159F1283" w14:textId="1E0ACD93" w:rsidR="002C00F4" w:rsidRPr="009E0880" w:rsidRDefault="002C00F4" w:rsidP="009E0880">
      <w:pPr>
        <w:pStyle w:val="NormalWeb"/>
        <w:jc w:val="both"/>
        <w:rPr>
          <w:sz w:val="28"/>
          <w:szCs w:val="28"/>
        </w:rPr>
      </w:pPr>
      <w:r w:rsidRPr="009E0880">
        <w:rPr>
          <w:sz w:val="28"/>
          <w:szCs w:val="28"/>
        </w:rPr>
        <w:lastRenderedPageBreak/>
        <w:t xml:space="preserve">Barrett, S. A., &amp; Williams-Shakespeare, E. S. (2024). A study of digitalization of higher education institutions in the Caribbean. </w:t>
      </w:r>
      <w:r w:rsidRPr="009E0880">
        <w:rPr>
          <w:rStyle w:val="Emphasis"/>
          <w:sz w:val="28"/>
          <w:szCs w:val="28"/>
        </w:rPr>
        <w:t>Journal of Comparative and International Higher Education, 16</w:t>
      </w:r>
      <w:r w:rsidRPr="009E0880">
        <w:rPr>
          <w:sz w:val="28"/>
          <w:szCs w:val="28"/>
        </w:rPr>
        <w:t xml:space="preserve">(2), 117–126. </w:t>
      </w:r>
    </w:p>
    <w:p w14:paraId="1295EDC1" w14:textId="77777777" w:rsidR="002C00F4" w:rsidRPr="009E0880" w:rsidRDefault="002C00F4" w:rsidP="009E0880">
      <w:pPr>
        <w:pStyle w:val="NormalWeb"/>
        <w:jc w:val="both"/>
        <w:rPr>
          <w:sz w:val="28"/>
          <w:szCs w:val="28"/>
        </w:rPr>
      </w:pPr>
      <w:r w:rsidRPr="009E0880">
        <w:rPr>
          <w:sz w:val="28"/>
          <w:szCs w:val="28"/>
        </w:rPr>
        <w:t xml:space="preserve">Chan, C. K. Y. (2023). A comprehensive AI policy education framework for university teaching and learning. </w:t>
      </w:r>
      <w:r w:rsidRPr="009E0880">
        <w:rPr>
          <w:rStyle w:val="Emphasis"/>
          <w:sz w:val="28"/>
          <w:szCs w:val="28"/>
        </w:rPr>
        <w:t>International Journal of Educational Technology in Higher Education, 20</w:t>
      </w:r>
      <w:r w:rsidRPr="009E0880">
        <w:rPr>
          <w:sz w:val="28"/>
          <w:szCs w:val="28"/>
        </w:rPr>
        <w:t xml:space="preserve">(1), Article 38. </w:t>
      </w:r>
      <w:hyperlink r:id="rId9" w:history="1">
        <w:r w:rsidRPr="009E0880">
          <w:rPr>
            <w:rStyle w:val="Hyperlink"/>
            <w:sz w:val="28"/>
            <w:szCs w:val="28"/>
          </w:rPr>
          <w:t>https://doi.org/10.1186/s41239-023-00408-3</w:t>
        </w:r>
      </w:hyperlink>
    </w:p>
    <w:p w14:paraId="1CCEC781" w14:textId="77777777" w:rsidR="002C00F4" w:rsidRPr="009E0880" w:rsidRDefault="002C00F4" w:rsidP="009E0880">
      <w:pPr>
        <w:pStyle w:val="NormalWeb"/>
        <w:jc w:val="both"/>
        <w:rPr>
          <w:sz w:val="28"/>
          <w:szCs w:val="28"/>
        </w:rPr>
      </w:pPr>
      <w:r w:rsidRPr="009E0880">
        <w:rPr>
          <w:sz w:val="28"/>
          <w:szCs w:val="28"/>
        </w:rPr>
        <w:t xml:space="preserve">Chan, C. K. Y., &amp; Tsi, L. H. (2023). The AI revolution in education: Will AI replace or assist teachers in higher education? </w:t>
      </w:r>
      <w:r w:rsidRPr="009E0880">
        <w:rPr>
          <w:rStyle w:val="Emphasis"/>
          <w:sz w:val="28"/>
          <w:szCs w:val="28"/>
        </w:rPr>
        <w:t>arXiv</w:t>
      </w:r>
      <w:r w:rsidRPr="009E0880">
        <w:rPr>
          <w:sz w:val="28"/>
          <w:szCs w:val="28"/>
        </w:rPr>
        <w:t xml:space="preserve">. </w:t>
      </w:r>
      <w:hyperlink r:id="rId10" w:history="1">
        <w:r w:rsidRPr="009E0880">
          <w:rPr>
            <w:rStyle w:val="Hyperlink"/>
            <w:sz w:val="28"/>
            <w:szCs w:val="28"/>
          </w:rPr>
          <w:t>https://doi.org/10.48550/arXiv.2305.01185</w:t>
        </w:r>
      </w:hyperlink>
    </w:p>
    <w:p w14:paraId="43C850CB" w14:textId="77777777" w:rsidR="002C00F4" w:rsidRPr="009E0880" w:rsidRDefault="002C00F4" w:rsidP="009E0880">
      <w:pPr>
        <w:pStyle w:val="NormalWeb"/>
        <w:jc w:val="both"/>
        <w:rPr>
          <w:sz w:val="28"/>
          <w:szCs w:val="28"/>
        </w:rPr>
      </w:pPr>
      <w:r w:rsidRPr="009E0880">
        <w:rPr>
          <w:sz w:val="28"/>
          <w:szCs w:val="28"/>
        </w:rPr>
        <w:t xml:space="preserve">Crompton, H., &amp; Burke, D. (2023). Artificial intelligence in higher education: The state of the field. </w:t>
      </w:r>
      <w:r w:rsidRPr="009E0880">
        <w:rPr>
          <w:rStyle w:val="Emphasis"/>
          <w:sz w:val="28"/>
          <w:szCs w:val="28"/>
        </w:rPr>
        <w:t>International Journal of Educational Technology in Higher Education, 20</w:t>
      </w:r>
      <w:r w:rsidRPr="009E0880">
        <w:rPr>
          <w:sz w:val="28"/>
          <w:szCs w:val="28"/>
        </w:rPr>
        <w:t xml:space="preserve">(1), Article 22. </w:t>
      </w:r>
      <w:hyperlink r:id="rId11" w:history="1">
        <w:r w:rsidRPr="009E0880">
          <w:rPr>
            <w:rStyle w:val="Hyperlink"/>
            <w:sz w:val="28"/>
            <w:szCs w:val="28"/>
          </w:rPr>
          <w:t>https://doi.org/10.1186/s41239-023-00392-8</w:t>
        </w:r>
      </w:hyperlink>
    </w:p>
    <w:p w14:paraId="76D046AC" w14:textId="77777777" w:rsidR="002C00F4" w:rsidRPr="009E0880" w:rsidRDefault="002C00F4" w:rsidP="009E0880">
      <w:pPr>
        <w:pStyle w:val="NormalWeb"/>
        <w:jc w:val="both"/>
        <w:rPr>
          <w:sz w:val="28"/>
          <w:szCs w:val="28"/>
        </w:rPr>
      </w:pPr>
      <w:r w:rsidRPr="009E0880">
        <w:rPr>
          <w:sz w:val="28"/>
          <w:szCs w:val="28"/>
        </w:rPr>
        <w:t xml:space="preserve">Diaz-Garcia, V., Montero-Navarro, A., Rodríguez-Sánchez, J. L., &amp; Gallego-Losada, R. (2022). Digitalization and digital transformation in higher education: A bibliometric analysis. </w:t>
      </w:r>
      <w:r w:rsidRPr="009E0880">
        <w:rPr>
          <w:rStyle w:val="Emphasis"/>
          <w:sz w:val="28"/>
          <w:szCs w:val="28"/>
        </w:rPr>
        <w:t>Frontiers in Psychology, 13</w:t>
      </w:r>
      <w:r w:rsidRPr="009E0880">
        <w:rPr>
          <w:sz w:val="28"/>
          <w:szCs w:val="28"/>
        </w:rPr>
        <w:t xml:space="preserve">, Article 1081595. </w:t>
      </w:r>
      <w:hyperlink r:id="rId12" w:history="1">
        <w:r w:rsidRPr="009E0880">
          <w:rPr>
            <w:rStyle w:val="Hyperlink"/>
            <w:sz w:val="28"/>
            <w:szCs w:val="28"/>
          </w:rPr>
          <w:t>https://doi.org/10.3389/fpsyg.2022.1081595</w:t>
        </w:r>
      </w:hyperlink>
    </w:p>
    <w:p w14:paraId="2F3426E7" w14:textId="683899E5" w:rsidR="002C00F4" w:rsidRPr="009E0880" w:rsidRDefault="002C00F4" w:rsidP="009E0880">
      <w:pPr>
        <w:pStyle w:val="NormalWeb"/>
        <w:jc w:val="both"/>
        <w:rPr>
          <w:sz w:val="28"/>
          <w:szCs w:val="28"/>
        </w:rPr>
      </w:pPr>
      <w:r w:rsidRPr="009E0880">
        <w:rPr>
          <w:sz w:val="28"/>
          <w:szCs w:val="28"/>
        </w:rPr>
        <w:t xml:space="preserve">Dudycz, H., Hernes, M., Kes, Z., Mercier-Laurent, E., Nita, B., Nowosielski, K., ... &amp; Wojtkiewicz, K. (2021). A conceptual framework of intelligent management control system for higher education. In </w:t>
      </w:r>
      <w:r w:rsidRPr="009E0880">
        <w:rPr>
          <w:rStyle w:val="Emphasis"/>
          <w:sz w:val="28"/>
          <w:szCs w:val="28"/>
        </w:rPr>
        <w:t>IFIP International Workshop on Artificial Intelligence for Knowledge Management</w:t>
      </w:r>
      <w:r w:rsidRPr="009E0880">
        <w:rPr>
          <w:sz w:val="28"/>
          <w:szCs w:val="28"/>
        </w:rPr>
        <w:t xml:space="preserve"> (pp. 35–47). Springer International Publishing. </w:t>
      </w:r>
      <w:hyperlink r:id="rId13" w:history="1">
        <w:r w:rsidRPr="009E0880">
          <w:rPr>
            <w:rStyle w:val="Hyperlink"/>
            <w:sz w:val="28"/>
            <w:szCs w:val="28"/>
          </w:rPr>
          <w:t>https://doi.org/10.1007/978-3-030-80847-1_3</w:t>
        </w:r>
      </w:hyperlink>
      <w:r w:rsidRPr="009E0880">
        <w:rPr>
          <w:sz w:val="28"/>
          <w:szCs w:val="28"/>
        </w:rPr>
        <w:t xml:space="preserve"> </w:t>
      </w:r>
    </w:p>
    <w:p w14:paraId="7EC52D7A" w14:textId="77777777" w:rsidR="002C00F4" w:rsidRPr="009E0880" w:rsidRDefault="002C00F4" w:rsidP="009E0880">
      <w:pPr>
        <w:pStyle w:val="NormalWeb"/>
        <w:jc w:val="both"/>
        <w:rPr>
          <w:sz w:val="28"/>
          <w:szCs w:val="28"/>
        </w:rPr>
      </w:pPr>
      <w:r w:rsidRPr="009E0880">
        <w:rPr>
          <w:sz w:val="28"/>
          <w:szCs w:val="28"/>
        </w:rPr>
        <w:t xml:space="preserve">Facer, K., &amp; Selwyn, N. (2021). </w:t>
      </w:r>
      <w:r w:rsidRPr="009E0880">
        <w:rPr>
          <w:rStyle w:val="Emphasis"/>
          <w:sz w:val="28"/>
          <w:szCs w:val="28"/>
        </w:rPr>
        <w:t>Digital technology and the futures of education: Towards “non-stupid” optimism</w:t>
      </w:r>
      <w:r w:rsidRPr="009E0880">
        <w:rPr>
          <w:sz w:val="28"/>
          <w:szCs w:val="28"/>
        </w:rPr>
        <w:t xml:space="preserve">. UNESCO. </w:t>
      </w:r>
      <w:hyperlink r:id="rId14" w:history="1">
        <w:r w:rsidRPr="009E0880">
          <w:rPr>
            <w:rStyle w:val="Hyperlink"/>
            <w:sz w:val="28"/>
            <w:szCs w:val="28"/>
          </w:rPr>
          <w:t>https://unesdoc.unesco.org/ark:/48223/pf0000377071</w:t>
        </w:r>
      </w:hyperlink>
    </w:p>
    <w:p w14:paraId="6D6E9F0C" w14:textId="77777777" w:rsidR="002C00F4" w:rsidRPr="009E0880" w:rsidRDefault="002C00F4" w:rsidP="009E0880">
      <w:pPr>
        <w:pStyle w:val="NormalWeb"/>
        <w:jc w:val="both"/>
        <w:rPr>
          <w:sz w:val="28"/>
          <w:szCs w:val="28"/>
        </w:rPr>
      </w:pPr>
      <w:r w:rsidRPr="009E0880">
        <w:rPr>
          <w:sz w:val="28"/>
          <w:szCs w:val="28"/>
        </w:rPr>
        <w:t xml:space="preserve">Fernández, A., Gómez, B., Binjaku, K., &amp; Meçe, E. K. (2023). Digital transformation initiatives in higher education institutions: A multivocal literature review. </w:t>
      </w:r>
      <w:r w:rsidRPr="009E0880">
        <w:rPr>
          <w:rStyle w:val="Emphasis"/>
          <w:sz w:val="28"/>
          <w:szCs w:val="28"/>
        </w:rPr>
        <w:t>Education and Information Technologies, 28</w:t>
      </w:r>
      <w:r w:rsidRPr="009E0880">
        <w:rPr>
          <w:sz w:val="28"/>
          <w:szCs w:val="28"/>
        </w:rPr>
        <w:t xml:space="preserve">(10), 12351–12382. </w:t>
      </w:r>
      <w:hyperlink r:id="rId15" w:history="1">
        <w:r w:rsidRPr="009E0880">
          <w:rPr>
            <w:rStyle w:val="Hyperlink"/>
            <w:sz w:val="28"/>
            <w:szCs w:val="28"/>
          </w:rPr>
          <w:t>https://doi.org/10.1007/s10639-022-11544-0</w:t>
        </w:r>
      </w:hyperlink>
    </w:p>
    <w:p w14:paraId="47D8879E" w14:textId="77777777" w:rsidR="002C00F4" w:rsidRPr="009E0880" w:rsidRDefault="002C00F4" w:rsidP="009E0880">
      <w:pPr>
        <w:pStyle w:val="NormalWeb"/>
        <w:jc w:val="both"/>
        <w:rPr>
          <w:sz w:val="28"/>
          <w:szCs w:val="28"/>
        </w:rPr>
      </w:pPr>
      <w:r w:rsidRPr="009E0880">
        <w:rPr>
          <w:sz w:val="28"/>
          <w:szCs w:val="28"/>
        </w:rPr>
        <w:t xml:space="preserve">Florea, D., &amp; Florea, S. (2020). Big data and the ethical implications of data privacy in higher education research. </w:t>
      </w:r>
      <w:r w:rsidRPr="009E0880">
        <w:rPr>
          <w:rStyle w:val="Emphasis"/>
          <w:sz w:val="28"/>
          <w:szCs w:val="28"/>
        </w:rPr>
        <w:t>Sustainability, 12</w:t>
      </w:r>
      <w:r w:rsidRPr="009E0880">
        <w:rPr>
          <w:sz w:val="28"/>
          <w:szCs w:val="28"/>
        </w:rPr>
        <w:t xml:space="preserve">(20), Article 8744. </w:t>
      </w:r>
      <w:hyperlink r:id="rId16" w:history="1">
        <w:r w:rsidRPr="009E0880">
          <w:rPr>
            <w:rStyle w:val="Hyperlink"/>
            <w:sz w:val="28"/>
            <w:szCs w:val="28"/>
          </w:rPr>
          <w:t>https://doi.org/10.3390/su12208744</w:t>
        </w:r>
      </w:hyperlink>
    </w:p>
    <w:p w14:paraId="58D7A6C4" w14:textId="4A4FA2C0" w:rsidR="002C00F4" w:rsidRPr="009E0880" w:rsidRDefault="002C00F4" w:rsidP="009E0880">
      <w:pPr>
        <w:pStyle w:val="NormalWeb"/>
        <w:jc w:val="both"/>
        <w:rPr>
          <w:sz w:val="28"/>
          <w:szCs w:val="28"/>
        </w:rPr>
      </w:pPr>
      <w:r w:rsidRPr="009E0880">
        <w:rPr>
          <w:sz w:val="28"/>
          <w:szCs w:val="28"/>
        </w:rPr>
        <w:t xml:space="preserve">Komljenovic, J., Birch, K., Sellar, S., Bergviken Rensfeldt, A., Deville, J., Eaton, C., ... &amp; Williamson, B. (2025). Digitalised higher education: Key developments, questions, and concerns. </w:t>
      </w:r>
      <w:r w:rsidRPr="009E0880">
        <w:rPr>
          <w:rStyle w:val="Emphasis"/>
          <w:sz w:val="28"/>
          <w:szCs w:val="28"/>
        </w:rPr>
        <w:t>Discourse: Studies in the Cultural Politics of Education, 46</w:t>
      </w:r>
      <w:r w:rsidRPr="009E0880">
        <w:rPr>
          <w:sz w:val="28"/>
          <w:szCs w:val="28"/>
        </w:rPr>
        <w:t xml:space="preserve">(2), 276–292. </w:t>
      </w:r>
      <w:hyperlink r:id="rId17" w:history="1">
        <w:r w:rsidRPr="009E0880">
          <w:rPr>
            <w:rStyle w:val="Hyperlink"/>
            <w:sz w:val="28"/>
            <w:szCs w:val="28"/>
          </w:rPr>
          <w:t>https://doi.org/10.1080/01596306.2024.2408397</w:t>
        </w:r>
      </w:hyperlink>
      <w:r w:rsidRPr="009E0880">
        <w:rPr>
          <w:sz w:val="28"/>
          <w:szCs w:val="28"/>
        </w:rPr>
        <w:t xml:space="preserve"> </w:t>
      </w:r>
    </w:p>
    <w:p w14:paraId="64259C65" w14:textId="096194FC" w:rsidR="002C00F4" w:rsidRPr="009E0880" w:rsidRDefault="002C00F4" w:rsidP="009E0880">
      <w:pPr>
        <w:pStyle w:val="NormalWeb"/>
        <w:jc w:val="both"/>
        <w:rPr>
          <w:sz w:val="28"/>
          <w:szCs w:val="28"/>
        </w:rPr>
      </w:pPr>
      <w:r w:rsidRPr="009E0880">
        <w:rPr>
          <w:sz w:val="28"/>
          <w:szCs w:val="28"/>
        </w:rPr>
        <w:lastRenderedPageBreak/>
        <w:t xml:space="preserve">Lê, A. V., &amp; T. M. N. (2024). Tác động của trí tuệ nhân tạo (AI) đối với hệ thống giáo dục toàn cầu và giáo dục Việt Nam [Impact of artificial intelligence (AI) on the global education system and Vietnamese education]. </w:t>
      </w:r>
      <w:r w:rsidRPr="009E0880">
        <w:rPr>
          <w:rStyle w:val="Emphasis"/>
          <w:sz w:val="28"/>
          <w:szCs w:val="28"/>
        </w:rPr>
        <w:t>Tạp chí Khoa học Giáo dục Việt Nam, 20</w:t>
      </w:r>
      <w:r w:rsidRPr="009E0880">
        <w:rPr>
          <w:sz w:val="28"/>
          <w:szCs w:val="28"/>
        </w:rPr>
        <w:t xml:space="preserve">(5), 1–11. </w:t>
      </w:r>
    </w:p>
    <w:p w14:paraId="11EDBDD0" w14:textId="77777777" w:rsidR="002C00F4" w:rsidRPr="009E0880" w:rsidRDefault="002C00F4" w:rsidP="009E0880">
      <w:pPr>
        <w:pStyle w:val="NormalWeb"/>
        <w:jc w:val="both"/>
        <w:rPr>
          <w:sz w:val="28"/>
          <w:szCs w:val="28"/>
        </w:rPr>
      </w:pPr>
      <w:r w:rsidRPr="009E0880">
        <w:rPr>
          <w:sz w:val="28"/>
          <w:szCs w:val="28"/>
        </w:rPr>
        <w:t xml:space="preserve">Li, Y., Tolosa, L., Rivas-Echeverria, F., &amp; Marquez, R. (2025). </w:t>
      </w:r>
      <w:r w:rsidRPr="009E0880">
        <w:rPr>
          <w:rStyle w:val="Emphasis"/>
          <w:sz w:val="28"/>
          <w:szCs w:val="28"/>
        </w:rPr>
        <w:t>Integrating AI in education: Navigating UNESCO global guidelines, emerging trends, and its intersection with sustainable development goals</w:t>
      </w:r>
      <w:r w:rsidRPr="009E0880">
        <w:rPr>
          <w:sz w:val="28"/>
          <w:szCs w:val="28"/>
        </w:rPr>
        <w:t xml:space="preserve">. </w:t>
      </w:r>
      <w:hyperlink r:id="rId18" w:history="1">
        <w:r w:rsidRPr="009E0880">
          <w:rPr>
            <w:rStyle w:val="Hyperlink"/>
            <w:sz w:val="28"/>
            <w:szCs w:val="28"/>
          </w:rPr>
          <w:t>https://doi.org/10.26434/chemrxiv-2025-wz4n9</w:t>
        </w:r>
      </w:hyperlink>
    </w:p>
    <w:p w14:paraId="68979659" w14:textId="77777777" w:rsidR="002C00F4" w:rsidRPr="009E0880" w:rsidRDefault="002C00F4" w:rsidP="009E0880">
      <w:pPr>
        <w:pStyle w:val="NormalWeb"/>
        <w:jc w:val="both"/>
        <w:rPr>
          <w:sz w:val="28"/>
          <w:szCs w:val="28"/>
        </w:rPr>
      </w:pPr>
      <w:r w:rsidRPr="009E0880">
        <w:rPr>
          <w:sz w:val="28"/>
          <w:szCs w:val="28"/>
        </w:rPr>
        <w:t xml:space="preserve">Ocen, S., Elasu, J., Aarakit, S. M., &amp; Olupot, C. (2025). Artificial intelligence in higher education institutions: Review of innovations, opportunities and challenges. </w:t>
      </w:r>
      <w:r w:rsidRPr="009E0880">
        <w:rPr>
          <w:rStyle w:val="Emphasis"/>
          <w:sz w:val="28"/>
          <w:szCs w:val="28"/>
        </w:rPr>
        <w:t>Frontiers in Education, 10</w:t>
      </w:r>
      <w:r w:rsidRPr="009E0880">
        <w:rPr>
          <w:sz w:val="28"/>
          <w:szCs w:val="28"/>
        </w:rPr>
        <w:t xml:space="preserve">, Article 1530247. </w:t>
      </w:r>
      <w:hyperlink r:id="rId19" w:history="1">
        <w:r w:rsidRPr="009E0880">
          <w:rPr>
            <w:rStyle w:val="Hyperlink"/>
            <w:sz w:val="28"/>
            <w:szCs w:val="28"/>
          </w:rPr>
          <w:t>https://doi.org/10.3389/feduc.2025.1530247</w:t>
        </w:r>
      </w:hyperlink>
    </w:p>
    <w:p w14:paraId="1A6FC09B" w14:textId="77777777" w:rsidR="002C00F4" w:rsidRPr="009E0880" w:rsidRDefault="002C00F4" w:rsidP="009E0880">
      <w:pPr>
        <w:pStyle w:val="NormalWeb"/>
        <w:jc w:val="both"/>
        <w:rPr>
          <w:sz w:val="28"/>
          <w:szCs w:val="28"/>
        </w:rPr>
      </w:pPr>
      <w:r w:rsidRPr="009E0880">
        <w:rPr>
          <w:sz w:val="28"/>
          <w:szCs w:val="28"/>
        </w:rPr>
        <w:t xml:space="preserve">Oncioiu, I., &amp; Bularca, A. R. (2025). Artificial intelligence governance in higher education: The role of knowledge-based strategies in fostering legal awareness and ethical artificial intelligence literacy. </w:t>
      </w:r>
      <w:r w:rsidRPr="009E0880">
        <w:rPr>
          <w:rStyle w:val="Emphasis"/>
          <w:sz w:val="28"/>
          <w:szCs w:val="28"/>
        </w:rPr>
        <w:t>Societies, 15</w:t>
      </w:r>
      <w:r w:rsidRPr="009E0880">
        <w:rPr>
          <w:sz w:val="28"/>
          <w:szCs w:val="28"/>
        </w:rPr>
        <w:t xml:space="preserve">(6), Article 144. </w:t>
      </w:r>
      <w:hyperlink r:id="rId20" w:history="1">
        <w:r w:rsidRPr="009E0880">
          <w:rPr>
            <w:rStyle w:val="Hyperlink"/>
            <w:sz w:val="28"/>
            <w:szCs w:val="28"/>
          </w:rPr>
          <w:t>https://doi.org/10.3390/soc15060144</w:t>
        </w:r>
      </w:hyperlink>
    </w:p>
    <w:p w14:paraId="4C3CBFD7" w14:textId="77777777" w:rsidR="002C00F4" w:rsidRPr="009E0880" w:rsidRDefault="002C00F4" w:rsidP="009E0880">
      <w:pPr>
        <w:pStyle w:val="NormalWeb"/>
        <w:jc w:val="both"/>
        <w:rPr>
          <w:sz w:val="28"/>
          <w:szCs w:val="28"/>
        </w:rPr>
      </w:pPr>
      <w:r w:rsidRPr="009E0880">
        <w:rPr>
          <w:sz w:val="28"/>
          <w:szCs w:val="28"/>
        </w:rPr>
        <w:t xml:space="preserve">Pombo, L., Morais, N. S., Batista, J., Pinto, M., Coelho, D., &amp; Moreira, A. (2016). The use of communication technologies in higher education in Portugal: Best practices and future trends. In </w:t>
      </w:r>
      <w:r w:rsidRPr="009E0880">
        <w:rPr>
          <w:rStyle w:val="Emphasis"/>
          <w:sz w:val="28"/>
          <w:szCs w:val="28"/>
        </w:rPr>
        <w:t>ICT in education: Multiple and inclusive perspectives</w:t>
      </w:r>
      <w:r w:rsidRPr="009E0880">
        <w:rPr>
          <w:sz w:val="28"/>
          <w:szCs w:val="28"/>
        </w:rPr>
        <w:t xml:space="preserve"> (pp. 1–20). Springer International Publishing. </w:t>
      </w:r>
      <w:hyperlink r:id="rId21" w:history="1">
        <w:r w:rsidRPr="009E0880">
          <w:rPr>
            <w:rStyle w:val="Hyperlink"/>
            <w:sz w:val="28"/>
            <w:szCs w:val="28"/>
          </w:rPr>
          <w:t>https://doi.org/10.1007/978-3-319-22900-3_1</w:t>
        </w:r>
      </w:hyperlink>
    </w:p>
    <w:p w14:paraId="51988A86" w14:textId="77777777" w:rsidR="002C00F4" w:rsidRPr="009E0880" w:rsidRDefault="002C00F4" w:rsidP="009E0880">
      <w:pPr>
        <w:pStyle w:val="NormalWeb"/>
        <w:jc w:val="both"/>
        <w:rPr>
          <w:sz w:val="28"/>
          <w:szCs w:val="28"/>
        </w:rPr>
      </w:pPr>
      <w:r w:rsidRPr="009E0880">
        <w:rPr>
          <w:sz w:val="28"/>
          <w:szCs w:val="28"/>
        </w:rPr>
        <w:t xml:space="preserve">Saúde, S., Barros, J. P., &amp; Almeida, I. (2024). Impacts of generative artificial intelligence in higher education: Research trends and students’ perceptions. </w:t>
      </w:r>
      <w:r w:rsidRPr="009E0880">
        <w:rPr>
          <w:rStyle w:val="Emphasis"/>
          <w:sz w:val="28"/>
          <w:szCs w:val="28"/>
        </w:rPr>
        <w:t>Social Sciences, 13</w:t>
      </w:r>
      <w:r w:rsidRPr="009E0880">
        <w:rPr>
          <w:sz w:val="28"/>
          <w:szCs w:val="28"/>
        </w:rPr>
        <w:t xml:space="preserve">(8), Article 410. </w:t>
      </w:r>
      <w:hyperlink r:id="rId22" w:history="1">
        <w:r w:rsidRPr="009E0880">
          <w:rPr>
            <w:rStyle w:val="Hyperlink"/>
            <w:sz w:val="28"/>
            <w:szCs w:val="28"/>
          </w:rPr>
          <w:t>https://doi.org/10.3390/socsci13080410</w:t>
        </w:r>
      </w:hyperlink>
    </w:p>
    <w:p w14:paraId="64071457" w14:textId="77777777" w:rsidR="002C00F4" w:rsidRPr="009E0880" w:rsidRDefault="002C00F4" w:rsidP="009E0880">
      <w:pPr>
        <w:pStyle w:val="NormalWeb"/>
        <w:jc w:val="both"/>
        <w:rPr>
          <w:sz w:val="28"/>
          <w:szCs w:val="28"/>
        </w:rPr>
      </w:pPr>
      <w:r w:rsidRPr="009E0880">
        <w:rPr>
          <w:sz w:val="28"/>
          <w:szCs w:val="28"/>
        </w:rPr>
        <w:t xml:space="preserve">Selvaratnam, R., &amp; Venaruzzo, L. (2024). Human-centered approach to the governance of AI in higher education: Principles of international practice. </w:t>
      </w:r>
      <w:r w:rsidRPr="009E0880">
        <w:rPr>
          <w:rStyle w:val="Emphasis"/>
          <w:sz w:val="28"/>
          <w:szCs w:val="28"/>
        </w:rPr>
        <w:t>Journal of Ethics in Higher Education, 5</w:t>
      </w:r>
      <w:r w:rsidRPr="009E0880">
        <w:rPr>
          <w:sz w:val="28"/>
          <w:szCs w:val="28"/>
        </w:rPr>
        <w:t xml:space="preserve">, 79–102. </w:t>
      </w:r>
      <w:hyperlink r:id="rId23" w:history="1">
        <w:r w:rsidRPr="009E0880">
          <w:rPr>
            <w:rStyle w:val="Hyperlink"/>
            <w:sz w:val="28"/>
            <w:szCs w:val="28"/>
          </w:rPr>
          <w:t>https://doi.org/10.26034/fr.jehe.2024.6864</w:t>
        </w:r>
      </w:hyperlink>
    </w:p>
    <w:p w14:paraId="7EA42964" w14:textId="77777777" w:rsidR="002C00F4" w:rsidRPr="009E0880" w:rsidRDefault="002C00F4" w:rsidP="009E0880">
      <w:pPr>
        <w:pStyle w:val="NormalWeb"/>
        <w:jc w:val="both"/>
        <w:rPr>
          <w:sz w:val="28"/>
          <w:szCs w:val="28"/>
        </w:rPr>
      </w:pPr>
      <w:r w:rsidRPr="009E0880">
        <w:rPr>
          <w:sz w:val="28"/>
          <w:szCs w:val="28"/>
        </w:rPr>
        <w:t xml:space="preserve">Shwedeh, F., Salloum, S. A., Aburayya, A., Fatin, B., Elbadawi, M. A., Al Ghurabli, Z., &amp; Al Dabbagh, T. (2024). AI adoption and educational sustainability in higher education in the UAE. In </w:t>
      </w:r>
      <w:r w:rsidRPr="009E0880">
        <w:rPr>
          <w:rStyle w:val="Emphasis"/>
          <w:sz w:val="28"/>
          <w:szCs w:val="28"/>
        </w:rPr>
        <w:t>Artificial intelligence in education: The power and dangers of ChatGPT in the classroom</w:t>
      </w:r>
      <w:r w:rsidRPr="009E0880">
        <w:rPr>
          <w:sz w:val="28"/>
          <w:szCs w:val="28"/>
        </w:rPr>
        <w:t xml:space="preserve"> (pp. 201–229). Springer Nature Switzerland. </w:t>
      </w:r>
      <w:hyperlink r:id="rId24" w:history="1">
        <w:r w:rsidRPr="009E0880">
          <w:rPr>
            <w:rStyle w:val="Hyperlink"/>
            <w:sz w:val="28"/>
            <w:szCs w:val="28"/>
          </w:rPr>
          <w:t>https://doi.org/10.1007/978-3-031-52280-2_14</w:t>
        </w:r>
      </w:hyperlink>
    </w:p>
    <w:p w14:paraId="7AD4CEB8" w14:textId="136E923D" w:rsidR="002C00F4" w:rsidRPr="009E0880" w:rsidRDefault="002C00F4" w:rsidP="009E0880">
      <w:pPr>
        <w:pStyle w:val="NormalWeb"/>
        <w:jc w:val="both"/>
        <w:rPr>
          <w:sz w:val="28"/>
          <w:szCs w:val="28"/>
        </w:rPr>
      </w:pPr>
      <w:r w:rsidRPr="009E0880">
        <w:rPr>
          <w:sz w:val="28"/>
          <w:szCs w:val="28"/>
        </w:rPr>
        <w:t xml:space="preserve">Tuan Sulaiman, T. F., &amp; Abdul Ghadas, Z. A. (2021). Corporate governance models for higher educational institutions: An analysis. </w:t>
      </w:r>
      <w:r w:rsidRPr="009E0880">
        <w:rPr>
          <w:rStyle w:val="Emphasis"/>
          <w:sz w:val="28"/>
          <w:szCs w:val="28"/>
        </w:rPr>
        <w:t>Pertanika Journal of Social Sciences &amp; Humanities, 29</w:t>
      </w:r>
      <w:r w:rsidRPr="009E0880">
        <w:rPr>
          <w:sz w:val="28"/>
          <w:szCs w:val="28"/>
        </w:rPr>
        <w:t xml:space="preserve">(S2). </w:t>
      </w:r>
      <w:hyperlink r:id="rId25" w:history="1">
        <w:r w:rsidRPr="009E0880">
          <w:rPr>
            <w:rStyle w:val="Hyperlink"/>
            <w:sz w:val="28"/>
            <w:szCs w:val="28"/>
          </w:rPr>
          <w:t>https://doi.org/10.47836/pjssh.29.s2.11</w:t>
        </w:r>
      </w:hyperlink>
      <w:r w:rsidRPr="009E0880">
        <w:rPr>
          <w:sz w:val="28"/>
          <w:szCs w:val="28"/>
        </w:rPr>
        <w:t xml:space="preserve"> </w:t>
      </w:r>
    </w:p>
    <w:p w14:paraId="510B708A" w14:textId="77777777" w:rsidR="002C00F4" w:rsidRPr="009E0880" w:rsidRDefault="002C00F4" w:rsidP="009E0880">
      <w:pPr>
        <w:pStyle w:val="NormalWeb"/>
        <w:jc w:val="both"/>
        <w:rPr>
          <w:sz w:val="28"/>
          <w:szCs w:val="28"/>
        </w:rPr>
      </w:pPr>
      <w:r w:rsidRPr="009E0880">
        <w:rPr>
          <w:sz w:val="28"/>
          <w:szCs w:val="28"/>
        </w:rPr>
        <w:lastRenderedPageBreak/>
        <w:t xml:space="preserve">Wu, C., Zhang, H., &amp; Carroll, J. M. (2024). AI governance in higher education: Case studies of guidance at Big Ten universities. </w:t>
      </w:r>
      <w:r w:rsidRPr="009E0880">
        <w:rPr>
          <w:rStyle w:val="Emphasis"/>
          <w:sz w:val="28"/>
          <w:szCs w:val="28"/>
        </w:rPr>
        <w:t>arXiv</w:t>
      </w:r>
      <w:r w:rsidRPr="009E0880">
        <w:rPr>
          <w:sz w:val="28"/>
          <w:szCs w:val="28"/>
        </w:rPr>
        <w:t xml:space="preserve">. </w:t>
      </w:r>
      <w:hyperlink r:id="rId26" w:history="1">
        <w:r w:rsidRPr="009E0880">
          <w:rPr>
            <w:rStyle w:val="Hyperlink"/>
            <w:sz w:val="28"/>
            <w:szCs w:val="28"/>
          </w:rPr>
          <w:t>https://doi.org/10.48550/arXiv.2409.02017</w:t>
        </w:r>
      </w:hyperlink>
    </w:p>
    <w:p w14:paraId="3EE9362D" w14:textId="4D61E7F6" w:rsidR="002C00F4" w:rsidRPr="009E0880" w:rsidRDefault="002C00F4" w:rsidP="009E0880">
      <w:pPr>
        <w:pStyle w:val="NormalWeb"/>
        <w:jc w:val="both"/>
        <w:rPr>
          <w:sz w:val="28"/>
          <w:szCs w:val="28"/>
        </w:rPr>
      </w:pPr>
      <w:r w:rsidRPr="009E0880">
        <w:rPr>
          <w:sz w:val="28"/>
          <w:szCs w:val="28"/>
        </w:rPr>
        <w:t xml:space="preserve">Yusuf, A., Pervin, N., &amp; Román-González, M. (2024). Generative AI and the future of higher education: A threat to academic integrity or reformation? Evidence from multicultural perspectives. </w:t>
      </w:r>
      <w:r w:rsidRPr="009E0880">
        <w:rPr>
          <w:rStyle w:val="Emphasis"/>
          <w:sz w:val="28"/>
          <w:szCs w:val="28"/>
        </w:rPr>
        <w:t>International Journal of Educational Technology in Higher Education, 21</w:t>
      </w:r>
      <w:r w:rsidRPr="009E0880">
        <w:rPr>
          <w:sz w:val="28"/>
          <w:szCs w:val="28"/>
        </w:rPr>
        <w:t xml:space="preserve">(1), Article 21. </w:t>
      </w:r>
    </w:p>
    <w:p w14:paraId="2A06A99F" w14:textId="765B05E8" w:rsidR="007A4E3E" w:rsidRPr="00657394" w:rsidRDefault="002C00F4" w:rsidP="00855E36">
      <w:pPr>
        <w:pStyle w:val="NormalWeb"/>
        <w:spacing w:before="0" w:beforeAutospacing="0" w:after="60" w:afterAutospacing="0" w:line="276" w:lineRule="auto"/>
        <w:jc w:val="both"/>
        <w:rPr>
          <w:sz w:val="28"/>
          <w:szCs w:val="28"/>
          <w:u w:val="single"/>
        </w:rPr>
      </w:pPr>
      <w:r w:rsidRPr="009E0880">
        <w:rPr>
          <w:sz w:val="28"/>
          <w:szCs w:val="28"/>
        </w:rPr>
        <w:t xml:space="preserve">Zhang, X. (2018). Frugal innovation and the digital divide: Developing an extended model of the diffusion of innovations. </w:t>
      </w:r>
      <w:r w:rsidRPr="009E0880">
        <w:rPr>
          <w:rStyle w:val="Emphasis"/>
          <w:sz w:val="28"/>
          <w:szCs w:val="28"/>
        </w:rPr>
        <w:t>International Journal of Innovation Studies, 2</w:t>
      </w:r>
      <w:r w:rsidRPr="009E0880">
        <w:rPr>
          <w:sz w:val="28"/>
          <w:szCs w:val="28"/>
        </w:rPr>
        <w:t xml:space="preserve">(2), 53–64. </w:t>
      </w:r>
      <w:hyperlink r:id="rId27" w:history="1">
        <w:r w:rsidRPr="009E0880">
          <w:rPr>
            <w:rStyle w:val="Hyperlink"/>
            <w:sz w:val="28"/>
            <w:szCs w:val="28"/>
          </w:rPr>
          <w:t>https://doi.org/10.1016/j.ijis.2018.06.001</w:t>
        </w:r>
      </w:hyperlink>
    </w:p>
    <w:p w14:paraId="4537C2BB" w14:textId="2FACAC67" w:rsidR="009F4D38" w:rsidRDefault="00D26C15" w:rsidP="001725C2">
      <w:pPr>
        <w:pStyle w:val="NormalWeb"/>
        <w:spacing w:before="0" w:beforeAutospacing="0" w:after="60" w:afterAutospacing="0" w:line="276" w:lineRule="auto"/>
        <w:jc w:val="both"/>
        <w:rPr>
          <w:b/>
          <w:sz w:val="28"/>
          <w:szCs w:val="28"/>
        </w:rPr>
      </w:pPr>
      <w:r>
        <w:rPr>
          <w:b/>
          <w:sz w:val="28"/>
          <w:szCs w:val="28"/>
        </w:rPr>
        <w:t>Author’s biology:</w:t>
      </w:r>
    </w:p>
    <w:p w14:paraId="69539352" w14:textId="77777777" w:rsidR="00D26C15" w:rsidRPr="009E0880" w:rsidRDefault="00D26C15" w:rsidP="009E0880">
      <w:pPr>
        <w:spacing w:after="60" w:line="276" w:lineRule="auto"/>
        <w:rPr>
          <w:rFonts w:cs="Times New Roman"/>
          <w:bCs/>
          <w:szCs w:val="28"/>
          <w:lang w:val="en-US"/>
        </w:rPr>
      </w:pPr>
      <w:r w:rsidRPr="009E0880">
        <w:rPr>
          <w:rFonts w:cs="Times New Roman"/>
          <w:bCs/>
          <w:szCs w:val="28"/>
          <w:lang w:val="en-US"/>
        </w:rPr>
        <w:t>Nguyen Huyen Quang</w:t>
      </w:r>
    </w:p>
    <w:p w14:paraId="4647AD05" w14:textId="77777777" w:rsidR="00D26C15" w:rsidRPr="009E0880" w:rsidRDefault="00D26C15" w:rsidP="009E0880">
      <w:pPr>
        <w:spacing w:after="60" w:line="276" w:lineRule="auto"/>
        <w:rPr>
          <w:rFonts w:cs="Times New Roman"/>
          <w:bCs/>
          <w:szCs w:val="28"/>
          <w:lang w:val="en-US"/>
        </w:rPr>
      </w:pPr>
      <w:r w:rsidRPr="009E0880">
        <w:rPr>
          <w:rFonts w:cs="Times New Roman"/>
          <w:bCs/>
          <w:szCs w:val="28"/>
          <w:lang w:val="en-US"/>
        </w:rPr>
        <w:t xml:space="preserve">Ho Chi Minh City University of Technology </w:t>
      </w:r>
    </w:p>
    <w:p w14:paraId="63679F85" w14:textId="77777777" w:rsidR="00D26C15" w:rsidRDefault="00D26C15" w:rsidP="001725C2">
      <w:pPr>
        <w:pStyle w:val="NormalWeb"/>
        <w:spacing w:before="0" w:beforeAutospacing="0" w:after="60" w:afterAutospacing="0" w:line="276" w:lineRule="auto"/>
        <w:jc w:val="both"/>
        <w:rPr>
          <w:b/>
          <w:sz w:val="28"/>
          <w:szCs w:val="28"/>
        </w:rPr>
      </w:pPr>
    </w:p>
    <w:p w14:paraId="6662DDFB" w14:textId="77BFA35A" w:rsidR="00952D54" w:rsidRDefault="00952D54" w:rsidP="00952D54">
      <w:pPr>
        <w:spacing w:after="0" w:line="360" w:lineRule="auto"/>
        <w:rPr>
          <w:szCs w:val="28"/>
        </w:rPr>
      </w:pPr>
      <w:r>
        <w:rPr>
          <w:szCs w:val="28"/>
        </w:rPr>
        <w:t xml:space="preserve">Received date: </w:t>
      </w:r>
      <w:r w:rsidR="002C6FD1">
        <w:rPr>
          <w:szCs w:val="28"/>
          <w:lang w:val="en-US"/>
        </w:rPr>
        <w:t>March 22</w:t>
      </w:r>
      <w:r>
        <w:rPr>
          <w:szCs w:val="28"/>
        </w:rPr>
        <w:t>, 2026</w:t>
      </w:r>
    </w:p>
    <w:p w14:paraId="79EAC317" w14:textId="6F334311" w:rsidR="00952D54" w:rsidRDefault="00952D54" w:rsidP="00952D54">
      <w:pPr>
        <w:spacing w:after="0" w:line="360" w:lineRule="auto"/>
        <w:rPr>
          <w:szCs w:val="28"/>
        </w:rPr>
      </w:pPr>
      <w:r>
        <w:rPr>
          <w:szCs w:val="28"/>
        </w:rPr>
        <w:t xml:space="preserve">Revised date: April </w:t>
      </w:r>
      <w:r w:rsidR="002C6FD1">
        <w:rPr>
          <w:szCs w:val="28"/>
          <w:lang w:val="en-US"/>
        </w:rPr>
        <w:t>15</w:t>
      </w:r>
      <w:r>
        <w:rPr>
          <w:szCs w:val="28"/>
        </w:rPr>
        <w:t>, 2026</w:t>
      </w:r>
    </w:p>
    <w:p w14:paraId="51F41C25" w14:textId="00E39ECD" w:rsidR="00952D54" w:rsidRPr="009E0880" w:rsidRDefault="00952D54" w:rsidP="009E0880">
      <w:pPr>
        <w:spacing w:after="0" w:line="360" w:lineRule="auto"/>
        <w:rPr>
          <w:szCs w:val="28"/>
        </w:rPr>
      </w:pPr>
      <w:r>
        <w:rPr>
          <w:szCs w:val="28"/>
        </w:rPr>
        <w:t xml:space="preserve">Accepted for publication date: </w:t>
      </w:r>
      <w:r w:rsidR="002C6FD1">
        <w:rPr>
          <w:szCs w:val="28"/>
          <w:lang w:val="en-US"/>
        </w:rPr>
        <w:t>April</w:t>
      </w:r>
      <w:r>
        <w:rPr>
          <w:szCs w:val="28"/>
        </w:rPr>
        <w:t xml:space="preserve"> 2</w:t>
      </w:r>
      <w:r w:rsidR="002C6FD1">
        <w:rPr>
          <w:szCs w:val="28"/>
          <w:lang w:val="en-US"/>
        </w:rPr>
        <w:t>7</w:t>
      </w:r>
      <w:r>
        <w:rPr>
          <w:szCs w:val="28"/>
        </w:rPr>
        <w:t>, 2026</w:t>
      </w:r>
    </w:p>
    <w:p w14:paraId="4CF91D43" w14:textId="77777777" w:rsidR="009F4D38" w:rsidRDefault="009F4D38" w:rsidP="009E0880">
      <w:pPr>
        <w:pStyle w:val="NormalWeb"/>
        <w:spacing w:before="0" w:beforeAutospacing="0" w:after="60" w:afterAutospacing="0" w:line="276" w:lineRule="auto"/>
        <w:jc w:val="center"/>
        <w:rPr>
          <w:b/>
          <w:sz w:val="28"/>
          <w:szCs w:val="28"/>
        </w:rPr>
      </w:pPr>
    </w:p>
    <w:p w14:paraId="77B40410" w14:textId="6AF0A7DD" w:rsidR="00576373" w:rsidRPr="00BC5E10" w:rsidRDefault="009F4D38" w:rsidP="009E0880">
      <w:pPr>
        <w:pStyle w:val="NormalWeb"/>
        <w:spacing w:before="0" w:beforeAutospacing="0" w:after="60" w:afterAutospacing="0" w:line="276" w:lineRule="auto"/>
        <w:jc w:val="center"/>
        <w:rPr>
          <w:b/>
          <w:sz w:val="28"/>
          <w:szCs w:val="28"/>
        </w:rPr>
      </w:pPr>
      <w:r>
        <w:rPr>
          <w:b/>
          <w:sz w:val="28"/>
          <w:szCs w:val="28"/>
        </w:rPr>
        <w:t>C</w:t>
      </w:r>
      <w:r w:rsidRPr="00BC5E10">
        <w:rPr>
          <w:b/>
          <w:sz w:val="28"/>
          <w:szCs w:val="28"/>
        </w:rPr>
        <w:t xml:space="preserve">huyển đổi số và trí tuệ nhân tạo trong giáo dục: </w:t>
      </w:r>
      <w:r>
        <w:rPr>
          <w:b/>
          <w:sz w:val="28"/>
          <w:szCs w:val="28"/>
        </w:rPr>
        <w:t>H</w:t>
      </w:r>
      <w:r w:rsidRPr="00BC5E10">
        <w:rPr>
          <w:b/>
          <w:sz w:val="28"/>
          <w:szCs w:val="28"/>
        </w:rPr>
        <w:t>àm ý đối với quản trị hiện đại</w:t>
      </w:r>
    </w:p>
    <w:p w14:paraId="500CCF86" w14:textId="77777777" w:rsidR="00576373" w:rsidRPr="00BC5E10" w:rsidRDefault="00576373" w:rsidP="009E0880">
      <w:pPr>
        <w:pStyle w:val="NormalWeb"/>
        <w:spacing w:before="0" w:beforeAutospacing="0" w:after="60" w:afterAutospacing="0" w:line="276" w:lineRule="auto"/>
        <w:jc w:val="center"/>
        <w:rPr>
          <w:b/>
          <w:sz w:val="28"/>
          <w:szCs w:val="28"/>
        </w:rPr>
      </w:pPr>
      <w:r w:rsidRPr="00BC5E10">
        <w:rPr>
          <w:b/>
          <w:sz w:val="28"/>
          <w:szCs w:val="28"/>
        </w:rPr>
        <w:t>Nguyễn Huyền Quang</w:t>
      </w:r>
    </w:p>
    <w:p w14:paraId="16822F4F" w14:textId="71DDF0BE" w:rsidR="00576373" w:rsidRPr="00BC5E10" w:rsidRDefault="005947CF" w:rsidP="009E0880">
      <w:pPr>
        <w:pStyle w:val="NormalWeb"/>
        <w:spacing w:before="0" w:beforeAutospacing="0" w:after="60" w:afterAutospacing="0" w:line="276" w:lineRule="auto"/>
        <w:jc w:val="center"/>
        <w:rPr>
          <w:b/>
          <w:sz w:val="28"/>
          <w:szCs w:val="28"/>
        </w:rPr>
      </w:pPr>
      <w:r>
        <w:rPr>
          <w:b/>
          <w:sz w:val="28"/>
          <w:szCs w:val="28"/>
        </w:rPr>
        <w:t xml:space="preserve">Trường </w:t>
      </w:r>
      <w:r w:rsidR="00576373" w:rsidRPr="00BC5E10">
        <w:rPr>
          <w:b/>
          <w:sz w:val="28"/>
          <w:szCs w:val="28"/>
        </w:rPr>
        <w:t>Đại học Công nghệ thành phố Hồ Chí Minh</w:t>
      </w:r>
    </w:p>
    <w:p w14:paraId="1B5DA532" w14:textId="061E681B" w:rsidR="00576373" w:rsidRPr="00BC5E10" w:rsidRDefault="00576373" w:rsidP="001725C2">
      <w:pPr>
        <w:pStyle w:val="NormalWeb"/>
        <w:spacing w:before="0" w:beforeAutospacing="0" w:after="60" w:afterAutospacing="0" w:line="276" w:lineRule="auto"/>
        <w:jc w:val="both"/>
        <w:rPr>
          <w:sz w:val="28"/>
          <w:szCs w:val="28"/>
        </w:rPr>
      </w:pPr>
      <w:r w:rsidRPr="00BC5E10">
        <w:rPr>
          <w:rStyle w:val="Strong"/>
          <w:sz w:val="28"/>
          <w:szCs w:val="28"/>
        </w:rPr>
        <w:t>Tóm tắt</w:t>
      </w:r>
      <w:r w:rsidR="00BC5E10">
        <w:rPr>
          <w:rStyle w:val="Strong"/>
          <w:sz w:val="28"/>
          <w:szCs w:val="28"/>
        </w:rPr>
        <w:t>:</w:t>
      </w:r>
    </w:p>
    <w:p w14:paraId="72972B2E" w14:textId="0D7BBEA1" w:rsidR="00576373" w:rsidRPr="00BC5E10" w:rsidRDefault="00576373" w:rsidP="001725C2">
      <w:pPr>
        <w:pStyle w:val="NormalWeb"/>
        <w:spacing w:before="0" w:beforeAutospacing="0" w:after="60" w:afterAutospacing="0" w:line="276" w:lineRule="auto"/>
        <w:jc w:val="both"/>
        <w:rPr>
          <w:sz w:val="28"/>
          <w:szCs w:val="28"/>
        </w:rPr>
      </w:pPr>
      <w:r w:rsidRPr="00BC5E10">
        <w:rPr>
          <w:sz w:val="28"/>
          <w:szCs w:val="28"/>
        </w:rPr>
        <w:t xml:space="preserve">Công nghệ số đang nhanh chóng làm thay đổi giáo dục đại học, tác động sâu sắc đến hoạt động giảng dạy, nghiên cứu và quản trị của các trường đại học. Trí tuệ nhân tạo </w:t>
      </w:r>
      <w:r w:rsidR="004F37CF">
        <w:rPr>
          <w:sz w:val="28"/>
          <w:szCs w:val="28"/>
        </w:rPr>
        <w:t>(</w:t>
      </w:r>
      <w:r w:rsidR="007D5ACA" w:rsidRPr="00BC5E10">
        <w:rPr>
          <w:sz w:val="28"/>
          <w:szCs w:val="28"/>
        </w:rPr>
        <w:t>AI</w:t>
      </w:r>
      <w:r w:rsidR="004F37CF">
        <w:rPr>
          <w:sz w:val="28"/>
          <w:szCs w:val="28"/>
        </w:rPr>
        <w:t>)</w:t>
      </w:r>
      <w:r w:rsidR="007D5ACA" w:rsidRPr="00BC5E10">
        <w:rPr>
          <w:sz w:val="28"/>
          <w:szCs w:val="28"/>
        </w:rPr>
        <w:t xml:space="preserve"> </w:t>
      </w:r>
      <w:r w:rsidRPr="00BC5E10">
        <w:rPr>
          <w:sz w:val="28"/>
          <w:szCs w:val="28"/>
        </w:rPr>
        <w:t xml:space="preserve">và các công nghệ thông minh đóng vai trò quan trọng trong quá trình này khi góp phần nâng cao hiệu quả, hỗ trợ ra quyết định và tăng cường tính trách nhiệm giải trình. Nghiên cứu này phân tích các cơ hội và thách thức trong việc ứng dụng AI và công nghệ thông minh vào quản trị giáo dục đại học. Kết quả cho thấy AI và công nghệ thông minh mang lại nhiều lợi ích đáng kể như nâng cao năng lực hoạch định, tối ưu hóa việc sử dụng nguồn lực và tăng cường </w:t>
      </w:r>
      <w:r w:rsidR="00F5448A" w:rsidRPr="00BC5E10">
        <w:rPr>
          <w:sz w:val="28"/>
          <w:szCs w:val="28"/>
        </w:rPr>
        <w:t xml:space="preserve">tính minh bạch. Tuy nhiên, </w:t>
      </w:r>
      <w:r w:rsidR="00A632FF">
        <w:rPr>
          <w:sz w:val="28"/>
          <w:szCs w:val="28"/>
        </w:rPr>
        <w:t xml:space="preserve">việc </w:t>
      </w:r>
      <w:r w:rsidRPr="00BC5E10">
        <w:rPr>
          <w:sz w:val="28"/>
          <w:szCs w:val="28"/>
        </w:rPr>
        <w:t xml:space="preserve">triển khai các công nghệ này cũng đặt ra nhiều rủi ro, bao gồm bất bình đẳng trong tiếp cận, các vấn đề đạo đức, lo ngại về quyền riêng tư và sự thiên lệch trong kết quả ra quyết định. Để ứng phó với những thách thức </w:t>
      </w:r>
      <w:r w:rsidR="004D7932">
        <w:rPr>
          <w:sz w:val="28"/>
          <w:szCs w:val="28"/>
        </w:rPr>
        <w:lastRenderedPageBreak/>
        <w:t>trên</w:t>
      </w:r>
      <w:r w:rsidRPr="00BC5E10">
        <w:rPr>
          <w:sz w:val="28"/>
          <w:szCs w:val="28"/>
        </w:rPr>
        <w:t xml:space="preserve">, </w:t>
      </w:r>
      <w:r w:rsidR="002A3399">
        <w:rPr>
          <w:sz w:val="28"/>
          <w:szCs w:val="28"/>
        </w:rPr>
        <w:t>nghiên cứu này</w:t>
      </w:r>
      <w:r w:rsidRPr="00BC5E10">
        <w:rPr>
          <w:sz w:val="28"/>
          <w:szCs w:val="28"/>
        </w:rPr>
        <w:t xml:space="preserve"> đề xuất việc xây dựng các quy định rõ ràng, đầu tư nâng cao hạ tầng công nghệ và thực hiện đánh giá thường xuyên trong quá trình triển khai.</w:t>
      </w:r>
    </w:p>
    <w:p w14:paraId="2C607082" w14:textId="5720F5DB" w:rsidR="005C02D2" w:rsidRDefault="00576373" w:rsidP="001725C2">
      <w:pPr>
        <w:pStyle w:val="NormalWeb"/>
        <w:spacing w:before="0" w:beforeAutospacing="0" w:after="60" w:afterAutospacing="0" w:line="276" w:lineRule="auto"/>
        <w:jc w:val="both"/>
        <w:rPr>
          <w:sz w:val="28"/>
          <w:szCs w:val="28"/>
        </w:rPr>
      </w:pPr>
      <w:r w:rsidRPr="00BC5E10">
        <w:rPr>
          <w:rStyle w:val="Strong"/>
          <w:sz w:val="28"/>
          <w:szCs w:val="28"/>
        </w:rPr>
        <w:t>Từ khóa:</w:t>
      </w:r>
      <w:r w:rsidRPr="00BC5E10">
        <w:rPr>
          <w:sz w:val="28"/>
          <w:szCs w:val="28"/>
        </w:rPr>
        <w:t xml:space="preserve"> </w:t>
      </w:r>
      <w:r w:rsidR="00BC5E10">
        <w:rPr>
          <w:sz w:val="28"/>
          <w:szCs w:val="28"/>
        </w:rPr>
        <w:t>t</w:t>
      </w:r>
      <w:r w:rsidRPr="00BC5E10">
        <w:rPr>
          <w:sz w:val="28"/>
          <w:szCs w:val="28"/>
        </w:rPr>
        <w:t>rí tuệ nhân tạo, chuyển đổi số, quản trị giáo dục đại học, công nghệ thông minh</w:t>
      </w:r>
      <w:r w:rsidR="00BC5E10">
        <w:rPr>
          <w:sz w:val="28"/>
          <w:szCs w:val="28"/>
        </w:rPr>
        <w:t>.</w:t>
      </w:r>
    </w:p>
    <w:p w14:paraId="0B071E66" w14:textId="77777777" w:rsidR="006D6F90" w:rsidRPr="00BC5E10" w:rsidRDefault="006D6F90" w:rsidP="001725C2">
      <w:pPr>
        <w:pStyle w:val="NormalWeb"/>
        <w:spacing w:before="0" w:beforeAutospacing="0" w:after="60" w:afterAutospacing="0" w:line="276" w:lineRule="auto"/>
        <w:jc w:val="both"/>
        <w:rPr>
          <w:sz w:val="28"/>
          <w:szCs w:val="28"/>
        </w:rPr>
      </w:pPr>
    </w:p>
    <w:sectPr w:rsidR="006D6F90" w:rsidRPr="00BC5E10" w:rsidSect="00C03508">
      <w:footerReference w:type="default" r:id="rId2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556CC" w14:textId="77777777" w:rsidR="00E87DBD" w:rsidRDefault="00E87DBD" w:rsidP="00AD1FC9">
      <w:pPr>
        <w:spacing w:after="0" w:line="240" w:lineRule="auto"/>
      </w:pPr>
      <w:r>
        <w:separator/>
      </w:r>
    </w:p>
  </w:endnote>
  <w:endnote w:type="continuationSeparator" w:id="0">
    <w:p w14:paraId="79777570" w14:textId="77777777" w:rsidR="00E87DBD" w:rsidRDefault="00E87DBD" w:rsidP="00AD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01334"/>
      <w:docPartObj>
        <w:docPartGallery w:val="Page Numbers (Bottom of Page)"/>
        <w:docPartUnique/>
      </w:docPartObj>
    </w:sdtPr>
    <w:sdtEndPr>
      <w:rPr>
        <w:noProof/>
        <w:sz w:val="24"/>
        <w:szCs w:val="24"/>
      </w:rPr>
    </w:sdtEndPr>
    <w:sdtContent>
      <w:p w14:paraId="1D6D773A" w14:textId="77777777" w:rsidR="00AD1FC9" w:rsidRPr="00AD1FC9" w:rsidRDefault="00AD1FC9">
        <w:pPr>
          <w:pStyle w:val="Footer"/>
          <w:jc w:val="center"/>
          <w:rPr>
            <w:sz w:val="24"/>
            <w:szCs w:val="24"/>
          </w:rPr>
        </w:pPr>
        <w:r w:rsidRPr="00AD1FC9">
          <w:rPr>
            <w:sz w:val="24"/>
            <w:szCs w:val="24"/>
          </w:rPr>
          <w:fldChar w:fldCharType="begin"/>
        </w:r>
        <w:r w:rsidRPr="00AD1FC9">
          <w:rPr>
            <w:sz w:val="24"/>
            <w:szCs w:val="24"/>
          </w:rPr>
          <w:instrText xml:space="preserve"> PAGE   \* MERGEFORMAT </w:instrText>
        </w:r>
        <w:r w:rsidRPr="00AD1FC9">
          <w:rPr>
            <w:sz w:val="24"/>
            <w:szCs w:val="24"/>
          </w:rPr>
          <w:fldChar w:fldCharType="separate"/>
        </w:r>
        <w:r w:rsidR="00910724">
          <w:rPr>
            <w:noProof/>
            <w:sz w:val="24"/>
            <w:szCs w:val="24"/>
          </w:rPr>
          <w:t>5</w:t>
        </w:r>
        <w:r w:rsidRPr="00AD1FC9">
          <w:rPr>
            <w:noProof/>
            <w:sz w:val="24"/>
            <w:szCs w:val="24"/>
          </w:rPr>
          <w:fldChar w:fldCharType="end"/>
        </w:r>
      </w:p>
    </w:sdtContent>
  </w:sdt>
  <w:p w14:paraId="0B839D01" w14:textId="77777777" w:rsidR="00AD1FC9" w:rsidRDefault="00AD1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A1B5B" w14:textId="77777777" w:rsidR="00E87DBD" w:rsidRDefault="00E87DBD" w:rsidP="00AD1FC9">
      <w:pPr>
        <w:spacing w:after="0" w:line="240" w:lineRule="auto"/>
      </w:pPr>
      <w:r>
        <w:separator/>
      </w:r>
    </w:p>
  </w:footnote>
  <w:footnote w:type="continuationSeparator" w:id="0">
    <w:p w14:paraId="77D5E44E" w14:textId="77777777" w:rsidR="00E87DBD" w:rsidRDefault="00E87DBD" w:rsidP="00AD1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97EB2"/>
    <w:multiLevelType w:val="multilevel"/>
    <w:tmpl w:val="85A0CF86"/>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B2D3735"/>
    <w:multiLevelType w:val="hybridMultilevel"/>
    <w:tmpl w:val="668A28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224484"/>
    <w:multiLevelType w:val="multilevel"/>
    <w:tmpl w:val="3A52EFE0"/>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69400973"/>
    <w:multiLevelType w:val="multilevel"/>
    <w:tmpl w:val="93A6BE3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79EE7DD7"/>
    <w:multiLevelType w:val="hybridMultilevel"/>
    <w:tmpl w:val="425ACB4C"/>
    <w:lvl w:ilvl="0" w:tplc="DC8EBBC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2012293">
    <w:abstractNumId w:val="3"/>
  </w:num>
  <w:num w:numId="2" w16cid:durableId="675427939">
    <w:abstractNumId w:val="0"/>
  </w:num>
  <w:num w:numId="3" w16cid:durableId="210385061">
    <w:abstractNumId w:val="4"/>
  </w:num>
  <w:num w:numId="4" w16cid:durableId="1954093685">
    <w:abstractNumId w:val="2"/>
  </w:num>
  <w:num w:numId="5" w16cid:durableId="156459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899"/>
    <w:rsid w:val="00045C3A"/>
    <w:rsid w:val="00067EAA"/>
    <w:rsid w:val="00077A80"/>
    <w:rsid w:val="000C0046"/>
    <w:rsid w:val="000C01C2"/>
    <w:rsid w:val="000E09E7"/>
    <w:rsid w:val="001138DE"/>
    <w:rsid w:val="001408A0"/>
    <w:rsid w:val="001725C2"/>
    <w:rsid w:val="0024658D"/>
    <w:rsid w:val="00263554"/>
    <w:rsid w:val="00273BCC"/>
    <w:rsid w:val="002A25DF"/>
    <w:rsid w:val="002A3399"/>
    <w:rsid w:val="002C00F4"/>
    <w:rsid w:val="002C6FD1"/>
    <w:rsid w:val="00302745"/>
    <w:rsid w:val="00321BC4"/>
    <w:rsid w:val="00342F09"/>
    <w:rsid w:val="004D7932"/>
    <w:rsid w:val="004E7A5D"/>
    <w:rsid w:val="004F37CF"/>
    <w:rsid w:val="0051203F"/>
    <w:rsid w:val="00522929"/>
    <w:rsid w:val="00576373"/>
    <w:rsid w:val="005947CF"/>
    <w:rsid w:val="005C02D2"/>
    <w:rsid w:val="005E4E0E"/>
    <w:rsid w:val="00657394"/>
    <w:rsid w:val="00690E4F"/>
    <w:rsid w:val="006D001A"/>
    <w:rsid w:val="006D6F90"/>
    <w:rsid w:val="006F3612"/>
    <w:rsid w:val="00756A7B"/>
    <w:rsid w:val="007A4E3E"/>
    <w:rsid w:val="007D5ACA"/>
    <w:rsid w:val="00855E36"/>
    <w:rsid w:val="008A77FD"/>
    <w:rsid w:val="008B3F2A"/>
    <w:rsid w:val="008C2F7B"/>
    <w:rsid w:val="008E67F9"/>
    <w:rsid w:val="008E7058"/>
    <w:rsid w:val="00910724"/>
    <w:rsid w:val="00921626"/>
    <w:rsid w:val="00952D54"/>
    <w:rsid w:val="00961F3D"/>
    <w:rsid w:val="0098504A"/>
    <w:rsid w:val="009C0972"/>
    <w:rsid w:val="009C23A1"/>
    <w:rsid w:val="009E0880"/>
    <w:rsid w:val="009E2E96"/>
    <w:rsid w:val="009F4D38"/>
    <w:rsid w:val="00A1624D"/>
    <w:rsid w:val="00A24D74"/>
    <w:rsid w:val="00A41B16"/>
    <w:rsid w:val="00A56F8D"/>
    <w:rsid w:val="00A632FF"/>
    <w:rsid w:val="00AB1A39"/>
    <w:rsid w:val="00AD1FC9"/>
    <w:rsid w:val="00AF2D59"/>
    <w:rsid w:val="00B24308"/>
    <w:rsid w:val="00BA24AD"/>
    <w:rsid w:val="00BB468F"/>
    <w:rsid w:val="00BC0752"/>
    <w:rsid w:val="00BC5E10"/>
    <w:rsid w:val="00C00C9D"/>
    <w:rsid w:val="00C03508"/>
    <w:rsid w:val="00C0751F"/>
    <w:rsid w:val="00C315E8"/>
    <w:rsid w:val="00C95312"/>
    <w:rsid w:val="00CC6148"/>
    <w:rsid w:val="00CD3507"/>
    <w:rsid w:val="00D12BD7"/>
    <w:rsid w:val="00D26C15"/>
    <w:rsid w:val="00D67202"/>
    <w:rsid w:val="00E87DBD"/>
    <w:rsid w:val="00EB1612"/>
    <w:rsid w:val="00EC5304"/>
    <w:rsid w:val="00EC711C"/>
    <w:rsid w:val="00F5448A"/>
    <w:rsid w:val="00FD78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E4972"/>
  <w15:chartTrackingRefBased/>
  <w15:docId w15:val="{AE91A663-27B7-4937-A138-3A8430DBE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FD7899"/>
    <w:pPr>
      <w:spacing w:before="100" w:beforeAutospacing="1" w:after="100" w:afterAutospacing="1" w:line="240" w:lineRule="auto"/>
      <w:jc w:val="left"/>
      <w:outlineLvl w:val="5"/>
    </w:pPr>
    <w:rPr>
      <w:rFonts w:eastAsia="Times New Roman" w:cs="Times New Roman"/>
      <w:b/>
      <w:bCs/>
      <w:sz w:val="15"/>
      <w:szCs w:val="1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7899"/>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FD7899"/>
    <w:rPr>
      <w:b/>
      <w:bCs/>
    </w:rPr>
  </w:style>
  <w:style w:type="character" w:customStyle="1" w:styleId="Heading6Char">
    <w:name w:val="Heading 6 Char"/>
    <w:basedOn w:val="DefaultParagraphFont"/>
    <w:link w:val="Heading6"/>
    <w:uiPriority w:val="9"/>
    <w:rsid w:val="00FD7899"/>
    <w:rPr>
      <w:rFonts w:eastAsia="Times New Roman" w:cs="Times New Roman"/>
      <w:b/>
      <w:bCs/>
      <w:sz w:val="15"/>
      <w:szCs w:val="15"/>
      <w:lang w:val="en-US"/>
    </w:rPr>
  </w:style>
  <w:style w:type="paragraph" w:styleId="ListParagraph">
    <w:name w:val="List Paragraph"/>
    <w:basedOn w:val="Normal"/>
    <w:uiPriority w:val="34"/>
    <w:qFormat/>
    <w:rsid w:val="00FD7899"/>
    <w:pPr>
      <w:ind w:left="720"/>
      <w:contextualSpacing/>
    </w:pPr>
  </w:style>
  <w:style w:type="character" w:styleId="Hyperlink">
    <w:name w:val="Hyperlink"/>
    <w:basedOn w:val="DefaultParagraphFont"/>
    <w:uiPriority w:val="99"/>
    <w:unhideWhenUsed/>
    <w:rsid w:val="00FD7899"/>
    <w:rPr>
      <w:color w:val="0000FF"/>
      <w:u w:val="single"/>
    </w:rPr>
  </w:style>
  <w:style w:type="character" w:customStyle="1" w:styleId="anchor-text">
    <w:name w:val="anchor-text"/>
    <w:basedOn w:val="DefaultParagraphFont"/>
    <w:rsid w:val="00FD7899"/>
  </w:style>
  <w:style w:type="paragraph" w:styleId="Header">
    <w:name w:val="header"/>
    <w:basedOn w:val="Normal"/>
    <w:link w:val="HeaderChar"/>
    <w:uiPriority w:val="99"/>
    <w:unhideWhenUsed/>
    <w:rsid w:val="00AD1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1FC9"/>
  </w:style>
  <w:style w:type="paragraph" w:styleId="Footer">
    <w:name w:val="footer"/>
    <w:basedOn w:val="Normal"/>
    <w:link w:val="FooterChar"/>
    <w:uiPriority w:val="99"/>
    <w:unhideWhenUsed/>
    <w:rsid w:val="00AD1F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1FC9"/>
  </w:style>
  <w:style w:type="character" w:styleId="FollowedHyperlink">
    <w:name w:val="FollowedHyperlink"/>
    <w:basedOn w:val="DefaultParagraphFont"/>
    <w:uiPriority w:val="99"/>
    <w:semiHidden/>
    <w:unhideWhenUsed/>
    <w:rsid w:val="007A4E3E"/>
    <w:rPr>
      <w:color w:val="954F72" w:themeColor="followedHyperlink"/>
      <w:u w:val="single"/>
    </w:rPr>
  </w:style>
  <w:style w:type="character" w:styleId="UnresolvedMention">
    <w:name w:val="Unresolved Mention"/>
    <w:basedOn w:val="DefaultParagraphFont"/>
    <w:uiPriority w:val="99"/>
    <w:semiHidden/>
    <w:unhideWhenUsed/>
    <w:rsid w:val="007A4E3E"/>
    <w:rPr>
      <w:color w:val="605E5C"/>
      <w:shd w:val="clear" w:color="auto" w:fill="E1DFDD"/>
    </w:rPr>
  </w:style>
  <w:style w:type="character" w:styleId="Emphasis">
    <w:name w:val="Emphasis"/>
    <w:basedOn w:val="DefaultParagraphFont"/>
    <w:uiPriority w:val="20"/>
    <w:qFormat/>
    <w:rsid w:val="007A4E3E"/>
    <w:rPr>
      <w:i/>
      <w:iCs/>
    </w:rPr>
  </w:style>
  <w:style w:type="paragraph" w:styleId="Revision">
    <w:name w:val="Revision"/>
    <w:hidden/>
    <w:uiPriority w:val="99"/>
    <w:semiHidden/>
    <w:rsid w:val="00C0751F"/>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62361">
      <w:bodyDiv w:val="1"/>
      <w:marLeft w:val="0"/>
      <w:marRight w:val="0"/>
      <w:marTop w:val="0"/>
      <w:marBottom w:val="0"/>
      <w:divBdr>
        <w:top w:val="none" w:sz="0" w:space="0" w:color="auto"/>
        <w:left w:val="none" w:sz="0" w:space="0" w:color="auto"/>
        <w:bottom w:val="none" w:sz="0" w:space="0" w:color="auto"/>
        <w:right w:val="none" w:sz="0" w:space="0" w:color="auto"/>
      </w:divBdr>
    </w:div>
    <w:div w:id="273294960">
      <w:bodyDiv w:val="1"/>
      <w:marLeft w:val="0"/>
      <w:marRight w:val="0"/>
      <w:marTop w:val="0"/>
      <w:marBottom w:val="0"/>
      <w:divBdr>
        <w:top w:val="none" w:sz="0" w:space="0" w:color="auto"/>
        <w:left w:val="none" w:sz="0" w:space="0" w:color="auto"/>
        <w:bottom w:val="none" w:sz="0" w:space="0" w:color="auto"/>
        <w:right w:val="none" w:sz="0" w:space="0" w:color="auto"/>
      </w:divBdr>
    </w:div>
    <w:div w:id="281039972">
      <w:bodyDiv w:val="1"/>
      <w:marLeft w:val="0"/>
      <w:marRight w:val="0"/>
      <w:marTop w:val="0"/>
      <w:marBottom w:val="0"/>
      <w:divBdr>
        <w:top w:val="none" w:sz="0" w:space="0" w:color="auto"/>
        <w:left w:val="none" w:sz="0" w:space="0" w:color="auto"/>
        <w:bottom w:val="none" w:sz="0" w:space="0" w:color="auto"/>
        <w:right w:val="none" w:sz="0" w:space="0" w:color="auto"/>
      </w:divBdr>
      <w:divsChild>
        <w:div w:id="1744765419">
          <w:marLeft w:val="0"/>
          <w:marRight w:val="0"/>
          <w:marTop w:val="0"/>
          <w:marBottom w:val="0"/>
          <w:divBdr>
            <w:top w:val="none" w:sz="0" w:space="0" w:color="auto"/>
            <w:left w:val="none" w:sz="0" w:space="0" w:color="auto"/>
            <w:bottom w:val="none" w:sz="0" w:space="0" w:color="auto"/>
            <w:right w:val="none" w:sz="0" w:space="0" w:color="auto"/>
          </w:divBdr>
          <w:divsChild>
            <w:div w:id="1573001524">
              <w:marLeft w:val="0"/>
              <w:marRight w:val="0"/>
              <w:marTop w:val="0"/>
              <w:marBottom w:val="0"/>
              <w:divBdr>
                <w:top w:val="none" w:sz="0" w:space="0" w:color="auto"/>
                <w:left w:val="none" w:sz="0" w:space="0" w:color="auto"/>
                <w:bottom w:val="none" w:sz="0" w:space="0" w:color="auto"/>
                <w:right w:val="none" w:sz="0" w:space="0" w:color="auto"/>
              </w:divBdr>
              <w:divsChild>
                <w:div w:id="715160734">
                  <w:marLeft w:val="0"/>
                  <w:marRight w:val="0"/>
                  <w:marTop w:val="0"/>
                  <w:marBottom w:val="0"/>
                  <w:divBdr>
                    <w:top w:val="none" w:sz="0" w:space="0" w:color="auto"/>
                    <w:left w:val="none" w:sz="0" w:space="0" w:color="auto"/>
                    <w:bottom w:val="none" w:sz="0" w:space="0" w:color="auto"/>
                    <w:right w:val="none" w:sz="0" w:space="0" w:color="auto"/>
                  </w:divBdr>
                  <w:divsChild>
                    <w:div w:id="1312635088">
                      <w:marLeft w:val="0"/>
                      <w:marRight w:val="0"/>
                      <w:marTop w:val="0"/>
                      <w:marBottom w:val="0"/>
                      <w:divBdr>
                        <w:top w:val="none" w:sz="0" w:space="0" w:color="auto"/>
                        <w:left w:val="none" w:sz="0" w:space="0" w:color="auto"/>
                        <w:bottom w:val="none" w:sz="0" w:space="0" w:color="auto"/>
                        <w:right w:val="none" w:sz="0" w:space="0" w:color="auto"/>
                      </w:divBdr>
                      <w:divsChild>
                        <w:div w:id="1833446915">
                          <w:marLeft w:val="0"/>
                          <w:marRight w:val="0"/>
                          <w:marTop w:val="0"/>
                          <w:marBottom w:val="0"/>
                          <w:divBdr>
                            <w:top w:val="none" w:sz="0" w:space="0" w:color="auto"/>
                            <w:left w:val="none" w:sz="0" w:space="0" w:color="auto"/>
                            <w:bottom w:val="none" w:sz="0" w:space="0" w:color="auto"/>
                            <w:right w:val="none" w:sz="0" w:space="0" w:color="auto"/>
                          </w:divBdr>
                          <w:divsChild>
                            <w:div w:id="133440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757065">
      <w:bodyDiv w:val="1"/>
      <w:marLeft w:val="0"/>
      <w:marRight w:val="0"/>
      <w:marTop w:val="0"/>
      <w:marBottom w:val="0"/>
      <w:divBdr>
        <w:top w:val="none" w:sz="0" w:space="0" w:color="auto"/>
        <w:left w:val="none" w:sz="0" w:space="0" w:color="auto"/>
        <w:bottom w:val="none" w:sz="0" w:space="0" w:color="auto"/>
        <w:right w:val="none" w:sz="0" w:space="0" w:color="auto"/>
      </w:divBdr>
    </w:div>
    <w:div w:id="1405487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eric.ed.gov/fulltext/ED672516.pdf" TargetMode="External"/><Relationship Id="rId13" Type="http://schemas.openxmlformats.org/officeDocument/2006/relationships/hyperlink" Target="https://doi.org/10.1007/978-3-030-80847-1_3" TargetMode="External"/><Relationship Id="rId18" Type="http://schemas.openxmlformats.org/officeDocument/2006/relationships/hyperlink" Target="https://doi.org/10.26434/chemrxiv-2025-wz4n9" TargetMode="External"/><Relationship Id="rId26" Type="http://schemas.openxmlformats.org/officeDocument/2006/relationships/hyperlink" Target="https://doi.org/10.48550/arXiv.2409.02017" TargetMode="External"/><Relationship Id="rId3" Type="http://schemas.openxmlformats.org/officeDocument/2006/relationships/settings" Target="settings.xml"/><Relationship Id="rId21" Type="http://schemas.openxmlformats.org/officeDocument/2006/relationships/hyperlink" Target="https://doi.org/10.1007/978-3-319-22900-3_1" TargetMode="External"/><Relationship Id="rId7" Type="http://schemas.openxmlformats.org/officeDocument/2006/relationships/hyperlink" Target="https://doi.org/10.3390/su17010194" TargetMode="External"/><Relationship Id="rId12" Type="http://schemas.openxmlformats.org/officeDocument/2006/relationships/hyperlink" Target="https://doi.org/10.3389/fpsyg.2022.1081595" TargetMode="External"/><Relationship Id="rId17" Type="http://schemas.openxmlformats.org/officeDocument/2006/relationships/hyperlink" Target="https://doi.org/10.1080/01596306.2024.2408397" TargetMode="External"/><Relationship Id="rId25" Type="http://schemas.openxmlformats.org/officeDocument/2006/relationships/hyperlink" Target="https://doi.org/10.47836/pjssh.29.s2.11" TargetMode="External"/><Relationship Id="rId2" Type="http://schemas.openxmlformats.org/officeDocument/2006/relationships/styles" Target="styles.xml"/><Relationship Id="rId16" Type="http://schemas.openxmlformats.org/officeDocument/2006/relationships/hyperlink" Target="https://doi.org/10.3390/su12208744" TargetMode="External"/><Relationship Id="rId20" Type="http://schemas.openxmlformats.org/officeDocument/2006/relationships/hyperlink" Target="https://doi.org/10.3390/soc15060144"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86/s41239-023-00392-8" TargetMode="External"/><Relationship Id="rId24" Type="http://schemas.openxmlformats.org/officeDocument/2006/relationships/hyperlink" Target="https://doi.org/10.1007/978-3-031-52280-2_14" TargetMode="External"/><Relationship Id="rId5" Type="http://schemas.openxmlformats.org/officeDocument/2006/relationships/footnotes" Target="footnotes.xml"/><Relationship Id="rId15" Type="http://schemas.openxmlformats.org/officeDocument/2006/relationships/hyperlink" Target="https://doi.org/10.1007/s10639-022-11544-0" TargetMode="External"/><Relationship Id="rId23" Type="http://schemas.openxmlformats.org/officeDocument/2006/relationships/hyperlink" Target="https://doi.org/10.26034/fr.jehe.2024.6864" TargetMode="External"/><Relationship Id="rId28" Type="http://schemas.openxmlformats.org/officeDocument/2006/relationships/footer" Target="footer1.xml"/><Relationship Id="rId10" Type="http://schemas.openxmlformats.org/officeDocument/2006/relationships/hyperlink" Target="https://doi.org/10.48550/arXiv.2305.01185" TargetMode="External"/><Relationship Id="rId19" Type="http://schemas.openxmlformats.org/officeDocument/2006/relationships/hyperlink" Target="https://doi.org/10.3389/feduc.2025.1530247" TargetMode="External"/><Relationship Id="rId4" Type="http://schemas.openxmlformats.org/officeDocument/2006/relationships/webSettings" Target="webSettings.xml"/><Relationship Id="rId9" Type="http://schemas.openxmlformats.org/officeDocument/2006/relationships/hyperlink" Target="https://doi.org/10.1186/s41239-023-00408-3" TargetMode="External"/><Relationship Id="rId14" Type="http://schemas.openxmlformats.org/officeDocument/2006/relationships/hyperlink" Target="https://unesdoc.unesco.org/ark:/48223/pf0000377071" TargetMode="External"/><Relationship Id="rId22" Type="http://schemas.openxmlformats.org/officeDocument/2006/relationships/hyperlink" Target="https://doi.org/10.3390/socsci13080410" TargetMode="External"/><Relationship Id="rId27" Type="http://schemas.openxmlformats.org/officeDocument/2006/relationships/hyperlink" Target="https://doi.org/10.1016/j.ijis.2018.06.001"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2797</Words>
  <Characters>15948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Dang Duy Quang</cp:lastModifiedBy>
  <cp:revision>52</cp:revision>
  <dcterms:created xsi:type="dcterms:W3CDTF">2026-06-12T09:11:00Z</dcterms:created>
  <dcterms:modified xsi:type="dcterms:W3CDTF">2026-06-13T07:20:00Z</dcterms:modified>
</cp:coreProperties>
</file>