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DE37B" w14:textId="77777777" w:rsidR="00833C42" w:rsidRDefault="00833C42">
      <w:pPr>
        <w:rPr>
          <w:b/>
          <w:bCs/>
          <w:sz w:val="32"/>
          <w:szCs w:val="32"/>
          <w:lang w:val="en-US"/>
        </w:rPr>
      </w:pPr>
    </w:p>
    <w:p w14:paraId="33C746CA" w14:textId="77777777" w:rsidR="00833C42" w:rsidRDefault="00833C42">
      <w:pPr>
        <w:rPr>
          <w:b/>
          <w:bCs/>
          <w:sz w:val="32"/>
          <w:szCs w:val="32"/>
          <w:lang w:val="en-US"/>
        </w:rPr>
      </w:pPr>
    </w:p>
    <w:p w14:paraId="117BC348" w14:textId="001CB584" w:rsidR="00DE7FFB" w:rsidRDefault="001A3F31">
      <w:pPr>
        <w:rPr>
          <w:b/>
          <w:bCs/>
          <w:sz w:val="32"/>
          <w:szCs w:val="32"/>
        </w:rPr>
      </w:pPr>
      <w:r>
        <w:rPr>
          <w:b/>
          <w:bCs/>
          <w:sz w:val="32"/>
          <w:szCs w:val="32"/>
        </w:rPr>
        <w:t xml:space="preserve">Nghiên cứu ảnh hưởng của hiệu ứng lan tỏa từ hành vi xanh trong cộng đồng trực tuyến đến hành vi tiêu dùng xanh ngoài đời thực của người trẻ </w:t>
      </w:r>
    </w:p>
    <w:p w14:paraId="53FF4D10" w14:textId="64198E4D" w:rsidR="00DE7FFB" w:rsidRPr="0021565E" w:rsidRDefault="0021565E">
      <w:pPr>
        <w:rPr>
          <w:sz w:val="24"/>
          <w:szCs w:val="24"/>
        </w:rPr>
      </w:pPr>
      <w:r w:rsidRPr="0021565E">
        <w:rPr>
          <w:sz w:val="24"/>
          <w:szCs w:val="24"/>
          <w:vertAlign w:val="superscript"/>
        </w:rPr>
        <w:t>Hoàng Phương Dung</w:t>
      </w:r>
      <w:r w:rsidRPr="005B1196">
        <w:rPr>
          <w:sz w:val="24"/>
          <w:szCs w:val="24"/>
          <w:vertAlign w:val="superscript"/>
        </w:rPr>
        <w:t>1</w:t>
      </w:r>
      <w:r w:rsidRPr="00790738">
        <w:rPr>
          <w:sz w:val="24"/>
          <w:szCs w:val="24"/>
          <w:vertAlign w:val="superscript"/>
        </w:rPr>
        <w:t xml:space="preserve"> - </w:t>
      </w:r>
      <w:r w:rsidR="001A3F31">
        <w:rPr>
          <w:sz w:val="24"/>
          <w:szCs w:val="24"/>
        </w:rPr>
        <w:t>Đinh Ngọc Diễm Quyên</w:t>
      </w:r>
      <w:r w:rsidRPr="00790738">
        <w:rPr>
          <w:sz w:val="24"/>
          <w:szCs w:val="24"/>
          <w:vertAlign w:val="superscript"/>
        </w:rPr>
        <w:t>2</w:t>
      </w:r>
      <w:r w:rsidR="00566472" w:rsidRPr="00790738">
        <w:rPr>
          <w:sz w:val="24"/>
          <w:szCs w:val="24"/>
        </w:rPr>
        <w:t xml:space="preserve"> -</w:t>
      </w:r>
      <w:r w:rsidR="001A3F31">
        <w:rPr>
          <w:sz w:val="24"/>
          <w:szCs w:val="24"/>
        </w:rPr>
        <w:t xml:space="preserve"> Phạm Thuý Quỳnh</w:t>
      </w:r>
      <w:r w:rsidRPr="005B1196">
        <w:rPr>
          <w:sz w:val="24"/>
          <w:szCs w:val="24"/>
          <w:vertAlign w:val="superscript"/>
        </w:rPr>
        <w:t>2</w:t>
      </w:r>
      <w:r w:rsidR="00566472" w:rsidRPr="00790738">
        <w:rPr>
          <w:sz w:val="24"/>
          <w:szCs w:val="24"/>
        </w:rPr>
        <w:t xml:space="preserve"> -</w:t>
      </w:r>
      <w:r w:rsidR="001A3F31">
        <w:rPr>
          <w:sz w:val="24"/>
          <w:szCs w:val="24"/>
        </w:rPr>
        <w:t xml:space="preserve"> Phan Ngọc Hân</w:t>
      </w:r>
      <w:r w:rsidRPr="005B1196">
        <w:rPr>
          <w:sz w:val="24"/>
          <w:szCs w:val="24"/>
          <w:vertAlign w:val="superscript"/>
        </w:rPr>
        <w:t>2</w:t>
      </w:r>
      <w:r w:rsidR="00566472" w:rsidRPr="00790738">
        <w:rPr>
          <w:sz w:val="24"/>
          <w:szCs w:val="24"/>
        </w:rPr>
        <w:t xml:space="preserve"> -</w:t>
      </w:r>
      <w:r w:rsidR="001A3F31">
        <w:rPr>
          <w:sz w:val="24"/>
          <w:szCs w:val="24"/>
        </w:rPr>
        <w:t xml:space="preserve"> Nguyễn Tiến Thắng</w:t>
      </w:r>
      <w:r w:rsidRPr="005B1196">
        <w:rPr>
          <w:sz w:val="24"/>
          <w:szCs w:val="24"/>
          <w:vertAlign w:val="superscript"/>
        </w:rPr>
        <w:t>2</w:t>
      </w:r>
      <w:r w:rsidR="00566472" w:rsidRPr="00790738">
        <w:rPr>
          <w:sz w:val="24"/>
          <w:szCs w:val="24"/>
        </w:rPr>
        <w:t xml:space="preserve"> -</w:t>
      </w:r>
      <w:r w:rsidR="001A3F31">
        <w:rPr>
          <w:sz w:val="24"/>
          <w:szCs w:val="24"/>
        </w:rPr>
        <w:t xml:space="preserve"> Nguyễn Xuân Thịnh</w:t>
      </w:r>
      <w:r w:rsidRPr="005B1196">
        <w:rPr>
          <w:sz w:val="24"/>
          <w:szCs w:val="24"/>
          <w:vertAlign w:val="superscript"/>
        </w:rPr>
        <w:t>2</w:t>
      </w:r>
    </w:p>
    <w:p w14:paraId="043C4997" w14:textId="43750161" w:rsidR="00DE7FFB" w:rsidRPr="00790738" w:rsidRDefault="00566472">
      <w:pPr>
        <w:rPr>
          <w:sz w:val="24"/>
          <w:szCs w:val="24"/>
        </w:rPr>
      </w:pPr>
      <w:r w:rsidRPr="00790738">
        <w:rPr>
          <w:sz w:val="24"/>
          <w:szCs w:val="24"/>
          <w:vertAlign w:val="superscript"/>
        </w:rPr>
        <w:t>1</w:t>
      </w:r>
      <w:r w:rsidR="0021565E" w:rsidRPr="00790738">
        <w:rPr>
          <w:sz w:val="24"/>
          <w:szCs w:val="24"/>
          <w:vertAlign w:val="superscript"/>
        </w:rPr>
        <w:t xml:space="preserve">Giảng </w:t>
      </w:r>
      <w:r w:rsidR="0021565E" w:rsidRPr="00790738">
        <w:rPr>
          <w:sz w:val="24"/>
          <w:szCs w:val="24"/>
        </w:rPr>
        <w:t xml:space="preserve">viên, </w:t>
      </w:r>
      <w:r w:rsidR="001A3F31">
        <w:rPr>
          <w:sz w:val="24"/>
          <w:szCs w:val="24"/>
        </w:rPr>
        <w:t xml:space="preserve">Đại học Kinh tế Quốc dân </w:t>
      </w:r>
    </w:p>
    <w:p w14:paraId="5BC67AF8" w14:textId="6D9EA7BF" w:rsidR="0021565E" w:rsidRDefault="0021565E" w:rsidP="0021565E">
      <w:pPr>
        <w:rPr>
          <w:sz w:val="24"/>
          <w:szCs w:val="24"/>
        </w:rPr>
      </w:pPr>
      <w:r w:rsidRPr="005B1196">
        <w:rPr>
          <w:sz w:val="24"/>
          <w:szCs w:val="24"/>
          <w:vertAlign w:val="superscript"/>
        </w:rPr>
        <w:t>2</w:t>
      </w:r>
      <w:r w:rsidRPr="0021565E">
        <w:rPr>
          <w:sz w:val="24"/>
          <w:szCs w:val="24"/>
          <w:vertAlign w:val="superscript"/>
        </w:rPr>
        <w:t xml:space="preserve"> </w:t>
      </w:r>
      <w:r w:rsidRPr="00790738">
        <w:rPr>
          <w:sz w:val="24"/>
          <w:szCs w:val="24"/>
          <w:vertAlign w:val="superscript"/>
        </w:rPr>
        <w:t xml:space="preserve">Sinh </w:t>
      </w:r>
      <w:r w:rsidRPr="005B1196">
        <w:rPr>
          <w:sz w:val="24"/>
          <w:szCs w:val="24"/>
        </w:rPr>
        <w:t xml:space="preserve">viên, </w:t>
      </w:r>
      <w:r>
        <w:rPr>
          <w:sz w:val="24"/>
          <w:szCs w:val="24"/>
        </w:rPr>
        <w:t xml:space="preserve">Đại học Kinh tế Quốc dân </w:t>
      </w:r>
    </w:p>
    <w:p w14:paraId="68769A07" w14:textId="77777777" w:rsidR="00821D8C" w:rsidRDefault="00821D8C" w:rsidP="0021565E">
      <w:pPr>
        <w:rPr>
          <w:sz w:val="24"/>
          <w:szCs w:val="24"/>
        </w:rPr>
      </w:pPr>
    </w:p>
    <w:p w14:paraId="1334D19F" w14:textId="77777777" w:rsidR="00821D8C" w:rsidRDefault="00821D8C" w:rsidP="00821D8C">
      <w:pPr>
        <w:rPr>
          <w:sz w:val="24"/>
          <w:szCs w:val="24"/>
          <w:lang w:val="en-US"/>
        </w:rPr>
      </w:pPr>
      <w:hyperlink r:id="rId4" w:history="1">
        <w:r w:rsidRPr="00E108ED">
          <w:rPr>
            <w:rStyle w:val="Hyperlink"/>
            <w:sz w:val="24"/>
            <w:szCs w:val="24"/>
            <w:lang w:val="en-US"/>
          </w:rPr>
          <w:t>lehthilananh93@gmail.com</w:t>
        </w:r>
      </w:hyperlink>
    </w:p>
    <w:p w14:paraId="7AF48F92" w14:textId="77777777" w:rsidR="00821D8C" w:rsidRPr="00790738" w:rsidRDefault="00821D8C" w:rsidP="0021565E">
      <w:pPr>
        <w:rPr>
          <w:sz w:val="24"/>
          <w:szCs w:val="24"/>
        </w:rPr>
      </w:pPr>
    </w:p>
    <w:p w14:paraId="16F89D49" w14:textId="6868557B" w:rsidR="0021565E" w:rsidRPr="00790738" w:rsidRDefault="0021565E">
      <w:pPr>
        <w:rPr>
          <w:sz w:val="24"/>
          <w:szCs w:val="24"/>
        </w:rPr>
      </w:pPr>
    </w:p>
    <w:p w14:paraId="19278A25" w14:textId="77777777" w:rsidR="00566472" w:rsidRPr="00F77581" w:rsidRDefault="00566472">
      <w:pPr>
        <w:rPr>
          <w:sz w:val="24"/>
          <w:szCs w:val="24"/>
        </w:rPr>
      </w:pPr>
    </w:p>
    <w:p w14:paraId="05D50CE9" w14:textId="77777777" w:rsidR="00566472" w:rsidRPr="00790738" w:rsidRDefault="001A3F31">
      <w:pPr>
        <w:rPr>
          <w:b/>
          <w:bCs/>
          <w:sz w:val="24"/>
          <w:szCs w:val="24"/>
        </w:rPr>
      </w:pPr>
      <w:r w:rsidRPr="00790738">
        <w:rPr>
          <w:b/>
          <w:bCs/>
          <w:sz w:val="24"/>
          <w:szCs w:val="24"/>
        </w:rPr>
        <w:t xml:space="preserve">Tóm tắt: </w:t>
      </w:r>
    </w:p>
    <w:p w14:paraId="17DFD31D" w14:textId="54AB230B" w:rsidR="00DE7FFB" w:rsidRDefault="001A3F31">
      <w:pPr>
        <w:rPr>
          <w:sz w:val="24"/>
          <w:szCs w:val="24"/>
        </w:rPr>
      </w:pPr>
      <w:r>
        <w:rPr>
          <w:sz w:val="24"/>
          <w:szCs w:val="24"/>
        </w:rPr>
        <w:t>Nghiên cứu tiến hành phân tích ảnh hưởng của hiệu ứng lan tỏa từ hành vi xanh trong cộng đồng trực tuyến đến hành vi tiêu dùng xanh ngoài đời thực của người trẻ tại Việt Nam áp dụng mô hình Hunt-Vitell. Dữ liệu khảo sát 427 người trẻ sử dụng mạng xã hội (trong độ tuổi 18-35) được phân tích bằng mô hình PLS-SEM. Kết quả cho thấy</w:t>
      </w:r>
      <w:r w:rsidR="00566472" w:rsidRPr="00790738">
        <w:rPr>
          <w:sz w:val="24"/>
          <w:szCs w:val="24"/>
        </w:rPr>
        <w:t>,</w:t>
      </w:r>
      <w:r>
        <w:rPr>
          <w:sz w:val="24"/>
          <w:szCs w:val="24"/>
        </w:rPr>
        <w:t xml:space="preserve"> tương tác thông tin và tương tác liên cá nhân có tác động tích cực đến đánh giá đạo đức theo chuẩn mực, đánh giá đạo đức theo hậu quả và cảm xúc môi trường; các yếu tố này tiếp tục ảnh hưởng đến phán xét đạo đức và thúc đẩy hành vi tiêu dùng xanh cả ở khía cạnh riêng tư và công khai. Nghiên cứu góp phần làm rõ vai trò của cộng đồng trực tuyến trong việc thúc đẩy tiêu dùng bền vững.</w:t>
      </w:r>
    </w:p>
    <w:p w14:paraId="00B2CE4A" w14:textId="26F05CAE" w:rsidR="00DE7FFB" w:rsidRPr="00790738" w:rsidRDefault="001A3F31">
      <w:pPr>
        <w:rPr>
          <w:sz w:val="24"/>
          <w:szCs w:val="24"/>
        </w:rPr>
      </w:pPr>
      <w:r>
        <w:rPr>
          <w:sz w:val="24"/>
          <w:szCs w:val="24"/>
        </w:rPr>
        <w:t>Từ kh</w:t>
      </w:r>
      <w:r w:rsidR="00566472" w:rsidRPr="00790738">
        <w:rPr>
          <w:sz w:val="24"/>
          <w:szCs w:val="24"/>
        </w:rPr>
        <w:t>óa</w:t>
      </w:r>
      <w:r>
        <w:rPr>
          <w:sz w:val="24"/>
          <w:szCs w:val="24"/>
        </w:rPr>
        <w:t xml:space="preserve">: </w:t>
      </w:r>
      <w:r w:rsidR="00566472" w:rsidRPr="00790738">
        <w:rPr>
          <w:sz w:val="24"/>
          <w:szCs w:val="24"/>
        </w:rPr>
        <w:t>h</w:t>
      </w:r>
      <w:r>
        <w:rPr>
          <w:sz w:val="24"/>
          <w:szCs w:val="24"/>
        </w:rPr>
        <w:t>iệu ứng lan tỏa</w:t>
      </w:r>
      <w:r w:rsidR="00566472" w:rsidRPr="00790738">
        <w:rPr>
          <w:sz w:val="24"/>
          <w:szCs w:val="24"/>
        </w:rPr>
        <w:t>,</w:t>
      </w:r>
      <w:r>
        <w:rPr>
          <w:sz w:val="24"/>
          <w:szCs w:val="24"/>
        </w:rPr>
        <w:t xml:space="preserve"> </w:t>
      </w:r>
      <w:r w:rsidR="00566472" w:rsidRPr="00790738">
        <w:rPr>
          <w:sz w:val="24"/>
          <w:szCs w:val="24"/>
        </w:rPr>
        <w:t>h</w:t>
      </w:r>
      <w:r>
        <w:rPr>
          <w:sz w:val="24"/>
          <w:szCs w:val="24"/>
        </w:rPr>
        <w:t>ành vi xanh</w:t>
      </w:r>
      <w:r w:rsidR="00566472" w:rsidRPr="00790738">
        <w:rPr>
          <w:sz w:val="24"/>
          <w:szCs w:val="24"/>
        </w:rPr>
        <w:t>,</w:t>
      </w:r>
      <w:r>
        <w:rPr>
          <w:sz w:val="24"/>
          <w:szCs w:val="24"/>
        </w:rPr>
        <w:t xml:space="preserve"> </w:t>
      </w:r>
      <w:r w:rsidR="00566472" w:rsidRPr="00790738">
        <w:rPr>
          <w:sz w:val="24"/>
          <w:szCs w:val="24"/>
        </w:rPr>
        <w:t>c</w:t>
      </w:r>
      <w:r>
        <w:rPr>
          <w:sz w:val="24"/>
          <w:szCs w:val="24"/>
        </w:rPr>
        <w:t>ộng đồng xanh trực tuyến</w:t>
      </w:r>
      <w:r w:rsidR="00566472" w:rsidRPr="00790738">
        <w:rPr>
          <w:sz w:val="24"/>
          <w:szCs w:val="24"/>
        </w:rPr>
        <w:t>,</w:t>
      </w:r>
      <w:r>
        <w:rPr>
          <w:sz w:val="24"/>
          <w:szCs w:val="24"/>
        </w:rPr>
        <w:t xml:space="preserve"> </w:t>
      </w:r>
      <w:r w:rsidR="00566472" w:rsidRPr="00790738">
        <w:rPr>
          <w:sz w:val="24"/>
          <w:szCs w:val="24"/>
        </w:rPr>
        <w:t>h</w:t>
      </w:r>
      <w:r>
        <w:rPr>
          <w:sz w:val="24"/>
          <w:szCs w:val="24"/>
        </w:rPr>
        <w:t>ành vi tiêu dùng xanh</w:t>
      </w:r>
      <w:r w:rsidR="00566472" w:rsidRPr="00790738">
        <w:rPr>
          <w:sz w:val="24"/>
          <w:szCs w:val="24"/>
        </w:rPr>
        <w:t>,</w:t>
      </w:r>
      <w:r>
        <w:rPr>
          <w:sz w:val="24"/>
          <w:szCs w:val="24"/>
        </w:rPr>
        <w:t xml:space="preserve"> </w:t>
      </w:r>
      <w:r w:rsidR="00566472" w:rsidRPr="00790738">
        <w:rPr>
          <w:sz w:val="24"/>
          <w:szCs w:val="24"/>
        </w:rPr>
        <w:t>n</w:t>
      </w:r>
      <w:r>
        <w:rPr>
          <w:sz w:val="24"/>
          <w:szCs w:val="24"/>
        </w:rPr>
        <w:t>gười tiêu dùng trẻ</w:t>
      </w:r>
      <w:r w:rsidR="00566472" w:rsidRPr="00790738">
        <w:rPr>
          <w:sz w:val="24"/>
          <w:szCs w:val="24"/>
        </w:rPr>
        <w:t>.</w:t>
      </w:r>
    </w:p>
    <w:p w14:paraId="47C21008" w14:textId="77777777" w:rsidR="00566472" w:rsidRPr="0021565E" w:rsidRDefault="00566472">
      <w:pPr>
        <w:rPr>
          <w:sz w:val="24"/>
          <w:szCs w:val="24"/>
        </w:rPr>
      </w:pPr>
    </w:p>
    <w:p w14:paraId="66A09CAF" w14:textId="77777777" w:rsidR="00DE7FFB" w:rsidRDefault="001A3F31">
      <w:pPr>
        <w:rPr>
          <w:b/>
          <w:bCs/>
          <w:sz w:val="24"/>
          <w:szCs w:val="24"/>
        </w:rPr>
      </w:pPr>
      <w:r>
        <w:rPr>
          <w:b/>
          <w:bCs/>
          <w:sz w:val="24"/>
          <w:szCs w:val="24"/>
        </w:rPr>
        <w:t xml:space="preserve">1. Đặt vấn đề </w:t>
      </w:r>
    </w:p>
    <w:p w14:paraId="3AA7E16F" w14:textId="671C9AE3" w:rsidR="00DE7FFB" w:rsidRDefault="001A3F31">
      <w:pPr>
        <w:rPr>
          <w:sz w:val="24"/>
          <w:szCs w:val="24"/>
        </w:rPr>
      </w:pPr>
      <w:r>
        <w:rPr>
          <w:sz w:val="24"/>
          <w:szCs w:val="24"/>
        </w:rPr>
        <w:t xml:space="preserve">Đứng trước diễn biến ô nhiễm môi trường </w:t>
      </w:r>
      <w:r w:rsidR="00B26733" w:rsidRPr="00790738">
        <w:rPr>
          <w:sz w:val="24"/>
          <w:szCs w:val="24"/>
        </w:rPr>
        <w:t>ngày càng trầm trọng</w:t>
      </w:r>
      <w:r>
        <w:rPr>
          <w:sz w:val="24"/>
          <w:szCs w:val="24"/>
        </w:rPr>
        <w:t>, xu hướng tiêu dùng xanh, qua việc chọn sản phẩm tái chế và thân thiện với môi trường, nổi lên như một giải pháp then chốt. Theo</w:t>
      </w:r>
      <w:r>
        <w:rPr>
          <w:sz w:val="24"/>
          <w:szCs w:val="24"/>
          <w:lang w:val="vi-VN"/>
        </w:rPr>
        <w:t xml:space="preserve"> </w:t>
      </w:r>
      <w:r w:rsidR="00B26733" w:rsidRPr="00790738">
        <w:rPr>
          <w:sz w:val="24"/>
          <w:szCs w:val="24"/>
        </w:rPr>
        <w:t>Linh Ngọc (2025)</w:t>
      </w:r>
      <w:r w:rsidRPr="00790738">
        <w:rPr>
          <w:sz w:val="24"/>
          <w:szCs w:val="24"/>
          <w:highlight w:val="yellow"/>
        </w:rPr>
        <w:t>,</w:t>
      </w:r>
      <w:r>
        <w:rPr>
          <w:sz w:val="24"/>
          <w:szCs w:val="24"/>
        </w:rPr>
        <w:t xml:space="preserve"> nhu cầu tiêu dùng sản phẩm xanh tại Việt Nam tăng trưởng trung bình 15% mỗi năm, với 72% người tiêu dùng sẵn sàng chi trả cao hơn cho sản phẩm thân thiện </w:t>
      </w:r>
      <w:r>
        <w:rPr>
          <w:sz w:val="24"/>
          <w:szCs w:val="24"/>
        </w:rPr>
        <w:lastRenderedPageBreak/>
        <w:t xml:space="preserve">môi trường. Có thể thấy, làn sóng tiêu dùng có trách nhiệm đang lan tỏa mạnh mẽ trong cộng đồng. Việc tuyên truyền nâng cao ý thức bảo vệ môi trường, khuyến khích tiêu dùng xanh cũng diễn ra mạnh mẽ, đặc biệt trên các cộng đồng trực tuyến, tiêu biểu là ở giới trẻ - nhóm sử dụng mạng xã hội nhiều nhất. Ngày càng nhiều người trẻ biết đến và ủng hộ lối sống xanh vì môi trường. Tuy nhiên, khoảng cách giữa hành vi trực tuyến đến thực tế vẫn lớn. Trong bối cảnh này, việc nghiên cứu hiệu ứng lan tỏa từ hành vi xanh trong cộng đồng trực tuyến để thúc đẩy hành vi thực tế bền vững là cần thiết. </w:t>
      </w:r>
    </w:p>
    <w:p w14:paraId="558027EE" w14:textId="77777777" w:rsidR="00DE7FFB" w:rsidRDefault="001A3F31">
      <w:pPr>
        <w:rPr>
          <w:sz w:val="24"/>
          <w:szCs w:val="24"/>
        </w:rPr>
      </w:pPr>
      <w:r>
        <w:rPr>
          <w:sz w:val="24"/>
          <w:szCs w:val="24"/>
        </w:rPr>
        <w:t>Mặc dù đề tài này đã được triển khai khá rộng rãi, các nghiên cứu trước đó chủ yếu tập trung vào tác động chung của mạng xã hội đến ý định xanh hoặc tác động của hiệu ứng lan tỏa xuất phát từ hành vi trực tuyến đơn lẻ, thiếu phân tích sâu về tương tác trong cộng đồng trực tuyến đến hành vi bền vững thực tế, chưa có nghiên cứu tích hợp đầy đủ mô hình Hunt-Vitell với phán xét đạo đức và cảm xúc môi trường để giải thích khoảng cách giữa ý định và hành vi trong hiệu ứng lan tỏa xanh, đặc biệt là ở đối tượng người trẻ tại Việt Nam.</w:t>
      </w:r>
    </w:p>
    <w:p w14:paraId="3088AFAD" w14:textId="6DE5DC35" w:rsidR="00DE7FFB" w:rsidRDefault="001A3F31">
      <w:pPr>
        <w:rPr>
          <w:sz w:val="24"/>
          <w:szCs w:val="24"/>
        </w:rPr>
      </w:pPr>
      <w:r>
        <w:rPr>
          <w:sz w:val="24"/>
          <w:szCs w:val="24"/>
        </w:rPr>
        <w:t xml:space="preserve">Nghiên cứu “Ảnh hưởng của hiệu ứng lan tỏa từ hành vi xanh trong cộng đồng trực tuyến đến hành vi tiêu dùng xanh ngoài đời thực của người tiêu dùng trẻ” được triển khai </w:t>
      </w:r>
      <w:r w:rsidR="00B26733" w:rsidRPr="00790738">
        <w:rPr>
          <w:sz w:val="24"/>
          <w:szCs w:val="24"/>
        </w:rPr>
        <w:t>nhằm</w:t>
      </w:r>
      <w:r>
        <w:rPr>
          <w:sz w:val="24"/>
          <w:szCs w:val="24"/>
        </w:rPr>
        <w:t xml:space="preserve"> làm rõ cơ chế của hiệu ứng lan tỏa từ tương tác xanh trực tuyến qua phán xét đạo đức và cảm xúc môi trường đến hành vi bền vững thực tế của giới trẻ tại Việt Nam. Kết quả nghiên cứu kỳ vọng giúp xây dựng cộng đồng trực tuyến xanh hiệu quả, khuyến khích doanh nghiệp thiết kế chiến dịch marketing xanh nhắm tới người trẻ, qua đó giảm khoảng cách từ ý định tới hành động xanh, tăng tiêu dùng bền vững, góp phần bảo vệ môi trường. </w:t>
      </w:r>
    </w:p>
    <w:p w14:paraId="06C84E00" w14:textId="77777777" w:rsidR="00DE7FFB" w:rsidRDefault="001A3F31">
      <w:pPr>
        <w:rPr>
          <w:b/>
          <w:bCs/>
          <w:sz w:val="24"/>
          <w:szCs w:val="24"/>
        </w:rPr>
      </w:pPr>
      <w:r>
        <w:rPr>
          <w:b/>
          <w:bCs/>
          <w:sz w:val="24"/>
          <w:szCs w:val="24"/>
        </w:rPr>
        <w:t xml:space="preserve">2. Tổng quan nghiên cứu </w:t>
      </w:r>
    </w:p>
    <w:p w14:paraId="4D651AC9" w14:textId="77777777" w:rsidR="00DE7FFB" w:rsidRPr="00790738" w:rsidRDefault="001A3F31">
      <w:pPr>
        <w:rPr>
          <w:b/>
          <w:bCs/>
          <w:i/>
          <w:iCs/>
          <w:sz w:val="24"/>
          <w:szCs w:val="24"/>
        </w:rPr>
      </w:pPr>
      <w:r w:rsidRPr="00790738">
        <w:rPr>
          <w:b/>
          <w:bCs/>
          <w:i/>
          <w:iCs/>
          <w:sz w:val="24"/>
          <w:szCs w:val="24"/>
        </w:rPr>
        <w:t>2.1. Một số khái niệm liên quan</w:t>
      </w:r>
    </w:p>
    <w:p w14:paraId="3AC1611E" w14:textId="77777777" w:rsidR="00DE7FFB" w:rsidRPr="00790738" w:rsidRDefault="001A3F31">
      <w:pPr>
        <w:rPr>
          <w:i/>
          <w:iCs/>
          <w:sz w:val="24"/>
          <w:szCs w:val="24"/>
        </w:rPr>
      </w:pPr>
      <w:r w:rsidRPr="00790738">
        <w:rPr>
          <w:i/>
          <w:iCs/>
          <w:sz w:val="24"/>
          <w:szCs w:val="24"/>
        </w:rPr>
        <w:t>2.1.1. Hiệu ứng lan tỏa</w:t>
      </w:r>
    </w:p>
    <w:p w14:paraId="27B79C68" w14:textId="2A60918D" w:rsidR="00DE7FFB" w:rsidRPr="00790738" w:rsidRDefault="001A3F31">
      <w:pPr>
        <w:rPr>
          <w:sz w:val="24"/>
          <w:szCs w:val="24"/>
          <w:lang w:val="vi-VN"/>
        </w:rPr>
      </w:pPr>
      <w:r>
        <w:rPr>
          <w:sz w:val="24"/>
          <w:szCs w:val="24"/>
        </w:rPr>
        <w:t xml:space="preserve">Hiệu ứng lan tỏa là những tác động phát sinh từ một sự can thiệp nào đó, nhưng lại ảnh hưởng tới hành vi khác không phải là mục tiêu hướng đến ban đầu của can thiệp đó (Truelove và cộng sự, 2014). Đặt trong vấn đề môi trường, hiệu ứng lan tỏa hành vi xanh xảy ra khi một hành động ban đầu (ví dụ: tái chế rác) vô tình dẫn đến những thay đổi trong hành vi khác (ví dụ: tiết kiệm điện hoặc sử dụng ít túi nilon hơn) mà không cần có sự tác động trực tiếp nào thêm. Hiệu ứng này có thể mang tính tích cực (hành vi ban đầu làm tăng xác suất thực hiện hành vi tiếp theo) hoặc tiêu cực (hành vi ban đầu làm giảm khả năng thực hiện hành vi tiếp theo hoặc gia tăng hành vi gây hại (Wang và cộng sự, 2022; Truelove và cộng sự, 2014). Hiệu ứng lan tỏa cũng được phân loại thành </w:t>
      </w:r>
      <w:r w:rsidR="008E23D5" w:rsidRPr="00790738">
        <w:rPr>
          <w:sz w:val="24"/>
          <w:szCs w:val="24"/>
        </w:rPr>
        <w:t>3</w:t>
      </w:r>
      <w:r>
        <w:rPr>
          <w:sz w:val="24"/>
          <w:szCs w:val="24"/>
        </w:rPr>
        <w:t xml:space="preserve"> dạng chính: theo hành vi (behavior), theo thời gian (temporal) và theo bối cảnh (context) (Behn và cộng sự, 2025). Trong phạm vi nghiên cứu này, hiệu ứng lan tỏa theo bối cảnh được tập trung phân tích, cụ thể là sự chuyển dịch hành vi từ không gian trực tuyến (môi trường ảo) sang hành vi tiêu dùng ngoài đời thực (ngoại tuyến)</w:t>
      </w:r>
      <w:r>
        <w:rPr>
          <w:sz w:val="24"/>
          <w:szCs w:val="24"/>
          <w:lang w:val="vi-VN"/>
        </w:rPr>
        <w:t>.</w:t>
      </w:r>
    </w:p>
    <w:p w14:paraId="49F819D2" w14:textId="77777777" w:rsidR="00DE7FFB" w:rsidRPr="00790738" w:rsidRDefault="001A3F31">
      <w:pPr>
        <w:rPr>
          <w:i/>
          <w:iCs/>
          <w:sz w:val="24"/>
          <w:szCs w:val="24"/>
        </w:rPr>
      </w:pPr>
      <w:r w:rsidRPr="00790738">
        <w:rPr>
          <w:i/>
          <w:iCs/>
          <w:sz w:val="24"/>
          <w:szCs w:val="24"/>
        </w:rPr>
        <w:t xml:space="preserve">2.1.2. Cộng đồng xanh trực tuyến </w:t>
      </w:r>
    </w:p>
    <w:p w14:paraId="4E037789" w14:textId="3F633830" w:rsidR="00DE7FFB" w:rsidRDefault="001A3F31">
      <w:pPr>
        <w:rPr>
          <w:sz w:val="24"/>
          <w:szCs w:val="24"/>
        </w:rPr>
      </w:pPr>
      <w:r>
        <w:rPr>
          <w:sz w:val="24"/>
          <w:szCs w:val="24"/>
        </w:rPr>
        <w:lastRenderedPageBreak/>
        <w:t>Cộng đồng xanh là tập hợp những người cùng thực hiện các hoạt động thân thiện với môi trường, chú trọng vào việc áp dụng các giải pháp xây dựng xanh, sử dụng năng lượng hiệu quả,...</w:t>
      </w:r>
      <w:r w:rsidR="008E23D5" w:rsidRPr="00790738">
        <w:rPr>
          <w:sz w:val="24"/>
          <w:szCs w:val="24"/>
        </w:rPr>
        <w:t xml:space="preserve"> </w:t>
      </w:r>
      <w:r>
        <w:rPr>
          <w:sz w:val="24"/>
          <w:szCs w:val="24"/>
        </w:rPr>
        <w:t xml:space="preserve">(Siregar, 2024) với mục tiêu là giảm thiểu tác động tiêu cực đến môi trường. Cùng với sự phát triển của </w:t>
      </w:r>
      <w:r w:rsidR="008E23D5" w:rsidRPr="00790738">
        <w:rPr>
          <w:sz w:val="24"/>
          <w:szCs w:val="24"/>
        </w:rPr>
        <w:t>i</w:t>
      </w:r>
      <w:r>
        <w:rPr>
          <w:sz w:val="24"/>
          <w:szCs w:val="24"/>
        </w:rPr>
        <w:t>nternet và mạng xã hội, các cộng đồng vượt ra khỏi hình thức truyền thống, mở rộng thành các cộng đồng trên không gian trực tuyến. Theo Zafar và cộng sự (2021), các cộng đồng xanh trên không gian mạng được hình thành với mục tiêu thúc đẩy các hành vi thân thiện với môi trường, bao gồm các hành động góp phần nâng cao chất lượng sinh thái, bất kể có xuất phát từ ý định bảo vệ môi trường ban đầu hay không (Steg và cộng sự, 2014).</w:t>
      </w:r>
    </w:p>
    <w:p w14:paraId="760DB256" w14:textId="77777777" w:rsidR="00DE7FFB" w:rsidRPr="00790738" w:rsidRDefault="001A3F31">
      <w:pPr>
        <w:rPr>
          <w:i/>
          <w:iCs/>
          <w:sz w:val="24"/>
          <w:szCs w:val="24"/>
        </w:rPr>
      </w:pPr>
      <w:r w:rsidRPr="00790738">
        <w:rPr>
          <w:i/>
          <w:iCs/>
          <w:sz w:val="24"/>
          <w:szCs w:val="24"/>
        </w:rPr>
        <w:t>2.1.3. Hành vi tiêu dùng xanh</w:t>
      </w:r>
    </w:p>
    <w:p w14:paraId="067F78D8" w14:textId="35692D2F" w:rsidR="00DE7FFB" w:rsidRDefault="001A3F31">
      <w:pPr>
        <w:rPr>
          <w:sz w:val="24"/>
          <w:szCs w:val="24"/>
        </w:rPr>
      </w:pPr>
      <w:r>
        <w:rPr>
          <w:sz w:val="24"/>
          <w:szCs w:val="24"/>
        </w:rPr>
        <w:t xml:space="preserve">Hành vi tiêu dùng xanh bao gồm các hoạt động mua sắm sản phẩm xanh và áp dụng các thói quen thân thiện với môi trường trong đời sống (Nguyen, 2024). Hành vi này thường được xem xét dưới </w:t>
      </w:r>
      <w:r w:rsidR="00833C42" w:rsidRPr="00790738">
        <w:rPr>
          <w:sz w:val="24"/>
          <w:szCs w:val="24"/>
        </w:rPr>
        <w:t>2</w:t>
      </w:r>
      <w:r>
        <w:rPr>
          <w:sz w:val="24"/>
          <w:szCs w:val="24"/>
        </w:rPr>
        <w:t xml:space="preserve"> khía cạnh chính dựa trên lý thuyết môi trường học. Hành vi mang tính riêng tư (Private behavior) là những lựa chọn hàng ngày ảnh hưởng đến môi trường mà không cần công khai. Tập trung vào các cá nhân như mua sản phẩm thân thiện với môi trường, t</w:t>
      </w:r>
      <w:r w:rsidR="00833C42" w:rsidRPr="00790738">
        <w:rPr>
          <w:sz w:val="24"/>
          <w:szCs w:val="24"/>
        </w:rPr>
        <w:t>á</w:t>
      </w:r>
      <w:r>
        <w:rPr>
          <w:sz w:val="24"/>
          <w:szCs w:val="24"/>
        </w:rPr>
        <w:t xml:space="preserve">i chế tại hộ gia đình, sử dụng phương tiện tiết kiệm năng lượng hoặc tiết kiệm điện nước (Stern, 2000; Hunter và cộng sự, 2004). Hành vi mang tính công khai (Public behavior) là những hành vi mang tính tập thể, có sức lan tỏa xã hội và thể hiện trước cộng đồng, chẳng hạn như tham gia các chiến dịch xanh, ủng hộ chính sách môi trường, chia sẻ về mua sắm bền vững trên mạng xã hội, hay vận động bạn bè cùng tiêu dùng xanh (Wan &amp; Du, 2022; Hadler &amp; Haller, 2011). </w:t>
      </w:r>
    </w:p>
    <w:p w14:paraId="634BA3A6" w14:textId="77777777" w:rsidR="00DE7FFB" w:rsidRPr="00790738" w:rsidRDefault="001A3F31">
      <w:pPr>
        <w:rPr>
          <w:b/>
          <w:bCs/>
          <w:i/>
          <w:iCs/>
          <w:sz w:val="24"/>
          <w:szCs w:val="24"/>
        </w:rPr>
      </w:pPr>
      <w:r w:rsidRPr="00790738">
        <w:rPr>
          <w:b/>
          <w:bCs/>
          <w:i/>
          <w:iCs/>
          <w:sz w:val="24"/>
          <w:szCs w:val="24"/>
        </w:rPr>
        <w:t>2.2. Nghiên cứu về các yếu tố ảnh hưởng đến hành vi tiêu dùng xanh</w:t>
      </w:r>
    </w:p>
    <w:p w14:paraId="67D20572" w14:textId="1EF74449" w:rsidR="00DE7FFB" w:rsidRDefault="001A3F31">
      <w:pPr>
        <w:rPr>
          <w:sz w:val="24"/>
          <w:szCs w:val="24"/>
        </w:rPr>
      </w:pPr>
      <w:r>
        <w:rPr>
          <w:sz w:val="24"/>
          <w:szCs w:val="24"/>
        </w:rPr>
        <w:t>Các nghiên cứu trước đây đã chỉ ra hành vi tiêu dùng xanh không chỉ là quyết định mang tính kinh tế hay môi trường mà còn là một quyết định mang tính đạo đức (Rana và cộng sự, 2024; Vitell &amp; Ho, 1997; Ferrell &amp; Ferrell, 2023). Các nghiên cứu đã chỉ ra một số yếu tố chi phối quá trình này.</w:t>
      </w:r>
    </w:p>
    <w:p w14:paraId="7F27E710" w14:textId="0F0360B1" w:rsidR="00DE7FFB" w:rsidRDefault="001A3F31">
      <w:pPr>
        <w:rPr>
          <w:sz w:val="24"/>
          <w:szCs w:val="24"/>
        </w:rPr>
      </w:pPr>
      <w:r w:rsidRPr="00790738">
        <w:rPr>
          <w:i/>
          <w:iCs/>
          <w:sz w:val="24"/>
          <w:szCs w:val="24"/>
        </w:rPr>
        <w:t xml:space="preserve">Thứ nhất, </w:t>
      </w:r>
      <w:r>
        <w:rPr>
          <w:sz w:val="24"/>
          <w:szCs w:val="24"/>
        </w:rPr>
        <w:t xml:space="preserve">các tương tác trong cộng đồng trực tuyến đóng vai trò kích thích nhận thức và quyết định mua hàng (Rana và cộng sự, 2024). Tương tác này có thể được chia thành tương tác thông tin xanh (chia sẻ kiến thức chuyên môn, thông tin sản phẩm) và tương tác giao tiếp xanh (giao tiếp giữa các thành viên) (Wang và cộng sự, 2022). Cả </w:t>
      </w:r>
      <w:r w:rsidR="00833C42" w:rsidRPr="00790738">
        <w:rPr>
          <w:sz w:val="24"/>
          <w:szCs w:val="24"/>
        </w:rPr>
        <w:t>2</w:t>
      </w:r>
      <w:r>
        <w:rPr>
          <w:sz w:val="24"/>
          <w:szCs w:val="24"/>
        </w:rPr>
        <w:t xml:space="preserve"> dạng tương tác này đều tạo ra hiệu ứng lan tỏa tích cực đến hành vi mua sắm xanh liên quan thông qua sự thay đổi về cảm xúc môi trường (bao gồm cả tích cực và tiêu cực).</w:t>
      </w:r>
    </w:p>
    <w:p w14:paraId="38D84C4C" w14:textId="77777777" w:rsidR="00DE7FFB" w:rsidRDefault="001A3F31">
      <w:pPr>
        <w:rPr>
          <w:sz w:val="24"/>
          <w:szCs w:val="24"/>
        </w:rPr>
      </w:pPr>
      <w:r w:rsidRPr="00790738">
        <w:rPr>
          <w:i/>
          <w:iCs/>
          <w:sz w:val="24"/>
          <w:szCs w:val="24"/>
        </w:rPr>
        <w:t>Thứ hai,</w:t>
      </w:r>
      <w:r>
        <w:rPr>
          <w:sz w:val="24"/>
          <w:szCs w:val="24"/>
        </w:rPr>
        <w:t xml:space="preserve"> cảm xúc đóng vai trò quan trọng trong việc dự báo và giải thích hành vi tiêu dùng xanh. Lý thuyết tâm lý học chỉ ra rằng phản ứng cảm xúc của cá nhân đối với các vấn đề sinh thái như tự hào, hy vọng, lo lắng, tội lỗi, sợ hãi sẽ tác động tới thái độ của cá nhân, có thể làm tăng hoặc giảm khả năng thực hiện hành vi thân thiện với môi trường trong tương lai (Yu &amp; Lu ,2023; Bouman và cộng sự, 2020; Shipley &amp; Van Riper, 2022; Miller, 2021; Ojala, 2011). </w:t>
      </w:r>
    </w:p>
    <w:p w14:paraId="5CF3C045" w14:textId="0FA1144F" w:rsidR="00DE7FFB" w:rsidRDefault="001A3F31">
      <w:pPr>
        <w:rPr>
          <w:sz w:val="24"/>
          <w:szCs w:val="24"/>
        </w:rPr>
      </w:pPr>
      <w:r w:rsidRPr="00790738">
        <w:rPr>
          <w:i/>
          <w:iCs/>
          <w:sz w:val="24"/>
          <w:szCs w:val="24"/>
        </w:rPr>
        <w:lastRenderedPageBreak/>
        <w:t>Thứ ba,</w:t>
      </w:r>
      <w:r>
        <w:rPr>
          <w:sz w:val="24"/>
          <w:szCs w:val="24"/>
        </w:rPr>
        <w:t xml:space="preserve"> dựa trên mô hình Hunt-Vitell (Hunt &amp; Vitell, 1986), quá trình ra quyết định xanh đòi hỏi cá nhân phải trả</w:t>
      </w:r>
      <w:r w:rsidR="00833C42" w:rsidRPr="00790738">
        <w:rPr>
          <w:sz w:val="24"/>
          <w:szCs w:val="24"/>
        </w:rPr>
        <w:t>i</w:t>
      </w:r>
      <w:r>
        <w:rPr>
          <w:sz w:val="24"/>
          <w:szCs w:val="24"/>
        </w:rPr>
        <w:t xml:space="preserve"> qua hai sự đánh giá song song</w:t>
      </w:r>
      <w:r w:rsidR="00833C42" w:rsidRPr="00790738">
        <w:rPr>
          <w:sz w:val="24"/>
          <w:szCs w:val="24"/>
        </w:rPr>
        <w:t>,</w:t>
      </w:r>
      <w:r>
        <w:rPr>
          <w:sz w:val="24"/>
          <w:szCs w:val="24"/>
        </w:rPr>
        <w:t xml:space="preserve"> bao gồm đánh giá đạo đức chuẩn mực (Deontological Evaluation) xem hành vi đó có phù hợp với nguyên tắc, nghĩa vụ và chuẩn mực xã hội hay không (Vermillion và cộng sự, 2002; Asif &amp; Khan, 2024) và đánh giá đạo đức hậu quả (Teleological Evaluation) xem xét kết quả, lợi ích mang lại hoặc tác hại đối với các bên liên quan (Vermillion và cộng sự, 2002; Asif &amp; Khan, 2024). Kết quả từ </w:t>
      </w:r>
      <w:r w:rsidR="00833C42" w:rsidRPr="00790738">
        <w:rPr>
          <w:sz w:val="24"/>
          <w:szCs w:val="24"/>
        </w:rPr>
        <w:t>2</w:t>
      </w:r>
      <w:r>
        <w:rPr>
          <w:sz w:val="24"/>
          <w:szCs w:val="24"/>
        </w:rPr>
        <w:t xml:space="preserve"> đánh giá này hình thành nên “Phán xét đạo đức” (Ethical Judgements), từ đó thúc đẩy ý định và dẫn đến hành vi mua sắm xanh thực tế (Vermillion và cộng sự, 2002; Asif &amp; Khan, 2024). </w:t>
      </w:r>
    </w:p>
    <w:p w14:paraId="0E240DE8" w14:textId="77777777" w:rsidR="00DE7FFB" w:rsidRDefault="001A3F31">
      <w:pPr>
        <w:rPr>
          <w:sz w:val="24"/>
          <w:szCs w:val="24"/>
        </w:rPr>
      </w:pPr>
      <w:r>
        <w:rPr>
          <w:sz w:val="24"/>
          <w:szCs w:val="24"/>
        </w:rPr>
        <w:t>Hầu hết các nghiên cứu trước đây sử dụng lý thuyết Hành vi có kế hoạch (TPB), Thuyết Kích hoạt Chuẩn mực (NAT) và Lý thuyết Niềm tin - Giá trị - Chuẩn mực (VBN) (Tian &amp; Lu, 2022; Kostadinova, 2016), hoặc tập trung đo lường ý định mua sắm đối với các hành vi dễ thực hiện, vì vậy việc ứng dụng mô hình Hunt-Vitell để giải thích sự lan tỏa hành vi từ không gian ảo (tương tác trực tuyến) sang hành vi thực tế là một khoảng trống cần được khai thác.</w:t>
      </w:r>
    </w:p>
    <w:p w14:paraId="183633E8" w14:textId="77777777" w:rsidR="00DE7FFB" w:rsidRPr="00790738" w:rsidRDefault="001A3F31">
      <w:pPr>
        <w:rPr>
          <w:b/>
          <w:bCs/>
          <w:i/>
          <w:iCs/>
          <w:sz w:val="24"/>
          <w:szCs w:val="24"/>
        </w:rPr>
      </w:pPr>
      <w:r w:rsidRPr="00790738">
        <w:rPr>
          <w:b/>
          <w:bCs/>
          <w:i/>
          <w:iCs/>
          <w:sz w:val="24"/>
          <w:szCs w:val="24"/>
        </w:rPr>
        <w:t xml:space="preserve">2.3. Mô hình nghiên cứu </w:t>
      </w:r>
    </w:p>
    <w:p w14:paraId="72720EB7" w14:textId="3194E268" w:rsidR="00DE7FFB" w:rsidRPr="00790738" w:rsidRDefault="001A3F31">
      <w:pPr>
        <w:rPr>
          <w:sz w:val="24"/>
          <w:szCs w:val="24"/>
          <w:lang w:val="en-US"/>
        </w:rPr>
      </w:pPr>
      <w:r>
        <w:rPr>
          <w:sz w:val="24"/>
          <w:szCs w:val="24"/>
        </w:rPr>
        <w:t>Dựa trên nền tảng lý thuyết Hunt-Vitell và nghiên cứu của (Wang và cộng sự, 2022), nhóm nghiên cứu đề xuất mô hình gồm 8 nhóm nhân tố và 55 biến quan sát, gồm: Tương tác thông tin trên cộng đồng trực tuyến (IMI); Tương tác liên cá nhân trong cộng đồng trực tuyến (IPI); Đánh giá đạo đức theo hậu quả (TE); Đánh giá đạo đức theo chuẩn mực (DE); Cảm xúc môi trường (EE); Phá</w:t>
      </w:r>
      <w:r w:rsidR="00833C42" w:rsidRPr="00790738">
        <w:rPr>
          <w:sz w:val="24"/>
          <w:szCs w:val="24"/>
        </w:rPr>
        <w:t>n</w:t>
      </w:r>
      <w:r>
        <w:rPr>
          <w:sz w:val="24"/>
          <w:szCs w:val="24"/>
        </w:rPr>
        <w:t xml:space="preserve"> xét đạo đức (EJ); Hành vi xanh mang tính riêng tư (BHV); Hành vi xanh mang tính công khai (BHP)</w:t>
      </w:r>
      <w:r w:rsidR="00833C42" w:rsidRPr="00790738">
        <w:rPr>
          <w:sz w:val="24"/>
          <w:szCs w:val="24"/>
        </w:rPr>
        <w:t xml:space="preserve">. </w:t>
      </w:r>
      <w:r w:rsidR="00833C42">
        <w:rPr>
          <w:sz w:val="24"/>
          <w:szCs w:val="24"/>
          <w:lang w:val="en-US"/>
        </w:rPr>
        <w:t>(</w:t>
      </w:r>
      <w:proofErr w:type="spellStart"/>
      <w:r w:rsidR="00833C42">
        <w:rPr>
          <w:sz w:val="24"/>
          <w:szCs w:val="24"/>
          <w:lang w:val="en-US"/>
        </w:rPr>
        <w:t>Hình</w:t>
      </w:r>
      <w:proofErr w:type="spellEnd"/>
      <w:r w:rsidR="00833C42">
        <w:rPr>
          <w:sz w:val="24"/>
          <w:szCs w:val="24"/>
          <w:lang w:val="en-US"/>
        </w:rPr>
        <w:t xml:space="preserve"> 1)</w:t>
      </w:r>
    </w:p>
    <w:p w14:paraId="1CAB6E9B" w14:textId="77777777" w:rsidR="00DE7FFB" w:rsidRDefault="001A3F31">
      <w:pPr>
        <w:ind w:firstLine="0"/>
        <w:jc w:val="center"/>
        <w:rPr>
          <w:b/>
          <w:bCs/>
          <w:sz w:val="24"/>
          <w:szCs w:val="24"/>
        </w:rPr>
      </w:pPr>
      <w:r>
        <w:rPr>
          <w:b/>
          <w:bCs/>
          <w:sz w:val="24"/>
          <w:szCs w:val="24"/>
        </w:rPr>
        <w:t>Hình 1. Mô hình nghiên cứu</w:t>
      </w:r>
    </w:p>
    <w:p w14:paraId="77BEE7FA" w14:textId="77777777" w:rsidR="00DE7FFB" w:rsidRDefault="001A3F31">
      <w:pPr>
        <w:spacing w:after="120" w:line="300" w:lineRule="auto"/>
        <w:ind w:left="1440" w:firstLine="0"/>
        <w:rPr>
          <w:sz w:val="24"/>
          <w:szCs w:val="24"/>
        </w:rPr>
      </w:pPr>
      <w:r>
        <w:rPr>
          <w:noProof/>
          <w:sz w:val="24"/>
          <w:szCs w:val="24"/>
          <w:lang w:val="en-US"/>
        </w:rPr>
        <w:lastRenderedPageBreak/>
        <mc:AlternateContent>
          <mc:Choice Requires="wpg">
            <w:drawing>
              <wp:inline distT="114300" distB="114300" distL="114300" distR="114300" wp14:anchorId="0A6373FC" wp14:editId="246541EC">
                <wp:extent cx="4081604" cy="4345959"/>
                <wp:effectExtent l="0" t="19050" r="14605" b="16510"/>
                <wp:docPr id="1" name="Group 1"/>
                <wp:cNvGraphicFramePr/>
                <a:graphic xmlns:a="http://schemas.openxmlformats.org/drawingml/2006/main">
                  <a:graphicData uri="http://schemas.microsoft.com/office/word/2010/wordprocessingGroup">
                    <wpg:wgp>
                      <wpg:cNvGrpSpPr/>
                      <wpg:grpSpPr>
                        <a:xfrm>
                          <a:off x="0" y="0"/>
                          <a:ext cx="4081604" cy="4345959"/>
                          <a:chOff x="1733625" y="54850"/>
                          <a:chExt cx="4112100" cy="4370327"/>
                        </a:xfrm>
                      </wpg:grpSpPr>
                      <wps:wsp>
                        <wps:cNvPr id="135897397" name="Rectangle 135897397"/>
                        <wps:cNvSpPr/>
                        <wps:spPr>
                          <a:xfrm rot="5400000">
                            <a:off x="3661467" y="-1799037"/>
                            <a:ext cx="269400" cy="4030200"/>
                          </a:xfrm>
                          <a:prstGeom prst="rect">
                            <a:avLst/>
                          </a:prstGeom>
                          <a:solidFill>
                            <a:srgbClr val="CFE2F3"/>
                          </a:solidFill>
                          <a:ln w="7675" cap="flat" cmpd="sng">
                            <a:solidFill>
                              <a:srgbClr val="000000"/>
                            </a:solidFill>
                            <a:prstDash val="solid"/>
                            <a:round/>
                            <a:headEnd type="none" w="sm" len="sm"/>
                            <a:tailEnd type="none" w="sm" len="sm"/>
                          </a:ln>
                        </wps:spPr>
                        <wps:txbx>
                          <w:txbxContent>
                            <w:p w14:paraId="370E6C43" w14:textId="77777777" w:rsidR="00DE7FFB" w:rsidRDefault="00DE7FFB">
                              <w:pPr>
                                <w:spacing w:before="0" w:line="240" w:lineRule="auto"/>
                                <w:ind w:firstLine="0"/>
                                <w:jc w:val="center"/>
                                <w:textDirection w:val="btLr"/>
                              </w:pPr>
                            </w:p>
                          </w:txbxContent>
                        </wps:txbx>
                        <wps:bodyPr spcFirstLastPara="1" wrap="square" lIns="73625" tIns="73625" rIns="73625" bIns="73625" anchor="ctr" anchorCtr="0">
                          <a:noAutofit/>
                        </wps:bodyPr>
                      </wps:wsp>
                      <wps:wsp>
                        <wps:cNvPr id="1150934046" name="Text Box 1150934046"/>
                        <wps:cNvSpPr txBox="1"/>
                        <wps:spPr>
                          <a:xfrm rot="21599494">
                            <a:off x="1757872" y="54850"/>
                            <a:ext cx="4077021" cy="309631"/>
                          </a:xfrm>
                          <a:prstGeom prst="rect">
                            <a:avLst/>
                          </a:prstGeom>
                          <a:noFill/>
                          <a:ln>
                            <a:noFill/>
                          </a:ln>
                        </wps:spPr>
                        <wps:txbx>
                          <w:txbxContent>
                            <w:p w14:paraId="4B7C5FB2" w14:textId="77777777" w:rsidR="00DE7FFB" w:rsidRDefault="001A3F31">
                              <w:pPr>
                                <w:spacing w:before="0" w:line="240" w:lineRule="auto"/>
                                <w:ind w:firstLine="0"/>
                                <w:jc w:val="center"/>
                                <w:textDirection w:val="btLr"/>
                              </w:pPr>
                              <w:r>
                                <w:rPr>
                                  <w:color w:val="000000"/>
                                  <w:sz w:val="22"/>
                                </w:rPr>
                                <w:t>Tương tác xanh trong cộng đồng trực tuyến</w:t>
                              </w:r>
                            </w:p>
                          </w:txbxContent>
                        </wps:txbx>
                        <wps:bodyPr spcFirstLastPara="1" wrap="square" lIns="73625" tIns="73625" rIns="73625" bIns="73625" anchor="t" anchorCtr="0">
                          <a:spAutoFit/>
                        </wps:bodyPr>
                      </wps:wsp>
                      <wps:wsp>
                        <wps:cNvPr id="1383233613" name="Rectangle 1383233613"/>
                        <wps:cNvSpPr/>
                        <wps:spPr>
                          <a:xfrm>
                            <a:off x="1790574" y="600118"/>
                            <a:ext cx="1205700" cy="336900"/>
                          </a:xfrm>
                          <a:prstGeom prst="rect">
                            <a:avLst/>
                          </a:prstGeom>
                          <a:solidFill>
                            <a:srgbClr val="CFE2F3"/>
                          </a:solidFill>
                          <a:ln w="7675" cap="flat" cmpd="sng">
                            <a:solidFill>
                              <a:srgbClr val="000000"/>
                            </a:solidFill>
                            <a:prstDash val="solid"/>
                            <a:round/>
                            <a:headEnd type="none" w="sm" len="sm"/>
                            <a:tailEnd type="none" w="sm" len="sm"/>
                          </a:ln>
                        </wps:spPr>
                        <wps:txbx>
                          <w:txbxContent>
                            <w:p w14:paraId="4C913DE6" w14:textId="77777777" w:rsidR="00DE7FFB" w:rsidRDefault="00DE7FFB">
                              <w:pPr>
                                <w:spacing w:before="0" w:line="240" w:lineRule="auto"/>
                                <w:ind w:firstLine="0"/>
                                <w:jc w:val="center"/>
                                <w:textDirection w:val="btLr"/>
                              </w:pPr>
                            </w:p>
                          </w:txbxContent>
                        </wps:txbx>
                        <wps:bodyPr spcFirstLastPara="1" wrap="square" lIns="73625" tIns="73625" rIns="73625" bIns="73625" anchor="ctr" anchorCtr="0">
                          <a:noAutofit/>
                        </wps:bodyPr>
                      </wps:wsp>
                      <wps:wsp>
                        <wps:cNvPr id="366361348" name="Text Box 366361348"/>
                        <wps:cNvSpPr txBox="1"/>
                        <wps:spPr>
                          <a:xfrm>
                            <a:off x="1773181" y="616126"/>
                            <a:ext cx="1240394" cy="287282"/>
                          </a:xfrm>
                          <a:prstGeom prst="rect">
                            <a:avLst/>
                          </a:prstGeom>
                          <a:noFill/>
                          <a:ln>
                            <a:noFill/>
                          </a:ln>
                        </wps:spPr>
                        <wps:txbx>
                          <w:txbxContent>
                            <w:p w14:paraId="5DC8B653" w14:textId="77777777" w:rsidR="00DE7FFB" w:rsidRDefault="001A3F31">
                              <w:pPr>
                                <w:spacing w:before="0" w:line="240" w:lineRule="auto"/>
                                <w:ind w:firstLine="0"/>
                                <w:jc w:val="center"/>
                                <w:textDirection w:val="btLr"/>
                              </w:pPr>
                              <w:r>
                                <w:rPr>
                                  <w:color w:val="000000"/>
                                  <w:sz w:val="19"/>
                                </w:rPr>
                                <w:t>Tương tác thông tin</w:t>
                              </w:r>
                            </w:p>
                          </w:txbxContent>
                        </wps:txbx>
                        <wps:bodyPr spcFirstLastPara="1" wrap="square" lIns="73625" tIns="73625" rIns="73625" bIns="73625" anchor="t" anchorCtr="0">
                          <a:spAutoFit/>
                        </wps:bodyPr>
                      </wps:wsp>
                      <wps:wsp>
                        <wps:cNvPr id="1701898663" name="Rectangle 1701898663"/>
                        <wps:cNvSpPr/>
                        <wps:spPr>
                          <a:xfrm>
                            <a:off x="4570733" y="607168"/>
                            <a:ext cx="1200900" cy="322800"/>
                          </a:xfrm>
                          <a:prstGeom prst="rect">
                            <a:avLst/>
                          </a:prstGeom>
                          <a:solidFill>
                            <a:srgbClr val="CFE2F3"/>
                          </a:solidFill>
                          <a:ln w="7675" cap="flat" cmpd="sng">
                            <a:solidFill>
                              <a:srgbClr val="000000"/>
                            </a:solidFill>
                            <a:prstDash val="solid"/>
                            <a:round/>
                            <a:headEnd type="none" w="sm" len="sm"/>
                            <a:tailEnd type="none" w="sm" len="sm"/>
                          </a:ln>
                        </wps:spPr>
                        <wps:txbx>
                          <w:txbxContent>
                            <w:p w14:paraId="530A2075" w14:textId="77777777" w:rsidR="00DE7FFB" w:rsidRDefault="00DE7FFB">
                              <w:pPr>
                                <w:spacing w:before="0" w:line="240" w:lineRule="auto"/>
                                <w:ind w:firstLine="0"/>
                                <w:jc w:val="center"/>
                                <w:textDirection w:val="btLr"/>
                              </w:pPr>
                            </w:p>
                          </w:txbxContent>
                        </wps:txbx>
                        <wps:bodyPr spcFirstLastPara="1" wrap="square" lIns="73625" tIns="73625" rIns="73625" bIns="73625" anchor="ctr" anchorCtr="0">
                          <a:noAutofit/>
                        </wps:bodyPr>
                      </wps:wsp>
                      <wps:wsp>
                        <wps:cNvPr id="1175792467" name="Text Box 1175792467"/>
                        <wps:cNvSpPr txBox="1"/>
                        <wps:spPr>
                          <a:xfrm>
                            <a:off x="4575458" y="545526"/>
                            <a:ext cx="1235916" cy="427127"/>
                          </a:xfrm>
                          <a:prstGeom prst="rect">
                            <a:avLst/>
                          </a:prstGeom>
                          <a:noFill/>
                          <a:ln>
                            <a:noFill/>
                          </a:ln>
                        </wps:spPr>
                        <wps:txbx>
                          <w:txbxContent>
                            <w:p w14:paraId="047C390F" w14:textId="77777777" w:rsidR="00DE7FFB" w:rsidRDefault="001A3F31">
                              <w:pPr>
                                <w:spacing w:before="0" w:line="240" w:lineRule="auto"/>
                                <w:ind w:firstLine="0"/>
                                <w:jc w:val="center"/>
                                <w:textDirection w:val="btLr"/>
                              </w:pPr>
                              <w:r>
                                <w:rPr>
                                  <w:color w:val="000000"/>
                                  <w:sz w:val="19"/>
                                </w:rPr>
                                <w:t xml:space="preserve">Tương tác liên </w:t>
                              </w:r>
                            </w:p>
                            <w:p w14:paraId="2CA5A1C8" w14:textId="77777777" w:rsidR="00DE7FFB" w:rsidRDefault="001A3F31">
                              <w:pPr>
                                <w:spacing w:before="0" w:line="240" w:lineRule="auto"/>
                                <w:ind w:firstLine="0"/>
                                <w:jc w:val="center"/>
                                <w:textDirection w:val="btLr"/>
                              </w:pPr>
                              <w:r>
                                <w:rPr>
                                  <w:color w:val="000000"/>
                                  <w:sz w:val="19"/>
                                </w:rPr>
                                <w:t>cá nhân</w:t>
                              </w:r>
                            </w:p>
                          </w:txbxContent>
                        </wps:txbx>
                        <wps:bodyPr spcFirstLastPara="1" wrap="square" lIns="73625" tIns="73625" rIns="73625" bIns="73625" anchor="t" anchorCtr="0">
                          <a:spAutoFit/>
                        </wps:bodyPr>
                      </wps:wsp>
                      <wps:wsp>
                        <wps:cNvPr id="1285456889" name="Rectangle 1285456889"/>
                        <wps:cNvSpPr/>
                        <wps:spPr>
                          <a:xfrm>
                            <a:off x="3289063" y="1684225"/>
                            <a:ext cx="1058700" cy="607500"/>
                          </a:xfrm>
                          <a:prstGeom prst="rect">
                            <a:avLst/>
                          </a:prstGeom>
                          <a:solidFill>
                            <a:srgbClr val="CFE2F3"/>
                          </a:solidFill>
                          <a:ln w="7675" cap="flat" cmpd="sng">
                            <a:solidFill>
                              <a:srgbClr val="000000"/>
                            </a:solidFill>
                            <a:prstDash val="solid"/>
                            <a:round/>
                            <a:headEnd type="none" w="sm" len="sm"/>
                            <a:tailEnd type="none" w="sm" len="sm"/>
                          </a:ln>
                        </wps:spPr>
                        <wps:txbx>
                          <w:txbxContent>
                            <w:p w14:paraId="492473EC" w14:textId="77777777" w:rsidR="00DE7FFB" w:rsidRDefault="00DE7FFB">
                              <w:pPr>
                                <w:spacing w:before="0" w:line="240" w:lineRule="auto"/>
                                <w:ind w:firstLine="0"/>
                                <w:jc w:val="center"/>
                                <w:textDirection w:val="btLr"/>
                              </w:pPr>
                            </w:p>
                          </w:txbxContent>
                        </wps:txbx>
                        <wps:bodyPr spcFirstLastPara="1" wrap="square" lIns="73625" tIns="73625" rIns="73625" bIns="73625" anchor="ctr" anchorCtr="0">
                          <a:noAutofit/>
                        </wps:bodyPr>
                      </wps:wsp>
                      <wps:wsp>
                        <wps:cNvPr id="2111080338" name="Text Box 2111080338"/>
                        <wps:cNvSpPr txBox="1"/>
                        <wps:spPr>
                          <a:xfrm>
                            <a:off x="3311599" y="1764918"/>
                            <a:ext cx="955068" cy="427127"/>
                          </a:xfrm>
                          <a:prstGeom prst="rect">
                            <a:avLst/>
                          </a:prstGeom>
                          <a:noFill/>
                          <a:ln>
                            <a:noFill/>
                          </a:ln>
                        </wps:spPr>
                        <wps:txbx>
                          <w:txbxContent>
                            <w:p w14:paraId="46BDC5EE" w14:textId="77777777" w:rsidR="00DE7FFB" w:rsidRDefault="001A3F31">
                              <w:pPr>
                                <w:spacing w:before="0" w:line="240" w:lineRule="auto"/>
                                <w:ind w:firstLine="0"/>
                                <w:jc w:val="center"/>
                                <w:textDirection w:val="btLr"/>
                              </w:pPr>
                              <w:r>
                                <w:rPr>
                                  <w:color w:val="000000"/>
                                  <w:sz w:val="19"/>
                                </w:rPr>
                                <w:t>Cảm xúc</w:t>
                              </w:r>
                            </w:p>
                            <w:p w14:paraId="795F0915" w14:textId="77777777" w:rsidR="00DE7FFB" w:rsidRDefault="001A3F31">
                              <w:pPr>
                                <w:spacing w:before="0" w:line="240" w:lineRule="auto"/>
                                <w:ind w:firstLine="0"/>
                                <w:jc w:val="center"/>
                                <w:textDirection w:val="btLr"/>
                              </w:pPr>
                              <w:r>
                                <w:rPr>
                                  <w:color w:val="000000"/>
                                  <w:sz w:val="19"/>
                                </w:rPr>
                                <w:t xml:space="preserve"> môi trường</w:t>
                              </w:r>
                            </w:p>
                          </w:txbxContent>
                        </wps:txbx>
                        <wps:bodyPr spcFirstLastPara="1" wrap="square" lIns="73625" tIns="73625" rIns="73625" bIns="73625" anchor="t" anchorCtr="0">
                          <a:spAutoFit/>
                        </wps:bodyPr>
                      </wps:wsp>
                      <wps:wsp>
                        <wps:cNvPr id="955479601" name="Rectangle 955479601"/>
                        <wps:cNvSpPr/>
                        <wps:spPr>
                          <a:xfrm>
                            <a:off x="4717171" y="1526335"/>
                            <a:ext cx="1031700" cy="465900"/>
                          </a:xfrm>
                          <a:prstGeom prst="rect">
                            <a:avLst/>
                          </a:prstGeom>
                          <a:solidFill>
                            <a:srgbClr val="CFE2F3"/>
                          </a:solidFill>
                          <a:ln w="7675" cap="flat" cmpd="sng">
                            <a:solidFill>
                              <a:srgbClr val="000000"/>
                            </a:solidFill>
                            <a:prstDash val="solid"/>
                            <a:round/>
                            <a:headEnd type="none" w="sm" len="sm"/>
                            <a:tailEnd type="none" w="sm" len="sm"/>
                          </a:ln>
                        </wps:spPr>
                        <wps:txbx>
                          <w:txbxContent>
                            <w:p w14:paraId="02D3B33B" w14:textId="77777777" w:rsidR="00DE7FFB" w:rsidRDefault="00DE7FFB">
                              <w:pPr>
                                <w:spacing w:before="0" w:line="240" w:lineRule="auto"/>
                                <w:ind w:firstLine="0"/>
                                <w:jc w:val="center"/>
                                <w:textDirection w:val="btLr"/>
                              </w:pPr>
                            </w:p>
                          </w:txbxContent>
                        </wps:txbx>
                        <wps:bodyPr spcFirstLastPara="1" wrap="square" lIns="73625" tIns="73625" rIns="73625" bIns="73625" anchor="ctr" anchorCtr="0">
                          <a:noAutofit/>
                        </wps:bodyPr>
                      </wps:wsp>
                      <wps:wsp>
                        <wps:cNvPr id="1110529460" name="Text Box 1110529460"/>
                        <wps:cNvSpPr txBox="1"/>
                        <wps:spPr>
                          <a:xfrm>
                            <a:off x="4732887" y="1536219"/>
                            <a:ext cx="1058707" cy="427127"/>
                          </a:xfrm>
                          <a:prstGeom prst="rect">
                            <a:avLst/>
                          </a:prstGeom>
                          <a:noFill/>
                          <a:ln>
                            <a:noFill/>
                          </a:ln>
                        </wps:spPr>
                        <wps:txbx>
                          <w:txbxContent>
                            <w:p w14:paraId="3683F64F" w14:textId="77777777" w:rsidR="00DE7FFB" w:rsidRDefault="001A3F31">
                              <w:pPr>
                                <w:spacing w:before="0" w:line="240" w:lineRule="auto"/>
                                <w:ind w:firstLine="0"/>
                                <w:jc w:val="center"/>
                                <w:textDirection w:val="btLr"/>
                              </w:pPr>
                              <w:r>
                                <w:rPr>
                                  <w:color w:val="000000"/>
                                  <w:sz w:val="19"/>
                                </w:rPr>
                                <w:t>Đánh giá đạo đức theo chuẩn mực</w:t>
                              </w:r>
                            </w:p>
                          </w:txbxContent>
                        </wps:txbx>
                        <wps:bodyPr spcFirstLastPara="1" wrap="square" lIns="73625" tIns="73625" rIns="73625" bIns="73625" anchor="t" anchorCtr="0">
                          <a:spAutoFit/>
                        </wps:bodyPr>
                      </wps:wsp>
                      <wps:wsp>
                        <wps:cNvPr id="818403026" name="Rectangle 818403026"/>
                        <wps:cNvSpPr/>
                        <wps:spPr>
                          <a:xfrm>
                            <a:off x="1826630" y="1539663"/>
                            <a:ext cx="1031700" cy="465900"/>
                          </a:xfrm>
                          <a:prstGeom prst="rect">
                            <a:avLst/>
                          </a:prstGeom>
                          <a:solidFill>
                            <a:srgbClr val="CFE2F3"/>
                          </a:solidFill>
                          <a:ln w="7675" cap="flat" cmpd="sng">
                            <a:solidFill>
                              <a:srgbClr val="000000"/>
                            </a:solidFill>
                            <a:prstDash val="solid"/>
                            <a:round/>
                            <a:headEnd type="none" w="sm" len="sm"/>
                            <a:tailEnd type="none" w="sm" len="sm"/>
                          </a:ln>
                        </wps:spPr>
                        <wps:txbx>
                          <w:txbxContent>
                            <w:p w14:paraId="6048A341" w14:textId="77777777" w:rsidR="00DE7FFB" w:rsidRDefault="00DE7FFB">
                              <w:pPr>
                                <w:spacing w:before="0" w:line="240" w:lineRule="auto"/>
                                <w:ind w:firstLine="0"/>
                                <w:jc w:val="center"/>
                                <w:textDirection w:val="btLr"/>
                              </w:pPr>
                            </w:p>
                          </w:txbxContent>
                        </wps:txbx>
                        <wps:bodyPr spcFirstLastPara="1" wrap="square" lIns="73625" tIns="73625" rIns="73625" bIns="73625" anchor="ctr" anchorCtr="0">
                          <a:noAutofit/>
                        </wps:bodyPr>
                      </wps:wsp>
                      <wps:wsp>
                        <wps:cNvPr id="505491428" name="Text Box 505491428"/>
                        <wps:cNvSpPr txBox="1"/>
                        <wps:spPr>
                          <a:xfrm>
                            <a:off x="1822490" y="1549569"/>
                            <a:ext cx="1056148" cy="427127"/>
                          </a:xfrm>
                          <a:prstGeom prst="rect">
                            <a:avLst/>
                          </a:prstGeom>
                          <a:noFill/>
                          <a:ln>
                            <a:noFill/>
                          </a:ln>
                        </wps:spPr>
                        <wps:txbx>
                          <w:txbxContent>
                            <w:p w14:paraId="240D7EF3" w14:textId="77777777" w:rsidR="00DE7FFB" w:rsidRDefault="001A3F31">
                              <w:pPr>
                                <w:spacing w:before="0" w:line="240" w:lineRule="auto"/>
                                <w:ind w:firstLine="0"/>
                                <w:jc w:val="center"/>
                                <w:textDirection w:val="btLr"/>
                              </w:pPr>
                              <w:r>
                                <w:rPr>
                                  <w:color w:val="000000"/>
                                  <w:sz w:val="19"/>
                                </w:rPr>
                                <w:t>Đánh giá đạo đức theo hậu quả</w:t>
                              </w:r>
                            </w:p>
                          </w:txbxContent>
                        </wps:txbx>
                        <wps:bodyPr spcFirstLastPara="1" wrap="square" lIns="73625" tIns="73625" rIns="73625" bIns="73625" anchor="t" anchorCtr="0">
                          <a:spAutoFit/>
                        </wps:bodyPr>
                      </wps:wsp>
                      <wps:wsp>
                        <wps:cNvPr id="1262837606" name="Rectangle 1262837606"/>
                        <wps:cNvSpPr/>
                        <wps:spPr>
                          <a:xfrm>
                            <a:off x="3289124" y="2484665"/>
                            <a:ext cx="1058700" cy="465900"/>
                          </a:xfrm>
                          <a:prstGeom prst="rect">
                            <a:avLst/>
                          </a:prstGeom>
                          <a:solidFill>
                            <a:srgbClr val="CFE2F3"/>
                          </a:solidFill>
                          <a:ln w="7675" cap="flat" cmpd="sng">
                            <a:solidFill>
                              <a:srgbClr val="000000"/>
                            </a:solidFill>
                            <a:prstDash val="solid"/>
                            <a:round/>
                            <a:headEnd type="none" w="sm" len="sm"/>
                            <a:tailEnd type="none" w="sm" len="sm"/>
                          </a:ln>
                        </wps:spPr>
                        <wps:txbx>
                          <w:txbxContent>
                            <w:p w14:paraId="127934E7" w14:textId="77777777" w:rsidR="00DE7FFB" w:rsidRDefault="00DE7FFB">
                              <w:pPr>
                                <w:spacing w:before="0" w:line="240" w:lineRule="auto"/>
                                <w:ind w:firstLine="0"/>
                                <w:jc w:val="center"/>
                                <w:textDirection w:val="btLr"/>
                              </w:pPr>
                            </w:p>
                          </w:txbxContent>
                        </wps:txbx>
                        <wps:bodyPr spcFirstLastPara="1" wrap="square" lIns="73625" tIns="73625" rIns="73625" bIns="73625" anchor="ctr" anchorCtr="0">
                          <a:noAutofit/>
                        </wps:bodyPr>
                      </wps:wsp>
                      <wps:wsp>
                        <wps:cNvPr id="1475001325" name="Text Box 1475001325"/>
                        <wps:cNvSpPr txBox="1"/>
                        <wps:spPr>
                          <a:xfrm>
                            <a:off x="3311586" y="2483077"/>
                            <a:ext cx="1013285" cy="427127"/>
                          </a:xfrm>
                          <a:prstGeom prst="rect">
                            <a:avLst/>
                          </a:prstGeom>
                          <a:noFill/>
                          <a:ln>
                            <a:noFill/>
                          </a:ln>
                        </wps:spPr>
                        <wps:txbx>
                          <w:txbxContent>
                            <w:p w14:paraId="496D3A89" w14:textId="77777777" w:rsidR="00DE7FFB" w:rsidRDefault="001A3F31">
                              <w:pPr>
                                <w:spacing w:before="0" w:line="240" w:lineRule="auto"/>
                                <w:ind w:firstLine="0"/>
                                <w:jc w:val="center"/>
                                <w:textDirection w:val="btLr"/>
                              </w:pPr>
                              <w:r>
                                <w:rPr>
                                  <w:color w:val="000000"/>
                                  <w:sz w:val="19"/>
                                </w:rPr>
                                <w:t xml:space="preserve">Phán xét </w:t>
                              </w:r>
                            </w:p>
                            <w:p w14:paraId="7E6B7E8B" w14:textId="77777777" w:rsidR="00DE7FFB" w:rsidRDefault="001A3F31">
                              <w:pPr>
                                <w:spacing w:before="0" w:line="240" w:lineRule="auto"/>
                                <w:ind w:firstLine="0"/>
                                <w:jc w:val="center"/>
                                <w:textDirection w:val="btLr"/>
                              </w:pPr>
                              <w:r>
                                <w:rPr>
                                  <w:color w:val="000000"/>
                                  <w:sz w:val="19"/>
                                </w:rPr>
                                <w:t>đạo đức</w:t>
                              </w:r>
                            </w:p>
                          </w:txbxContent>
                        </wps:txbx>
                        <wps:bodyPr spcFirstLastPara="1" wrap="square" lIns="73625" tIns="73625" rIns="73625" bIns="73625" anchor="t" anchorCtr="0">
                          <a:spAutoFit/>
                        </wps:bodyPr>
                      </wps:wsp>
                      <wps:wsp>
                        <wps:cNvPr id="1046316625" name="Rectangle 1046316625"/>
                        <wps:cNvSpPr/>
                        <wps:spPr>
                          <a:xfrm>
                            <a:off x="3289080" y="3149234"/>
                            <a:ext cx="1058700" cy="465900"/>
                          </a:xfrm>
                          <a:prstGeom prst="rect">
                            <a:avLst/>
                          </a:prstGeom>
                          <a:solidFill>
                            <a:srgbClr val="CFE2F3"/>
                          </a:solidFill>
                          <a:ln w="7675" cap="flat" cmpd="sng">
                            <a:solidFill>
                              <a:srgbClr val="000000"/>
                            </a:solidFill>
                            <a:prstDash val="solid"/>
                            <a:round/>
                            <a:headEnd type="none" w="sm" len="sm"/>
                            <a:tailEnd type="none" w="sm" len="sm"/>
                          </a:ln>
                        </wps:spPr>
                        <wps:txbx>
                          <w:txbxContent>
                            <w:p w14:paraId="1E18E266" w14:textId="77777777" w:rsidR="00DE7FFB" w:rsidRDefault="00DE7FFB">
                              <w:pPr>
                                <w:spacing w:before="0" w:line="240" w:lineRule="auto"/>
                                <w:ind w:firstLine="0"/>
                                <w:jc w:val="center"/>
                                <w:textDirection w:val="btLr"/>
                              </w:pPr>
                            </w:p>
                          </w:txbxContent>
                        </wps:txbx>
                        <wps:bodyPr spcFirstLastPara="1" wrap="square" lIns="73625" tIns="73625" rIns="73625" bIns="73625" anchor="ctr" anchorCtr="0">
                          <a:noAutofit/>
                        </wps:bodyPr>
                      </wps:wsp>
                      <wps:wsp>
                        <wps:cNvPr id="329666293" name="Text Box 329666293"/>
                        <wps:cNvSpPr txBox="1"/>
                        <wps:spPr>
                          <a:xfrm>
                            <a:off x="3311967" y="3219904"/>
                            <a:ext cx="1013285" cy="287282"/>
                          </a:xfrm>
                          <a:prstGeom prst="rect">
                            <a:avLst/>
                          </a:prstGeom>
                          <a:noFill/>
                          <a:ln>
                            <a:noFill/>
                          </a:ln>
                        </wps:spPr>
                        <wps:txbx>
                          <w:txbxContent>
                            <w:p w14:paraId="3ACF28CD" w14:textId="77777777" w:rsidR="00DE7FFB" w:rsidRDefault="001A3F31">
                              <w:pPr>
                                <w:spacing w:before="0" w:line="240" w:lineRule="auto"/>
                                <w:ind w:firstLine="0"/>
                                <w:jc w:val="center"/>
                                <w:textDirection w:val="btLr"/>
                              </w:pPr>
                              <w:r>
                                <w:rPr>
                                  <w:color w:val="000000"/>
                                  <w:sz w:val="19"/>
                                </w:rPr>
                                <w:t>Hành vi</w:t>
                              </w:r>
                            </w:p>
                          </w:txbxContent>
                        </wps:txbx>
                        <wps:bodyPr spcFirstLastPara="1" wrap="square" lIns="73625" tIns="73625" rIns="73625" bIns="73625" anchor="t" anchorCtr="0">
                          <a:spAutoFit/>
                        </wps:bodyPr>
                      </wps:wsp>
                      <wps:wsp>
                        <wps:cNvPr id="794692428" name="Rectangle 794692428"/>
                        <wps:cNvSpPr/>
                        <wps:spPr>
                          <a:xfrm>
                            <a:off x="1733625" y="490125"/>
                            <a:ext cx="4112100" cy="558300"/>
                          </a:xfrm>
                          <a:prstGeom prst="rect">
                            <a:avLst/>
                          </a:prstGeom>
                          <a:noFill/>
                          <a:ln w="19050" cap="flat" cmpd="sng">
                            <a:solidFill>
                              <a:srgbClr val="000000"/>
                            </a:solidFill>
                            <a:prstDash val="dashDot"/>
                            <a:round/>
                            <a:headEnd type="none" w="sm" len="sm"/>
                            <a:tailEnd type="none" w="sm" len="sm"/>
                          </a:ln>
                        </wps:spPr>
                        <wps:txbx>
                          <w:txbxContent>
                            <w:p w14:paraId="676DF93B" w14:textId="77777777" w:rsidR="00DE7FFB" w:rsidRDefault="00DE7FFB">
                              <w:pPr>
                                <w:spacing w:before="0" w:line="240" w:lineRule="auto"/>
                                <w:ind w:firstLine="0"/>
                                <w:jc w:val="center"/>
                                <w:textDirection w:val="btLr"/>
                              </w:pPr>
                            </w:p>
                          </w:txbxContent>
                        </wps:txbx>
                        <wps:bodyPr spcFirstLastPara="1" wrap="square" lIns="91425" tIns="91425" rIns="91425" bIns="91425" anchor="ctr" anchorCtr="0">
                          <a:noAutofit/>
                        </wps:bodyPr>
                      </wps:wsp>
                      <wps:wsp>
                        <wps:cNvPr id="865109490" name="Straight Arrow Connector 865109490"/>
                        <wps:cNvCnPr/>
                        <wps:spPr>
                          <a:xfrm>
                            <a:off x="2368650" y="350775"/>
                            <a:ext cx="0" cy="224400"/>
                          </a:xfrm>
                          <a:prstGeom prst="straightConnector1">
                            <a:avLst/>
                          </a:prstGeom>
                          <a:noFill/>
                          <a:ln w="9525" cap="flat" cmpd="sng">
                            <a:solidFill>
                              <a:srgbClr val="000000"/>
                            </a:solidFill>
                            <a:prstDash val="solid"/>
                            <a:round/>
                            <a:headEnd type="none" w="med" len="med"/>
                            <a:tailEnd type="none" w="med" len="med"/>
                          </a:ln>
                        </wps:spPr>
                        <wps:bodyPr/>
                      </wps:wsp>
                      <wps:wsp>
                        <wps:cNvPr id="164469550" name="Straight Arrow Connector 164469550"/>
                        <wps:cNvCnPr/>
                        <wps:spPr>
                          <a:xfrm>
                            <a:off x="5188525" y="350775"/>
                            <a:ext cx="0" cy="224400"/>
                          </a:xfrm>
                          <a:prstGeom prst="straightConnector1">
                            <a:avLst/>
                          </a:prstGeom>
                          <a:noFill/>
                          <a:ln w="9525" cap="flat" cmpd="sng">
                            <a:solidFill>
                              <a:srgbClr val="000000"/>
                            </a:solidFill>
                            <a:prstDash val="solid"/>
                            <a:round/>
                            <a:headEnd type="none" w="med" len="med"/>
                            <a:tailEnd type="none" w="med" len="med"/>
                          </a:ln>
                        </wps:spPr>
                        <wps:bodyPr/>
                      </wps:wsp>
                      <wps:wsp>
                        <wps:cNvPr id="1362626160" name="Connector: Elbow 1362626160"/>
                        <wps:cNvCnPr/>
                        <wps:spPr>
                          <a:xfrm>
                            <a:off x="2370013" y="1426825"/>
                            <a:ext cx="1448400" cy="257400"/>
                          </a:xfrm>
                          <a:prstGeom prst="bentConnector2">
                            <a:avLst/>
                          </a:prstGeom>
                          <a:noFill/>
                          <a:ln w="9525" cap="flat" cmpd="sng">
                            <a:solidFill>
                              <a:srgbClr val="000000"/>
                            </a:solidFill>
                            <a:prstDash val="solid"/>
                            <a:round/>
                            <a:headEnd type="none" w="med" len="med"/>
                            <a:tailEnd type="triangle" w="med" len="med"/>
                          </a:ln>
                        </wps:spPr>
                        <wps:bodyPr/>
                      </wps:wsp>
                      <wps:wsp>
                        <wps:cNvPr id="965244809" name="Connector: Elbow 965244809"/>
                        <wps:cNvCnPr/>
                        <wps:spPr>
                          <a:xfrm flipH="1">
                            <a:off x="3818413" y="1421125"/>
                            <a:ext cx="1418400" cy="263100"/>
                          </a:xfrm>
                          <a:prstGeom prst="bentConnector2">
                            <a:avLst/>
                          </a:prstGeom>
                          <a:noFill/>
                          <a:ln w="9525" cap="flat" cmpd="sng">
                            <a:solidFill>
                              <a:srgbClr val="000000"/>
                            </a:solidFill>
                            <a:prstDash val="solid"/>
                            <a:round/>
                            <a:headEnd type="none" w="med" len="med"/>
                            <a:tailEnd type="triangle" w="med" len="med"/>
                          </a:ln>
                        </wps:spPr>
                        <wps:bodyPr/>
                      </wps:wsp>
                      <wps:wsp>
                        <wps:cNvPr id="847930913" name="Text Box 847930913"/>
                        <wps:cNvSpPr txBox="1"/>
                        <wps:spPr>
                          <a:xfrm>
                            <a:off x="3202200" y="1161226"/>
                            <a:ext cx="1401900" cy="224400"/>
                          </a:xfrm>
                          <a:prstGeom prst="rect">
                            <a:avLst/>
                          </a:prstGeom>
                          <a:noFill/>
                          <a:ln>
                            <a:noFill/>
                          </a:ln>
                        </wps:spPr>
                        <wps:txbx>
                          <w:txbxContent>
                            <w:p w14:paraId="5BC76AEC" w14:textId="77777777" w:rsidR="00DE7FFB" w:rsidRDefault="001A3F31">
                              <w:pPr>
                                <w:spacing w:before="0" w:line="240" w:lineRule="auto"/>
                                <w:ind w:firstLine="0"/>
                                <w:jc w:val="center"/>
                                <w:textDirection w:val="btLr"/>
                              </w:pPr>
                              <w:r>
                                <w:rPr>
                                  <w:color w:val="000000"/>
                                  <w:sz w:val="18"/>
                                </w:rPr>
                                <w:t>Tích cực/ Tiêu cực</w:t>
                              </w:r>
                            </w:p>
                          </w:txbxContent>
                        </wps:txbx>
                        <wps:bodyPr spcFirstLastPara="1" wrap="square" lIns="91425" tIns="91425" rIns="91425" bIns="91425" anchor="t" anchorCtr="0">
                          <a:noAutofit/>
                        </wps:bodyPr>
                      </wps:wsp>
                      <wps:wsp>
                        <wps:cNvPr id="1586333374" name="Connector: Elbow 1586333374"/>
                        <wps:cNvCnPr/>
                        <wps:spPr>
                          <a:xfrm rot="-5400000" flipH="1">
                            <a:off x="2476050" y="1870275"/>
                            <a:ext cx="710400" cy="961200"/>
                          </a:xfrm>
                          <a:prstGeom prst="bentConnector2">
                            <a:avLst/>
                          </a:prstGeom>
                          <a:noFill/>
                          <a:ln w="9525" cap="flat" cmpd="sng">
                            <a:solidFill>
                              <a:srgbClr val="000000"/>
                            </a:solidFill>
                            <a:prstDash val="solid"/>
                            <a:round/>
                            <a:headEnd type="none" w="med" len="med"/>
                            <a:tailEnd type="triangle" w="med" len="med"/>
                          </a:ln>
                        </wps:spPr>
                        <wps:bodyPr/>
                      </wps:wsp>
                      <wps:wsp>
                        <wps:cNvPr id="545404740" name="Connector: Elbow 545404740"/>
                        <wps:cNvCnPr/>
                        <wps:spPr>
                          <a:xfrm flipH="1">
                            <a:off x="4336531" y="1999768"/>
                            <a:ext cx="908100" cy="690900"/>
                          </a:xfrm>
                          <a:prstGeom prst="bentConnector3">
                            <a:avLst>
                              <a:gd name="adj1" fmla="val 9"/>
                            </a:avLst>
                          </a:prstGeom>
                          <a:noFill/>
                          <a:ln w="9525" cap="flat" cmpd="sng">
                            <a:solidFill>
                              <a:srgbClr val="000000"/>
                            </a:solidFill>
                            <a:prstDash val="solid"/>
                            <a:round/>
                            <a:headEnd type="none" w="med" len="med"/>
                            <a:tailEnd type="triangle" w="med" len="med"/>
                          </a:ln>
                        </wps:spPr>
                        <wps:bodyPr/>
                      </wps:wsp>
                      <wps:wsp>
                        <wps:cNvPr id="691916857" name="Straight Arrow Connector 691916857"/>
                        <wps:cNvCnPr/>
                        <wps:spPr>
                          <a:xfrm>
                            <a:off x="3818413" y="2291725"/>
                            <a:ext cx="0" cy="191400"/>
                          </a:xfrm>
                          <a:prstGeom prst="straightConnector1">
                            <a:avLst/>
                          </a:prstGeom>
                          <a:noFill/>
                          <a:ln w="9525" cap="flat" cmpd="sng">
                            <a:solidFill>
                              <a:srgbClr val="000000"/>
                            </a:solidFill>
                            <a:prstDash val="solid"/>
                            <a:round/>
                            <a:headEnd type="none" w="med" len="med"/>
                            <a:tailEnd type="triangle" w="med" len="med"/>
                          </a:ln>
                        </wps:spPr>
                        <wps:bodyPr/>
                      </wps:wsp>
                      <wps:wsp>
                        <wps:cNvPr id="356161230" name="Rectangle 356161230"/>
                        <wps:cNvSpPr/>
                        <wps:spPr>
                          <a:xfrm>
                            <a:off x="2253030" y="3959277"/>
                            <a:ext cx="1058700" cy="465900"/>
                          </a:xfrm>
                          <a:prstGeom prst="rect">
                            <a:avLst/>
                          </a:prstGeom>
                          <a:solidFill>
                            <a:srgbClr val="CFE2F3"/>
                          </a:solidFill>
                          <a:ln w="7675" cap="flat" cmpd="sng">
                            <a:solidFill>
                              <a:srgbClr val="000000"/>
                            </a:solidFill>
                            <a:prstDash val="solid"/>
                            <a:round/>
                            <a:headEnd type="none" w="sm" len="sm"/>
                            <a:tailEnd type="none" w="sm" len="sm"/>
                          </a:ln>
                        </wps:spPr>
                        <wps:txbx>
                          <w:txbxContent>
                            <w:p w14:paraId="046B451C" w14:textId="77777777" w:rsidR="00DE7FFB" w:rsidRDefault="00DE7FFB">
                              <w:pPr>
                                <w:spacing w:before="0" w:line="240" w:lineRule="auto"/>
                                <w:ind w:firstLine="0"/>
                                <w:jc w:val="center"/>
                                <w:textDirection w:val="btLr"/>
                              </w:pPr>
                            </w:p>
                          </w:txbxContent>
                        </wps:txbx>
                        <wps:bodyPr spcFirstLastPara="1" wrap="square" lIns="73625" tIns="73625" rIns="73625" bIns="73625" anchor="ctr" anchorCtr="0">
                          <a:noAutofit/>
                        </wps:bodyPr>
                      </wps:wsp>
                      <wps:wsp>
                        <wps:cNvPr id="283963938" name="Rectangle 283963938"/>
                        <wps:cNvSpPr/>
                        <wps:spPr>
                          <a:xfrm>
                            <a:off x="4345338" y="3954280"/>
                            <a:ext cx="1058700" cy="465900"/>
                          </a:xfrm>
                          <a:prstGeom prst="rect">
                            <a:avLst/>
                          </a:prstGeom>
                          <a:solidFill>
                            <a:srgbClr val="CFE2F3"/>
                          </a:solidFill>
                          <a:ln w="7675" cap="flat" cmpd="sng">
                            <a:solidFill>
                              <a:srgbClr val="000000"/>
                            </a:solidFill>
                            <a:prstDash val="solid"/>
                            <a:round/>
                            <a:headEnd type="none" w="sm" len="sm"/>
                            <a:tailEnd type="none" w="sm" len="sm"/>
                          </a:ln>
                        </wps:spPr>
                        <wps:txbx>
                          <w:txbxContent>
                            <w:p w14:paraId="16547CC8" w14:textId="77777777" w:rsidR="00DE7FFB" w:rsidRDefault="00DE7FFB">
                              <w:pPr>
                                <w:spacing w:before="0" w:line="240" w:lineRule="auto"/>
                                <w:ind w:firstLine="0"/>
                                <w:jc w:val="center"/>
                                <w:textDirection w:val="btLr"/>
                              </w:pPr>
                            </w:p>
                          </w:txbxContent>
                        </wps:txbx>
                        <wps:bodyPr spcFirstLastPara="1" wrap="square" lIns="73625" tIns="73625" rIns="73625" bIns="73625" anchor="ctr" anchorCtr="0">
                          <a:noAutofit/>
                        </wps:bodyPr>
                      </wps:wsp>
                      <wps:wsp>
                        <wps:cNvPr id="1896371318" name="Text Box 1896371318"/>
                        <wps:cNvSpPr txBox="1"/>
                        <wps:spPr>
                          <a:xfrm>
                            <a:off x="2275608" y="3968682"/>
                            <a:ext cx="1013285" cy="427127"/>
                          </a:xfrm>
                          <a:prstGeom prst="rect">
                            <a:avLst/>
                          </a:prstGeom>
                          <a:noFill/>
                          <a:ln>
                            <a:noFill/>
                          </a:ln>
                        </wps:spPr>
                        <wps:txbx>
                          <w:txbxContent>
                            <w:p w14:paraId="3E90B8C5" w14:textId="77777777" w:rsidR="00DE7FFB" w:rsidRDefault="001A3F31">
                              <w:pPr>
                                <w:spacing w:before="0" w:line="240" w:lineRule="auto"/>
                                <w:ind w:firstLine="0"/>
                                <w:jc w:val="center"/>
                                <w:textDirection w:val="btLr"/>
                              </w:pPr>
                              <w:r>
                                <w:rPr>
                                  <w:color w:val="000000"/>
                                  <w:sz w:val="19"/>
                                </w:rPr>
                                <w:t>Hành vi mang tính riêng tư</w:t>
                              </w:r>
                            </w:p>
                          </w:txbxContent>
                        </wps:txbx>
                        <wps:bodyPr spcFirstLastPara="1" wrap="square" lIns="73625" tIns="73625" rIns="73625" bIns="73625" anchor="t" anchorCtr="0">
                          <a:spAutoFit/>
                        </wps:bodyPr>
                      </wps:wsp>
                      <wps:wsp>
                        <wps:cNvPr id="1619388637" name="Text Box 1619388637"/>
                        <wps:cNvSpPr txBox="1"/>
                        <wps:spPr>
                          <a:xfrm>
                            <a:off x="4367699" y="3969157"/>
                            <a:ext cx="1013285" cy="427127"/>
                          </a:xfrm>
                          <a:prstGeom prst="rect">
                            <a:avLst/>
                          </a:prstGeom>
                          <a:noFill/>
                          <a:ln>
                            <a:noFill/>
                          </a:ln>
                        </wps:spPr>
                        <wps:txbx>
                          <w:txbxContent>
                            <w:p w14:paraId="017854F3" w14:textId="77777777" w:rsidR="00DE7FFB" w:rsidRDefault="001A3F31">
                              <w:pPr>
                                <w:spacing w:before="0" w:line="240" w:lineRule="auto"/>
                                <w:ind w:firstLine="0"/>
                                <w:jc w:val="center"/>
                                <w:textDirection w:val="btLr"/>
                              </w:pPr>
                              <w:r>
                                <w:rPr>
                                  <w:color w:val="000000"/>
                                  <w:sz w:val="19"/>
                                </w:rPr>
                                <w:t>Hành vi mang tính công khai</w:t>
                              </w:r>
                            </w:p>
                          </w:txbxContent>
                        </wps:txbx>
                        <wps:bodyPr spcFirstLastPara="1" wrap="square" lIns="73625" tIns="73625" rIns="73625" bIns="73625" anchor="t" anchorCtr="0">
                          <a:spAutoFit/>
                        </wps:bodyPr>
                      </wps:wsp>
                      <wps:wsp>
                        <wps:cNvPr id="238685189" name="Straight Arrow Connector 238685189"/>
                        <wps:cNvCnPr/>
                        <wps:spPr>
                          <a:xfrm>
                            <a:off x="3818840" y="2948026"/>
                            <a:ext cx="0" cy="191400"/>
                          </a:xfrm>
                          <a:prstGeom prst="straightConnector1">
                            <a:avLst/>
                          </a:prstGeom>
                          <a:noFill/>
                          <a:ln w="9525" cap="flat" cmpd="sng">
                            <a:solidFill>
                              <a:srgbClr val="000000"/>
                            </a:solidFill>
                            <a:prstDash val="solid"/>
                            <a:round/>
                            <a:headEnd type="none" w="med" len="med"/>
                            <a:tailEnd type="triangle" w="med" len="med"/>
                          </a:ln>
                        </wps:spPr>
                        <wps:bodyPr/>
                      </wps:wsp>
                      <wps:wsp>
                        <wps:cNvPr id="1469001649" name="Straight Arrow Connector 1469001649"/>
                        <wps:cNvCnPr/>
                        <wps:spPr>
                          <a:xfrm>
                            <a:off x="3818430" y="3615134"/>
                            <a:ext cx="1056300" cy="339000"/>
                          </a:xfrm>
                          <a:prstGeom prst="straightConnector1">
                            <a:avLst/>
                          </a:prstGeom>
                          <a:noFill/>
                          <a:ln w="9525" cap="flat" cmpd="sng">
                            <a:solidFill>
                              <a:srgbClr val="000000"/>
                            </a:solidFill>
                            <a:prstDash val="solid"/>
                            <a:round/>
                            <a:headEnd type="none" w="med" len="med"/>
                            <a:tailEnd type="triangle" w="med" len="med"/>
                          </a:ln>
                        </wps:spPr>
                        <wps:bodyPr/>
                      </wps:wsp>
                      <wps:wsp>
                        <wps:cNvPr id="1740170856" name="Straight Arrow Connector 1740170856"/>
                        <wps:cNvCnPr/>
                        <wps:spPr>
                          <a:xfrm flipH="1">
                            <a:off x="2782230" y="3615134"/>
                            <a:ext cx="1036200" cy="353700"/>
                          </a:xfrm>
                          <a:prstGeom prst="straightConnector1">
                            <a:avLst/>
                          </a:prstGeom>
                          <a:noFill/>
                          <a:ln w="9525" cap="flat" cmpd="sng">
                            <a:solidFill>
                              <a:srgbClr val="000000"/>
                            </a:solidFill>
                            <a:prstDash val="solid"/>
                            <a:round/>
                            <a:headEnd type="none" w="med" len="med"/>
                            <a:tailEnd type="triangle" w="med" len="med"/>
                          </a:ln>
                        </wps:spPr>
                        <wps:bodyPr/>
                      </wps:wsp>
                      <wps:wsp>
                        <wps:cNvPr id="1296490849" name="Straight Arrow Connector 1296490849"/>
                        <wps:cNvCnPr/>
                        <wps:spPr>
                          <a:xfrm>
                            <a:off x="2350350" y="954675"/>
                            <a:ext cx="300" cy="594900"/>
                          </a:xfrm>
                          <a:prstGeom prst="straightConnector1">
                            <a:avLst/>
                          </a:prstGeom>
                          <a:noFill/>
                          <a:ln w="9525" cap="flat" cmpd="sng">
                            <a:solidFill>
                              <a:srgbClr val="000000"/>
                            </a:solidFill>
                            <a:prstDash val="solid"/>
                            <a:round/>
                            <a:headEnd type="none" w="med" len="med"/>
                            <a:tailEnd type="triangle" w="med" len="med"/>
                          </a:ln>
                        </wps:spPr>
                        <wps:bodyPr/>
                      </wps:wsp>
                      <wps:wsp>
                        <wps:cNvPr id="1023947014" name="Straight Arrow Connector 1023947014"/>
                        <wps:cNvCnPr/>
                        <wps:spPr>
                          <a:xfrm flipH="1">
                            <a:off x="5262575" y="947625"/>
                            <a:ext cx="2400" cy="588600"/>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inline>
            </w:drawing>
          </mc:Choice>
          <mc:Fallback>
            <w:pict>
              <v:group w14:anchorId="0A6373FC" id="Group 1" o:spid="_x0000_s1026" style="width:321.4pt;height:342.2pt;mso-position-horizontal-relative:char;mso-position-vertical-relative:line" coordorigin="17336,548" coordsize="41121,437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">
                <v:rect id="Rectangle 135897397" o:spid="_x0000_s1027" style="position:absolute;left:36614;top:-17991;width:2694;height:4030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" fillcolor="#cfe2f3" strokeweight=".21319mm">
                  <v:stroke startarrowwidth="narrow" startarrowlength="short" endarrowwidth="narrow" endarrowlength="short" joinstyle="round"/>
                  <v:textbox inset="2.04514mm,2.04514mm,2.04514mm,2.04514mm">
                    <w:txbxContent>
                      <w:p w14:paraId="370E6C43" w14:textId="77777777" w:rsidR="00DE7FFB" w:rsidRDefault="00DE7FFB">
                        <w:pPr>
                          <w:spacing w:before="0" w:line="240" w:lineRule="auto"/>
                          <w:ind w:firstLine="0"/>
                          <w:jc w:val="center"/>
                          <w:textDirection w:val="btLr"/>
                        </w:pPr>
                      </w:p>
                    </w:txbxContent>
                  </v:textbox>
                </v:rect>
                <v:shapetype id="_x0000_t202" coordsize="21600,21600" o:spt="202" path="m,l,21600r21600,l21600,xe">
                  <v:stroke joinstyle="miter"/>
                  <v:path gradientshapeok="t" o:connecttype="rect"/>
                </v:shapetype>
                <v:shape id="Text Box 1150934046" o:spid="_x0000_s1028" type="#_x0000_t202" style="position:absolute;left:17578;top:548;width:40770;height:3096;rotation:-553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" filled="f" stroked="f">
                  <v:textbox style="mso-fit-shape-to-text:t" inset="2.04514mm,2.04514mm,2.04514mm,2.04514mm">
                    <w:txbxContent>
                      <w:p w14:paraId="4B7C5FB2" w14:textId="77777777" w:rsidR="00DE7FFB" w:rsidRDefault="001A3F31">
                        <w:pPr>
                          <w:spacing w:before="0" w:line="240" w:lineRule="auto"/>
                          <w:ind w:firstLine="0"/>
                          <w:jc w:val="center"/>
                          <w:textDirection w:val="btLr"/>
                        </w:pPr>
                        <w:r>
                          <w:rPr>
                            <w:color w:val="000000"/>
                            <w:sz w:val="22"/>
                          </w:rPr>
                          <w:t>Tương tác xanh trong cộng đồng trực tuyến</w:t>
                        </w:r>
                      </w:p>
                    </w:txbxContent>
                  </v:textbox>
                </v:shape>
                <v:rect id="Rectangle 1383233613" o:spid="_x0000_s1029" style="position:absolute;left:17905;top:6001;width:12057;height:33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" fillcolor="#cfe2f3" strokeweight=".21319mm">
                  <v:stroke startarrowwidth="narrow" startarrowlength="short" endarrowwidth="narrow" endarrowlength="short" joinstyle="round"/>
                  <v:textbox inset="2.04514mm,2.04514mm,2.04514mm,2.04514mm">
                    <w:txbxContent>
                      <w:p w14:paraId="4C913DE6" w14:textId="77777777" w:rsidR="00DE7FFB" w:rsidRDefault="00DE7FFB">
                        <w:pPr>
                          <w:spacing w:before="0" w:line="240" w:lineRule="auto"/>
                          <w:ind w:firstLine="0"/>
                          <w:jc w:val="center"/>
                          <w:textDirection w:val="btLr"/>
                        </w:pPr>
                      </w:p>
                    </w:txbxContent>
                  </v:textbox>
                </v:rect>
                <v:shape id="Text Box 366361348" o:spid="_x0000_s1030" type="#_x0000_t202" style="position:absolute;left:17731;top:6161;width:12404;height:2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" filled="f" stroked="f">
                  <v:textbox style="mso-fit-shape-to-text:t" inset="2.04514mm,2.04514mm,2.04514mm,2.04514mm">
                    <w:txbxContent>
                      <w:p w14:paraId="5DC8B653" w14:textId="77777777" w:rsidR="00DE7FFB" w:rsidRDefault="001A3F31">
                        <w:pPr>
                          <w:spacing w:before="0" w:line="240" w:lineRule="auto"/>
                          <w:ind w:firstLine="0"/>
                          <w:jc w:val="center"/>
                          <w:textDirection w:val="btLr"/>
                        </w:pPr>
                        <w:r>
                          <w:rPr>
                            <w:color w:val="000000"/>
                            <w:sz w:val="19"/>
                          </w:rPr>
                          <w:t>Tương tác thông tin</w:t>
                        </w:r>
                      </w:p>
                    </w:txbxContent>
                  </v:textbox>
                </v:shape>
                <v:rect id="Rectangle 1701898663" o:spid="_x0000_s1031" style="position:absolute;left:45707;top:6071;width:12009;height:32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" fillcolor="#cfe2f3" strokeweight=".21319mm">
                  <v:stroke startarrowwidth="narrow" startarrowlength="short" endarrowwidth="narrow" endarrowlength="short" joinstyle="round"/>
                  <v:textbox inset="2.04514mm,2.04514mm,2.04514mm,2.04514mm">
                    <w:txbxContent>
                      <w:p w14:paraId="530A2075" w14:textId="77777777" w:rsidR="00DE7FFB" w:rsidRDefault="00DE7FFB">
                        <w:pPr>
                          <w:spacing w:before="0" w:line="240" w:lineRule="auto"/>
                          <w:ind w:firstLine="0"/>
                          <w:jc w:val="center"/>
                          <w:textDirection w:val="btLr"/>
                        </w:pPr>
                      </w:p>
                    </w:txbxContent>
                  </v:textbox>
                </v:rect>
                <v:shape id="Text Box 1175792467" o:spid="_x0000_s1032" type="#_x0000_t202" style="position:absolute;left:45754;top:5455;width:12359;height:4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" filled="f" stroked="f">
                  <v:textbox style="mso-fit-shape-to-text:t" inset="2.04514mm,2.04514mm,2.04514mm,2.04514mm">
                    <w:txbxContent>
                      <w:p w14:paraId="047C390F" w14:textId="77777777" w:rsidR="00DE7FFB" w:rsidRDefault="001A3F31">
                        <w:pPr>
                          <w:spacing w:before="0" w:line="240" w:lineRule="auto"/>
                          <w:ind w:firstLine="0"/>
                          <w:jc w:val="center"/>
                          <w:textDirection w:val="btLr"/>
                        </w:pPr>
                        <w:r>
                          <w:rPr>
                            <w:color w:val="000000"/>
                            <w:sz w:val="19"/>
                          </w:rPr>
                          <w:t xml:space="preserve">Tương tác liên </w:t>
                        </w:r>
                      </w:p>
                      <w:p w14:paraId="2CA5A1C8" w14:textId="77777777" w:rsidR="00DE7FFB" w:rsidRDefault="001A3F31">
                        <w:pPr>
                          <w:spacing w:before="0" w:line="240" w:lineRule="auto"/>
                          <w:ind w:firstLine="0"/>
                          <w:jc w:val="center"/>
                          <w:textDirection w:val="btLr"/>
                        </w:pPr>
                        <w:r>
                          <w:rPr>
                            <w:color w:val="000000"/>
                            <w:sz w:val="19"/>
                          </w:rPr>
                          <w:t>cá nhân</w:t>
                        </w:r>
                      </w:p>
                    </w:txbxContent>
                  </v:textbox>
                </v:shape>
                <v:rect id="Rectangle 1285456889" o:spid="_x0000_s1033" style="position:absolute;left:32890;top:16842;width:10587;height:60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" fillcolor="#cfe2f3" strokeweight=".21319mm">
                  <v:stroke startarrowwidth="narrow" startarrowlength="short" endarrowwidth="narrow" endarrowlength="short" joinstyle="round"/>
                  <v:textbox inset="2.04514mm,2.04514mm,2.04514mm,2.04514mm">
                    <w:txbxContent>
                      <w:p w14:paraId="492473EC" w14:textId="77777777" w:rsidR="00DE7FFB" w:rsidRDefault="00DE7FFB">
                        <w:pPr>
                          <w:spacing w:before="0" w:line="240" w:lineRule="auto"/>
                          <w:ind w:firstLine="0"/>
                          <w:jc w:val="center"/>
                          <w:textDirection w:val="btLr"/>
                        </w:pPr>
                      </w:p>
                    </w:txbxContent>
                  </v:textbox>
                </v:rect>
                <v:shape id="Text Box 2111080338" o:spid="_x0000_s1034" type="#_x0000_t202" style="position:absolute;left:33115;top:17649;width:9551;height:4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" filled="f" stroked="f">
                  <v:textbox style="mso-fit-shape-to-text:t" inset="2.04514mm,2.04514mm,2.04514mm,2.04514mm">
                    <w:txbxContent>
                      <w:p w14:paraId="46BDC5EE" w14:textId="77777777" w:rsidR="00DE7FFB" w:rsidRDefault="001A3F31">
                        <w:pPr>
                          <w:spacing w:before="0" w:line="240" w:lineRule="auto"/>
                          <w:ind w:firstLine="0"/>
                          <w:jc w:val="center"/>
                          <w:textDirection w:val="btLr"/>
                        </w:pPr>
                        <w:r>
                          <w:rPr>
                            <w:color w:val="000000"/>
                            <w:sz w:val="19"/>
                          </w:rPr>
                          <w:t>Cảm xúc</w:t>
                        </w:r>
                      </w:p>
                      <w:p w14:paraId="795F0915" w14:textId="77777777" w:rsidR="00DE7FFB" w:rsidRDefault="001A3F31">
                        <w:pPr>
                          <w:spacing w:before="0" w:line="240" w:lineRule="auto"/>
                          <w:ind w:firstLine="0"/>
                          <w:jc w:val="center"/>
                          <w:textDirection w:val="btLr"/>
                        </w:pPr>
                        <w:r>
                          <w:rPr>
                            <w:color w:val="000000"/>
                            <w:sz w:val="19"/>
                          </w:rPr>
                          <w:t xml:space="preserve"> môi trường</w:t>
                        </w:r>
                      </w:p>
                    </w:txbxContent>
                  </v:textbox>
                </v:shape>
                <v:rect id="Rectangle 955479601" o:spid="_x0000_s1035" style="position:absolute;left:47171;top:15263;width:10317;height:46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" fillcolor="#cfe2f3" strokeweight=".21319mm">
                  <v:stroke startarrowwidth="narrow" startarrowlength="short" endarrowwidth="narrow" endarrowlength="short" joinstyle="round"/>
                  <v:textbox inset="2.04514mm,2.04514mm,2.04514mm,2.04514mm">
                    <w:txbxContent>
                      <w:p w14:paraId="02D3B33B" w14:textId="77777777" w:rsidR="00DE7FFB" w:rsidRDefault="00DE7FFB">
                        <w:pPr>
                          <w:spacing w:before="0" w:line="240" w:lineRule="auto"/>
                          <w:ind w:firstLine="0"/>
                          <w:jc w:val="center"/>
                          <w:textDirection w:val="btLr"/>
                        </w:pPr>
                      </w:p>
                    </w:txbxContent>
                  </v:textbox>
                </v:rect>
                <v:shape id="Text Box 1110529460" o:spid="_x0000_s1036" type="#_x0000_t202" style="position:absolute;left:47328;top:15362;width:10587;height:4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" filled="f" stroked="f">
                  <v:textbox style="mso-fit-shape-to-text:t" inset="2.04514mm,2.04514mm,2.04514mm,2.04514mm">
                    <w:txbxContent>
                      <w:p w14:paraId="3683F64F" w14:textId="77777777" w:rsidR="00DE7FFB" w:rsidRDefault="001A3F31">
                        <w:pPr>
                          <w:spacing w:before="0" w:line="240" w:lineRule="auto"/>
                          <w:ind w:firstLine="0"/>
                          <w:jc w:val="center"/>
                          <w:textDirection w:val="btLr"/>
                        </w:pPr>
                        <w:r>
                          <w:rPr>
                            <w:color w:val="000000"/>
                            <w:sz w:val="19"/>
                          </w:rPr>
                          <w:t>Đánh giá đạo đức theo chuẩn mực</w:t>
                        </w:r>
                      </w:p>
                    </w:txbxContent>
                  </v:textbox>
                </v:shape>
                <v:rect id="Rectangle 818403026" o:spid="_x0000_s1037" style="position:absolute;left:18266;top:15396;width:10317;height:46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" fillcolor="#cfe2f3" strokeweight=".21319mm">
                  <v:stroke startarrowwidth="narrow" startarrowlength="short" endarrowwidth="narrow" endarrowlength="short" joinstyle="round"/>
                  <v:textbox inset="2.04514mm,2.04514mm,2.04514mm,2.04514mm">
                    <w:txbxContent>
                      <w:p w14:paraId="6048A341" w14:textId="77777777" w:rsidR="00DE7FFB" w:rsidRDefault="00DE7FFB">
                        <w:pPr>
                          <w:spacing w:before="0" w:line="240" w:lineRule="auto"/>
                          <w:ind w:firstLine="0"/>
                          <w:jc w:val="center"/>
                          <w:textDirection w:val="btLr"/>
                        </w:pPr>
                      </w:p>
                    </w:txbxContent>
                  </v:textbox>
                </v:rect>
                <v:shape id="Text Box 505491428" o:spid="_x0000_s1038" type="#_x0000_t202" style="position:absolute;left:18224;top:15495;width:10562;height:4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" filled="f" stroked="f">
                  <v:textbox style="mso-fit-shape-to-text:t" inset="2.04514mm,2.04514mm,2.04514mm,2.04514mm">
                    <w:txbxContent>
                      <w:p w14:paraId="240D7EF3" w14:textId="77777777" w:rsidR="00DE7FFB" w:rsidRDefault="001A3F31">
                        <w:pPr>
                          <w:spacing w:before="0" w:line="240" w:lineRule="auto"/>
                          <w:ind w:firstLine="0"/>
                          <w:jc w:val="center"/>
                          <w:textDirection w:val="btLr"/>
                        </w:pPr>
                        <w:r>
                          <w:rPr>
                            <w:color w:val="000000"/>
                            <w:sz w:val="19"/>
                          </w:rPr>
                          <w:t>Đánh giá đạo đức theo hậu quả</w:t>
                        </w:r>
                      </w:p>
                    </w:txbxContent>
                  </v:textbox>
                </v:shape>
                <v:rect id="Rectangle 1262837606" o:spid="_x0000_s1039" style="position:absolute;left:32891;top:24846;width:10587;height:46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" fillcolor="#cfe2f3" strokeweight=".21319mm">
                  <v:stroke startarrowwidth="narrow" startarrowlength="short" endarrowwidth="narrow" endarrowlength="short" joinstyle="round"/>
                  <v:textbox inset="2.04514mm,2.04514mm,2.04514mm,2.04514mm">
                    <w:txbxContent>
                      <w:p w14:paraId="127934E7" w14:textId="77777777" w:rsidR="00DE7FFB" w:rsidRDefault="00DE7FFB">
                        <w:pPr>
                          <w:spacing w:before="0" w:line="240" w:lineRule="auto"/>
                          <w:ind w:firstLine="0"/>
                          <w:jc w:val="center"/>
                          <w:textDirection w:val="btLr"/>
                        </w:pPr>
                      </w:p>
                    </w:txbxContent>
                  </v:textbox>
                </v:rect>
                <v:shape id="Text Box 1475001325" o:spid="_x0000_s1040" type="#_x0000_t202" style="position:absolute;left:33115;top:24830;width:10133;height:42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" filled="f" stroked="f">
                  <v:textbox style="mso-fit-shape-to-text:t" inset="2.04514mm,2.04514mm,2.04514mm,2.04514mm">
                    <w:txbxContent>
                      <w:p w14:paraId="496D3A89" w14:textId="77777777" w:rsidR="00DE7FFB" w:rsidRDefault="001A3F31">
                        <w:pPr>
                          <w:spacing w:before="0" w:line="240" w:lineRule="auto"/>
                          <w:ind w:firstLine="0"/>
                          <w:jc w:val="center"/>
                          <w:textDirection w:val="btLr"/>
                        </w:pPr>
                        <w:r>
                          <w:rPr>
                            <w:color w:val="000000"/>
                            <w:sz w:val="19"/>
                          </w:rPr>
                          <w:t xml:space="preserve">Phán xét </w:t>
                        </w:r>
                      </w:p>
                      <w:p w14:paraId="7E6B7E8B" w14:textId="77777777" w:rsidR="00DE7FFB" w:rsidRDefault="001A3F31">
                        <w:pPr>
                          <w:spacing w:before="0" w:line="240" w:lineRule="auto"/>
                          <w:ind w:firstLine="0"/>
                          <w:jc w:val="center"/>
                          <w:textDirection w:val="btLr"/>
                        </w:pPr>
                        <w:r>
                          <w:rPr>
                            <w:color w:val="000000"/>
                            <w:sz w:val="19"/>
                          </w:rPr>
                          <w:t>đạo đức</w:t>
                        </w:r>
                      </w:p>
                    </w:txbxContent>
                  </v:textbox>
                </v:shape>
                <v:rect id="Rectangle 1046316625" o:spid="_x0000_s1041" style="position:absolute;left:32890;top:31492;width:10587;height:46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" fillcolor="#cfe2f3" strokeweight=".21319mm">
                  <v:stroke startarrowwidth="narrow" startarrowlength="short" endarrowwidth="narrow" endarrowlength="short" joinstyle="round"/>
                  <v:textbox inset="2.04514mm,2.04514mm,2.04514mm,2.04514mm">
                    <w:txbxContent>
                      <w:p w14:paraId="1E18E266" w14:textId="77777777" w:rsidR="00DE7FFB" w:rsidRDefault="00DE7FFB">
                        <w:pPr>
                          <w:spacing w:before="0" w:line="240" w:lineRule="auto"/>
                          <w:ind w:firstLine="0"/>
                          <w:jc w:val="center"/>
                          <w:textDirection w:val="btLr"/>
                        </w:pPr>
                      </w:p>
                    </w:txbxContent>
                  </v:textbox>
                </v:rect>
                <v:shape id="Text Box 329666293" o:spid="_x0000_s1042" type="#_x0000_t202" style="position:absolute;left:33119;top:32199;width:10133;height:2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" filled="f" stroked="f">
                  <v:textbox style="mso-fit-shape-to-text:t" inset="2.04514mm,2.04514mm,2.04514mm,2.04514mm">
                    <w:txbxContent>
                      <w:p w14:paraId="3ACF28CD" w14:textId="77777777" w:rsidR="00DE7FFB" w:rsidRDefault="001A3F31">
                        <w:pPr>
                          <w:spacing w:before="0" w:line="240" w:lineRule="auto"/>
                          <w:ind w:firstLine="0"/>
                          <w:jc w:val="center"/>
                          <w:textDirection w:val="btLr"/>
                        </w:pPr>
                        <w:r>
                          <w:rPr>
                            <w:color w:val="000000"/>
                            <w:sz w:val="19"/>
                          </w:rPr>
                          <w:t>Hành vi</w:t>
                        </w:r>
                      </w:p>
                    </w:txbxContent>
                  </v:textbox>
                </v:shape>
                <v:rect id="Rectangle 794692428" o:spid="_x0000_s1043" style="position:absolute;left:17336;top:4901;width:41121;height:55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" filled="f" strokeweight="1.5pt">
                  <v:stroke dashstyle="dashDot" startarrowwidth="narrow" startarrowlength="short" endarrowwidth="narrow" endarrowlength="short" joinstyle="round"/>
                  <v:textbox inset="2.53958mm,2.53958mm,2.53958mm,2.53958mm">
                    <w:txbxContent>
                      <w:p w14:paraId="676DF93B" w14:textId="77777777" w:rsidR="00DE7FFB" w:rsidRDefault="00DE7FFB">
                        <w:pPr>
                          <w:spacing w:before="0" w:line="240" w:lineRule="auto"/>
                          <w:ind w:firstLine="0"/>
                          <w:jc w:val="center"/>
                          <w:textDirection w:val="btLr"/>
                        </w:pPr>
                      </w:p>
                    </w:txbxContent>
                  </v:textbox>
                </v:rect>
                <v:shapetype id="_x0000_t32" coordsize="21600,21600" o:spt="32" o:oned="t" path="m,l21600,21600e" filled="f">
                  <v:path arrowok="t" fillok="f" o:connecttype="none"/>
                  <o:lock v:ext="edit" shapetype="t"/>
                </v:shapetype>
                <v:shape id="Straight Arrow Connector 865109490" o:spid="_x0000_s1044" type="#_x0000_t32" style="position:absolute;left:23686;top:3507;width:0;height:224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"/>
                <v:shape id="Straight Arrow Connector 164469550" o:spid="_x0000_s1045" type="#_x0000_t32" style="position:absolute;left:51885;top:3507;width:0;height:224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"/>
                <v:shapetype id="_x0000_t33" coordsize="21600,21600" o:spt="33" o:oned="t" path="m,l21600,r,21600e" filled="f">
                  <v:stroke joinstyle="miter"/>
                  <v:path arrowok="t" fillok="f" o:connecttype="none"/>
                  <o:lock v:ext="edit" shapetype="t"/>
                </v:shapetype>
                <v:shape id="Connector: Elbow 1362626160" o:spid="_x0000_s1046" type="#_x0000_t33" style="position:absolute;left:23700;top:14268;width:14484;height:2574;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">
                  <v:stroke endarrow="block" joinstyle="round"/>
                </v:shape>
                <v:shape id="Connector: Elbow 965244809" o:spid="_x0000_s1047" type="#_x0000_t33" style="position:absolute;left:38184;top:14211;width:14184;height:2631;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">
                  <v:stroke endarrow="block" joinstyle="round"/>
                </v:shape>
                <v:shape id="Text Box 847930913" o:spid="_x0000_s1048" type="#_x0000_t202" style="position:absolute;left:32022;top:11612;width:14019;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" filled="f" stroked="f">
                  <v:textbox inset="2.53958mm,2.53958mm,2.53958mm,2.53958mm">
                    <w:txbxContent>
                      <w:p w14:paraId="5BC76AEC" w14:textId="77777777" w:rsidR="00DE7FFB" w:rsidRDefault="001A3F31">
                        <w:pPr>
                          <w:spacing w:before="0" w:line="240" w:lineRule="auto"/>
                          <w:ind w:firstLine="0"/>
                          <w:jc w:val="center"/>
                          <w:textDirection w:val="btLr"/>
                        </w:pPr>
                        <w:r>
                          <w:rPr>
                            <w:color w:val="000000"/>
                            <w:sz w:val="18"/>
                          </w:rPr>
                          <w:t>Tích cực/ Tiêu cực</w:t>
                        </w:r>
                      </w:p>
                    </w:txbxContent>
                  </v:textbox>
                </v:shape>
                <v:shape id="Connector: Elbow 1586333374" o:spid="_x0000_s1049" type="#_x0000_t33" style="position:absolute;left:24760;top:18702;width:7104;height:9612;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">
                  <v:stroke endarrow="block" joinstyle="round"/>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45404740" o:spid="_x0000_s1050" type="#_x0000_t34" style="position:absolute;left:43365;top:19997;width:9081;height:6909;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" adj="2">
                  <v:stroke endarrow="block" joinstyle="round"/>
                </v:shape>
                <v:shape id="Straight Arrow Connector 691916857" o:spid="_x0000_s1051" type="#_x0000_t32" style="position:absolute;left:38184;top:22917;width:0;height:191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">
                  <v:stroke endarrow="block"/>
                </v:shape>
                <v:rect id="Rectangle 356161230" o:spid="_x0000_s1052" style="position:absolute;left:22530;top:39592;width:10587;height:46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" fillcolor="#cfe2f3" strokeweight=".21319mm">
                  <v:stroke startarrowwidth="narrow" startarrowlength="short" endarrowwidth="narrow" endarrowlength="short" joinstyle="round"/>
                  <v:textbox inset="2.04514mm,2.04514mm,2.04514mm,2.04514mm">
                    <w:txbxContent>
                      <w:p w14:paraId="046B451C" w14:textId="77777777" w:rsidR="00DE7FFB" w:rsidRDefault="00DE7FFB">
                        <w:pPr>
                          <w:spacing w:before="0" w:line="240" w:lineRule="auto"/>
                          <w:ind w:firstLine="0"/>
                          <w:jc w:val="center"/>
                          <w:textDirection w:val="btLr"/>
                        </w:pPr>
                      </w:p>
                    </w:txbxContent>
                  </v:textbox>
                </v:rect>
                <v:rect id="Rectangle 283963938" o:spid="_x0000_s1053" style="position:absolute;left:43453;top:39542;width:10587;height:46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" fillcolor="#cfe2f3" strokeweight=".21319mm">
                  <v:stroke startarrowwidth="narrow" startarrowlength="short" endarrowwidth="narrow" endarrowlength="short" joinstyle="round"/>
                  <v:textbox inset="2.04514mm,2.04514mm,2.04514mm,2.04514mm">
                    <w:txbxContent>
                      <w:p w14:paraId="16547CC8" w14:textId="77777777" w:rsidR="00DE7FFB" w:rsidRDefault="00DE7FFB">
                        <w:pPr>
                          <w:spacing w:before="0" w:line="240" w:lineRule="auto"/>
                          <w:ind w:firstLine="0"/>
                          <w:jc w:val="center"/>
                          <w:textDirection w:val="btLr"/>
                        </w:pPr>
                      </w:p>
                    </w:txbxContent>
                  </v:textbox>
                </v:rect>
                <v:shape id="Text Box 1896371318" o:spid="_x0000_s1054" type="#_x0000_t202" style="position:absolute;left:22756;top:39686;width:10132;height:42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" filled="f" stroked="f">
                  <v:textbox style="mso-fit-shape-to-text:t" inset="2.04514mm,2.04514mm,2.04514mm,2.04514mm">
                    <w:txbxContent>
                      <w:p w14:paraId="3E90B8C5" w14:textId="77777777" w:rsidR="00DE7FFB" w:rsidRDefault="001A3F31">
                        <w:pPr>
                          <w:spacing w:before="0" w:line="240" w:lineRule="auto"/>
                          <w:ind w:firstLine="0"/>
                          <w:jc w:val="center"/>
                          <w:textDirection w:val="btLr"/>
                        </w:pPr>
                        <w:r>
                          <w:rPr>
                            <w:color w:val="000000"/>
                            <w:sz w:val="19"/>
                          </w:rPr>
                          <w:t>Hành vi mang tính riêng tư</w:t>
                        </w:r>
                      </w:p>
                    </w:txbxContent>
                  </v:textbox>
                </v:shape>
                <v:shape id="Text Box 1619388637" o:spid="_x0000_s1055" type="#_x0000_t202" style="position:absolute;left:43676;top:39691;width:10133;height:4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" filled="f" stroked="f">
                  <v:textbox style="mso-fit-shape-to-text:t" inset="2.04514mm,2.04514mm,2.04514mm,2.04514mm">
                    <w:txbxContent>
                      <w:p w14:paraId="017854F3" w14:textId="77777777" w:rsidR="00DE7FFB" w:rsidRDefault="001A3F31">
                        <w:pPr>
                          <w:spacing w:before="0" w:line="240" w:lineRule="auto"/>
                          <w:ind w:firstLine="0"/>
                          <w:jc w:val="center"/>
                          <w:textDirection w:val="btLr"/>
                        </w:pPr>
                        <w:r>
                          <w:rPr>
                            <w:color w:val="000000"/>
                            <w:sz w:val="19"/>
                          </w:rPr>
                          <w:t>Hành vi mang tính công khai</w:t>
                        </w:r>
                      </w:p>
                    </w:txbxContent>
                  </v:textbox>
                </v:shape>
                <v:shape id="Straight Arrow Connector 238685189" o:spid="_x0000_s1056" type="#_x0000_t32" style="position:absolute;left:38188;top:29480;width:0;height:191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">
                  <v:stroke endarrow="block"/>
                </v:shape>
                <v:shape id="Straight Arrow Connector 1469001649" o:spid="_x0000_s1057" type="#_x0000_t32" style="position:absolute;left:38184;top:36151;width:10563;height:339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">
                  <v:stroke endarrow="block"/>
                </v:shape>
                <v:shape id="Straight Arrow Connector 1740170856" o:spid="_x0000_s1058" type="#_x0000_t32" style="position:absolute;left:27822;top:36151;width:10362;height:3537;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">
                  <v:stroke endarrow="block"/>
                </v:shape>
                <v:shape id="Straight Arrow Connector 1296490849" o:spid="_x0000_s1059" type="#_x0000_t32" style="position:absolute;left:23503;top:9546;width:3;height:594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">
                  <v:stroke endarrow="block"/>
                </v:shape>
                <v:shape id="Straight Arrow Connector 1023947014" o:spid="_x0000_s1060" type="#_x0000_t32" style="position:absolute;left:52625;top:9476;width:24;height:588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">
                  <v:stroke endarrow="block"/>
                </v:shape>
                <w10:anchorlock/>
              </v:group>
            </w:pict>
          </mc:Fallback>
        </mc:AlternateContent>
      </w:r>
    </w:p>
    <w:p w14:paraId="71D66072" w14:textId="77777777" w:rsidR="00DE7FFB" w:rsidRDefault="00DE7FFB">
      <w:pPr>
        <w:ind w:firstLine="0"/>
        <w:rPr>
          <w:sz w:val="24"/>
          <w:szCs w:val="24"/>
        </w:rPr>
      </w:pPr>
    </w:p>
    <w:p w14:paraId="483EF4B8" w14:textId="77777777" w:rsidR="00DE7FFB" w:rsidRDefault="001A3F31">
      <w:pPr>
        <w:ind w:left="425" w:firstLine="0"/>
        <w:rPr>
          <w:sz w:val="24"/>
          <w:szCs w:val="24"/>
        </w:rPr>
      </w:pPr>
      <w:r>
        <w:rPr>
          <w:sz w:val="24"/>
          <w:szCs w:val="24"/>
        </w:rPr>
        <w:t>Các giả thuyết nghiên cứu:</w:t>
      </w:r>
    </w:p>
    <w:p w14:paraId="323F01B3" w14:textId="68DD27A3" w:rsidR="00DE7FFB" w:rsidRPr="0021565E" w:rsidRDefault="001A3F31">
      <w:pPr>
        <w:rPr>
          <w:sz w:val="24"/>
          <w:szCs w:val="24"/>
        </w:rPr>
      </w:pPr>
      <w:r>
        <w:rPr>
          <w:sz w:val="24"/>
          <w:szCs w:val="24"/>
        </w:rPr>
        <w:t>H1a: Đánh giá theo chuẩn mực đóng vai trò trung gian cho tác động của tương tác thông tin lên phán xét đạo đức</w:t>
      </w:r>
      <w:r w:rsidR="00833C42" w:rsidRPr="00790738">
        <w:rPr>
          <w:sz w:val="24"/>
          <w:szCs w:val="24"/>
        </w:rPr>
        <w:t>.</w:t>
      </w:r>
    </w:p>
    <w:p w14:paraId="3630F51D" w14:textId="7E22BDE1" w:rsidR="00DE7FFB" w:rsidRPr="0021565E" w:rsidRDefault="001A3F31">
      <w:pPr>
        <w:rPr>
          <w:sz w:val="24"/>
          <w:szCs w:val="24"/>
        </w:rPr>
      </w:pPr>
      <w:r>
        <w:rPr>
          <w:sz w:val="24"/>
          <w:szCs w:val="24"/>
        </w:rPr>
        <w:t>H1b: Đánh giá theo chuẩn mực đóng vai trò trung gian cho tác động của tương tác liên cá nhân lên phán xét (phán đoán) đạo đức</w:t>
      </w:r>
      <w:r w:rsidR="00833C42" w:rsidRPr="00790738">
        <w:rPr>
          <w:sz w:val="24"/>
          <w:szCs w:val="24"/>
        </w:rPr>
        <w:t>.</w:t>
      </w:r>
    </w:p>
    <w:p w14:paraId="0F381F26" w14:textId="7ED18A69" w:rsidR="00DE7FFB" w:rsidRPr="0021565E" w:rsidRDefault="001A3F31">
      <w:pPr>
        <w:rPr>
          <w:sz w:val="24"/>
          <w:szCs w:val="24"/>
        </w:rPr>
      </w:pPr>
      <w:r>
        <w:rPr>
          <w:sz w:val="24"/>
          <w:szCs w:val="24"/>
        </w:rPr>
        <w:t>H2a: Đánh giá theo hậu quả đóng vai trò trung gian cho tác động của tương tác thông tin lên phán xét (phán đoán) đạo đức</w:t>
      </w:r>
      <w:r w:rsidR="00833C42" w:rsidRPr="00790738">
        <w:rPr>
          <w:sz w:val="24"/>
          <w:szCs w:val="24"/>
        </w:rPr>
        <w:t>.</w:t>
      </w:r>
    </w:p>
    <w:p w14:paraId="770F9E76" w14:textId="6EA6F388" w:rsidR="00DE7FFB" w:rsidRPr="0021565E" w:rsidRDefault="001A3F31">
      <w:pPr>
        <w:rPr>
          <w:sz w:val="24"/>
          <w:szCs w:val="24"/>
        </w:rPr>
      </w:pPr>
      <w:r>
        <w:rPr>
          <w:sz w:val="24"/>
          <w:szCs w:val="24"/>
        </w:rPr>
        <w:t>H2b: Đánh giá theo hậu quả đóng vai trò trung gian cho tác động của tương tác liên cá nhân lên phán xét (phán đoán) đạo đức</w:t>
      </w:r>
      <w:r w:rsidR="00833C42" w:rsidRPr="00790738">
        <w:rPr>
          <w:sz w:val="24"/>
          <w:szCs w:val="24"/>
        </w:rPr>
        <w:t>.</w:t>
      </w:r>
    </w:p>
    <w:p w14:paraId="2D3F14C5" w14:textId="5222C47E" w:rsidR="00DE7FFB" w:rsidRPr="0021565E" w:rsidRDefault="001A3F31">
      <w:pPr>
        <w:rPr>
          <w:sz w:val="24"/>
          <w:szCs w:val="24"/>
        </w:rPr>
      </w:pPr>
      <w:r>
        <w:rPr>
          <w:sz w:val="24"/>
          <w:szCs w:val="24"/>
        </w:rPr>
        <w:t>H3a: Phán xét (phán đoán) đạo đức có ảnh hưởng tích cực đến hành vi tiêu dùng xanh mang tính riêng tư</w:t>
      </w:r>
      <w:r w:rsidR="00833C42" w:rsidRPr="00790738">
        <w:rPr>
          <w:sz w:val="24"/>
          <w:szCs w:val="24"/>
        </w:rPr>
        <w:t>.</w:t>
      </w:r>
    </w:p>
    <w:p w14:paraId="680CA5CD" w14:textId="2EF35146" w:rsidR="00DE7FFB" w:rsidRPr="0021565E" w:rsidRDefault="001A3F31">
      <w:pPr>
        <w:rPr>
          <w:sz w:val="24"/>
          <w:szCs w:val="24"/>
        </w:rPr>
      </w:pPr>
      <w:r>
        <w:rPr>
          <w:sz w:val="24"/>
          <w:szCs w:val="24"/>
        </w:rPr>
        <w:t>H3b: Phán xét (phán đoán) đạo đức có ảnh hưởng tích cực đến hành vi tiêu dùng xanh mang tính công khai</w:t>
      </w:r>
      <w:r w:rsidR="00833C42" w:rsidRPr="00790738">
        <w:rPr>
          <w:sz w:val="24"/>
          <w:szCs w:val="24"/>
        </w:rPr>
        <w:t>.</w:t>
      </w:r>
    </w:p>
    <w:p w14:paraId="48419A51" w14:textId="02BB79CC" w:rsidR="00DE7FFB" w:rsidRPr="0021565E" w:rsidRDefault="001A3F31">
      <w:pPr>
        <w:rPr>
          <w:sz w:val="23"/>
          <w:szCs w:val="23"/>
        </w:rPr>
      </w:pPr>
      <w:r>
        <w:rPr>
          <w:sz w:val="24"/>
          <w:szCs w:val="24"/>
        </w:rPr>
        <w:t xml:space="preserve">H4a: </w:t>
      </w:r>
      <w:r>
        <w:rPr>
          <w:sz w:val="23"/>
          <w:szCs w:val="23"/>
        </w:rPr>
        <w:t xml:space="preserve">Cảm xúc môi trường đóng vai trò trung gian trong tác động của tương tác thông tin xanh đến phán xét </w:t>
      </w:r>
      <w:r>
        <w:rPr>
          <w:sz w:val="24"/>
          <w:szCs w:val="24"/>
        </w:rPr>
        <w:t>(phán đoán)</w:t>
      </w:r>
      <w:r>
        <w:rPr>
          <w:sz w:val="23"/>
          <w:szCs w:val="23"/>
        </w:rPr>
        <w:t xml:space="preserve"> đạo đức</w:t>
      </w:r>
      <w:r w:rsidR="00833C42" w:rsidRPr="00790738">
        <w:rPr>
          <w:sz w:val="23"/>
          <w:szCs w:val="23"/>
        </w:rPr>
        <w:t>.</w:t>
      </w:r>
    </w:p>
    <w:p w14:paraId="17C9DE09" w14:textId="0C805B67" w:rsidR="00DE7FFB" w:rsidRPr="0021565E" w:rsidRDefault="001A3F31">
      <w:pPr>
        <w:rPr>
          <w:b/>
          <w:bCs/>
          <w:sz w:val="24"/>
          <w:szCs w:val="24"/>
        </w:rPr>
      </w:pPr>
      <w:r>
        <w:rPr>
          <w:sz w:val="23"/>
          <w:szCs w:val="23"/>
        </w:rPr>
        <w:lastRenderedPageBreak/>
        <w:t xml:space="preserve">H4b: Cảm xúc môi trường đóng vai trò trung gian trong tác động của tương tác liên cá nhân xanh đến phán xét </w:t>
      </w:r>
      <w:r>
        <w:rPr>
          <w:sz w:val="24"/>
          <w:szCs w:val="24"/>
        </w:rPr>
        <w:t>(phán đoán)</w:t>
      </w:r>
      <w:r>
        <w:rPr>
          <w:sz w:val="23"/>
          <w:szCs w:val="23"/>
        </w:rPr>
        <w:t xml:space="preserve"> đạo đức</w:t>
      </w:r>
      <w:r w:rsidR="00833C42" w:rsidRPr="00790738">
        <w:rPr>
          <w:sz w:val="23"/>
          <w:szCs w:val="23"/>
        </w:rPr>
        <w:t>.</w:t>
      </w:r>
    </w:p>
    <w:p w14:paraId="3657B31F" w14:textId="77777777" w:rsidR="00DE7FFB" w:rsidRDefault="001A3F31">
      <w:pPr>
        <w:rPr>
          <w:b/>
          <w:bCs/>
          <w:sz w:val="24"/>
          <w:szCs w:val="24"/>
        </w:rPr>
      </w:pPr>
      <w:r>
        <w:rPr>
          <w:b/>
          <w:bCs/>
          <w:sz w:val="24"/>
          <w:szCs w:val="24"/>
        </w:rPr>
        <w:t>3. Phương pháp nghiên cứu</w:t>
      </w:r>
    </w:p>
    <w:p w14:paraId="5D7F7A69" w14:textId="64904964" w:rsidR="00DE7FFB" w:rsidRDefault="001A3F31">
      <w:pPr>
        <w:rPr>
          <w:sz w:val="24"/>
          <w:szCs w:val="24"/>
        </w:rPr>
      </w:pPr>
      <w:r>
        <w:rPr>
          <w:sz w:val="24"/>
          <w:szCs w:val="24"/>
        </w:rPr>
        <w:t>Dữ liệu được sử dụng trong nghiên cứu được nhóm nghiên cứu áp dụng phương pháp chọn mẫu phi xác suất, cụ thể là chọn mẫu có chủ đích kết hợp với chọn mẫu thuận tiện. Công thức tính mẫu được tình cụ thể là: n= Z</w:t>
      </w:r>
      <w:r>
        <w:rPr>
          <w:sz w:val="24"/>
          <w:szCs w:val="24"/>
          <w:vertAlign w:val="superscript"/>
        </w:rPr>
        <w:t xml:space="preserve"> 2</w:t>
      </w:r>
      <w:r>
        <w:rPr>
          <w:sz w:val="24"/>
          <w:szCs w:val="24"/>
        </w:rPr>
        <w:t xml:space="preserve"> x </w:t>
      </w:r>
      <m:oMath>
        <m:f>
          <m:fPr>
            <m:ctrlPr>
              <w:rPr>
                <w:rFonts w:ascii="Cambria Math" w:hAnsi="Cambria Math"/>
                <w:sz w:val="36"/>
                <w:szCs w:val="36"/>
              </w:rPr>
            </m:ctrlPr>
          </m:fPr>
          <m:num>
            <m:r>
              <w:rPr>
                <w:rFonts w:ascii="Cambria Math" w:hAnsi="Cambria Math"/>
                <w:sz w:val="36"/>
                <w:szCs w:val="36"/>
              </w:rPr>
              <m:t>p x (1-p)</m:t>
            </m:r>
          </m:num>
          <m:den>
            <m:sSup>
              <m:sSupPr>
                <m:ctrlPr>
                  <w:rPr>
                    <w:rFonts w:ascii="Cambria Math" w:hAnsi="Cambria Math"/>
                    <w:sz w:val="36"/>
                    <w:szCs w:val="36"/>
                  </w:rPr>
                </m:ctrlPr>
              </m:sSupPr>
              <m:e>
                <m:r>
                  <w:rPr>
                    <w:rFonts w:ascii="Cambria Math" w:hAnsi="Cambria Math"/>
                    <w:sz w:val="36"/>
                    <w:szCs w:val="36"/>
                  </w:rPr>
                  <m:t>e</m:t>
                </m:r>
              </m:e>
              <m:sup>
                <m:r>
                  <w:rPr>
                    <w:rFonts w:ascii="Cambria Math" w:hAnsi="Cambria Math"/>
                    <w:sz w:val="36"/>
                    <w:szCs w:val="36"/>
                  </w:rPr>
                  <m:t>2</m:t>
                </m:r>
              </m:sup>
            </m:sSup>
          </m:den>
        </m:f>
      </m:oMath>
      <w:r>
        <w:rPr>
          <w:sz w:val="50"/>
          <w:szCs w:val="50"/>
          <w:vertAlign w:val="subscript"/>
        </w:rPr>
        <w:t xml:space="preserve">. </w:t>
      </w:r>
      <w:r>
        <w:rPr>
          <w:sz w:val="24"/>
          <w:szCs w:val="24"/>
        </w:rPr>
        <w:t xml:space="preserve">Trong đó, n: cỡ mẫu cần xác định, Z: giá trị phân phối chuẩn tương ứng với độ tin cậy (với độ tin cậy 95%, Z = 1,96), p: tỷ lệ ước tính của tổng thể. Để đảm bảo cỡ mẫu lớn nhất và an toàn nhất, nghiên cứu chọn p = 0,5, e: sai số biên cho phép (margin of error), thường chọn 5% (0,05). Cỡ mẫu tối thiểu mà nhóm sau khi tính toán dự tính cần đạt là 385 quan sát. Nhóm nghiên cứu đã tiến hành khảo sát trực tuyến 500 người trẻ đang sử dụng mạng xã hội trên phạm vi cả nước. </w:t>
      </w:r>
      <w:r w:rsidRPr="00790738">
        <w:rPr>
          <w:sz w:val="24"/>
          <w:szCs w:val="24"/>
          <w:highlight w:val="yellow"/>
        </w:rPr>
        <w:t>Thời gian tiến hành khảo sát từ tháng 12/2025 đến</w:t>
      </w:r>
      <w:r w:rsidR="0021565E" w:rsidRPr="00790738">
        <w:rPr>
          <w:sz w:val="24"/>
          <w:szCs w:val="24"/>
          <w:highlight w:val="yellow"/>
        </w:rPr>
        <w:t xml:space="preserve"> tháng</w:t>
      </w:r>
      <w:r w:rsidRPr="00790738">
        <w:rPr>
          <w:sz w:val="24"/>
          <w:szCs w:val="24"/>
          <w:highlight w:val="yellow"/>
        </w:rPr>
        <w:t xml:space="preserve"> 2/2026.</w:t>
      </w:r>
      <w:r>
        <w:rPr>
          <w:sz w:val="24"/>
          <w:szCs w:val="24"/>
        </w:rPr>
        <w:t xml:space="preserve"> Sau quá trình thu thập và sàng lọc dữ liệu, nhóm nghiên cứu đã thu được 427 phiếu khảo sát hợp lệ. </w:t>
      </w:r>
      <w:r>
        <w:rPr>
          <w:sz w:val="24"/>
          <w:szCs w:val="24"/>
        </w:rPr>
        <w:tab/>
      </w:r>
    </w:p>
    <w:p w14:paraId="7E87F94A" w14:textId="77777777" w:rsidR="00DE7FFB" w:rsidRDefault="001A3F31">
      <w:pPr>
        <w:rPr>
          <w:sz w:val="22"/>
          <w:szCs w:val="22"/>
        </w:rPr>
      </w:pPr>
      <w:r>
        <w:rPr>
          <w:sz w:val="24"/>
          <w:szCs w:val="24"/>
        </w:rPr>
        <w:t>Đối với đánh giá thông qua mô hình đo lường, nghiên cứu sử dụng các phương pháp kiểm định độ tin cậy Cronbach’s Alpha, độ tin cậy tổng hợp, hệ số tải (Outer Loading), giá trị hội tụ (Average Variance Extracted - AVE) và giá trị phân biệt HTMT. Đối với đánh giá thông qua mô hình cấu trúc, nhóm đã sử dụng các bước bao gồm: 1. Kiểm tra đa cộng tuyến giữa các biến độc lập, 2. Kiểm định hệ số đường dẫn và mức ý nghĩa thống kê, 3. Đánh giá hệ số xác định</w:t>
      </w:r>
      <m:oMath>
        <m:sSup>
          <m:sSupPr>
            <m:ctrlPr>
              <w:rPr>
                <w:rFonts w:ascii="Cambria Math" w:hAnsi="Cambria Math"/>
                <w:sz w:val="24"/>
                <w:szCs w:val="24"/>
              </w:rPr>
            </m:ctrlPr>
          </m:sSupPr>
          <m:e>
            <m:r>
              <w:rPr>
                <w:rFonts w:ascii="Cambria Math" w:hAnsi="Cambria Math"/>
                <w:sz w:val="24"/>
                <w:szCs w:val="24"/>
              </w:rPr>
              <m:t xml:space="preserve"> R</m:t>
            </m:r>
          </m:e>
          <m:sup>
            <m:r>
              <w:rPr>
                <w:rFonts w:ascii="Cambria Math" w:hAnsi="Cambria Math"/>
                <w:sz w:val="24"/>
                <w:szCs w:val="24"/>
              </w:rPr>
              <m:t>2</m:t>
            </m:r>
          </m:sup>
        </m:sSup>
      </m:oMath>
      <w:r>
        <w:rPr>
          <w:sz w:val="24"/>
          <w:szCs w:val="24"/>
        </w:rPr>
        <w:t xml:space="preserve">, 4.Đánh giá hiệu ứng </w:t>
      </w:r>
      <m:oMath>
        <m:sSup>
          <m:sSupPr>
            <m:ctrlPr>
              <w:rPr>
                <w:rFonts w:ascii="Cambria Math" w:hAnsi="Cambria Math"/>
                <w:sz w:val="22"/>
                <w:szCs w:val="22"/>
              </w:rPr>
            </m:ctrlPr>
          </m:sSupPr>
          <m:e>
            <m:r>
              <w:rPr>
                <w:rFonts w:ascii="Cambria Math" w:hAnsi="Cambria Math"/>
                <w:sz w:val="22"/>
                <w:szCs w:val="22"/>
              </w:rPr>
              <m:t xml:space="preserve"> f</m:t>
            </m:r>
          </m:e>
          <m:sup>
            <m:r>
              <w:rPr>
                <w:rFonts w:ascii="Cambria Math" w:hAnsi="Cambria Math"/>
                <w:sz w:val="22"/>
                <w:szCs w:val="22"/>
              </w:rPr>
              <m:t>2</m:t>
            </m:r>
          </m:sup>
        </m:sSup>
      </m:oMath>
      <w:r>
        <w:rPr>
          <w:sz w:val="22"/>
          <w:szCs w:val="22"/>
        </w:rPr>
        <w:t>. Nhóm nghiên cứu đã sử dụng những phương pháp và các chỉ tiêu trên để kiểm định các giả thuyết trên</w:t>
      </w:r>
    </w:p>
    <w:p w14:paraId="41738258" w14:textId="77777777" w:rsidR="00DE7FFB" w:rsidRDefault="001A3F31">
      <w:pPr>
        <w:rPr>
          <w:b/>
          <w:bCs/>
          <w:sz w:val="24"/>
          <w:szCs w:val="24"/>
        </w:rPr>
      </w:pPr>
      <w:r>
        <w:rPr>
          <w:b/>
          <w:bCs/>
          <w:sz w:val="24"/>
          <w:szCs w:val="24"/>
        </w:rPr>
        <w:t xml:space="preserve">4. Kết quả và thảo luận </w:t>
      </w:r>
    </w:p>
    <w:p w14:paraId="075C4A8E" w14:textId="77777777" w:rsidR="00DE7FFB" w:rsidRPr="00790738" w:rsidRDefault="001A3F31">
      <w:pPr>
        <w:rPr>
          <w:b/>
          <w:bCs/>
          <w:i/>
          <w:iCs/>
          <w:sz w:val="24"/>
          <w:szCs w:val="24"/>
        </w:rPr>
      </w:pPr>
      <w:r w:rsidRPr="00790738">
        <w:rPr>
          <w:b/>
          <w:bCs/>
          <w:i/>
          <w:iCs/>
          <w:sz w:val="24"/>
          <w:szCs w:val="24"/>
        </w:rPr>
        <w:t>4.1. Kiểm định Độ tin cậy và Giá trị hội tụ</w:t>
      </w:r>
    </w:p>
    <w:p w14:paraId="7AA4E23A" w14:textId="3BA67A7D" w:rsidR="00DE7FFB" w:rsidRPr="0021565E" w:rsidRDefault="001A3F31">
      <w:pPr>
        <w:rPr>
          <w:sz w:val="24"/>
          <w:szCs w:val="24"/>
        </w:rPr>
      </w:pPr>
      <w:r>
        <w:rPr>
          <w:sz w:val="24"/>
          <w:szCs w:val="24"/>
        </w:rPr>
        <w:t>Hệ số Cronbach's Alpha của các nhân tố dao động từ 0.703 (DE) đến 0.929 (BHV), tất cả đều vượt ngưỡng 0.70 theo tiêu chuẩn của DeVellis (2012). Độ tin cậy tổng hợp (rho_c) dao động từ 0.835 (DE) đến 0.939 (BHV), tất cả đều vượt ngưỡng 0.70. Tất cả 8 nhân tố có AVE vượt ngưỡng 0.50, dao động từ 0.562 (BHV) đến 0.717 (EJ). Tổng hợp lại, kết quả đánh giá Cronbach's Alpha, rho_c và AVE khẳng định tất cả thang đo đều đạt tiêu chuẩn về độ tin cậy và giá trị hội tụ, tạo cơ sở vững chắc để tiến hành đánh giá mô hình cấu trúc.</w:t>
      </w:r>
      <w:r w:rsidR="00833C42" w:rsidRPr="00790738">
        <w:rPr>
          <w:sz w:val="24"/>
          <w:szCs w:val="24"/>
        </w:rPr>
        <w:t xml:space="preserve"> (Bảng 1)</w:t>
      </w:r>
    </w:p>
    <w:p w14:paraId="2287D790" w14:textId="77777777" w:rsidR="00DE7FFB" w:rsidRDefault="001A3F31">
      <w:pPr>
        <w:rPr>
          <w:b/>
          <w:bCs/>
          <w:i/>
          <w:iCs/>
          <w:sz w:val="24"/>
          <w:szCs w:val="24"/>
        </w:rPr>
      </w:pPr>
      <w:r>
        <w:rPr>
          <w:b/>
          <w:bCs/>
          <w:i/>
          <w:iCs/>
          <w:sz w:val="24"/>
          <w:szCs w:val="24"/>
        </w:rPr>
        <w:t>Bảng 1. Kết quả đánh giá Độ tin cậy và Giá trị hội tụ</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50"/>
        <w:gridCol w:w="2130"/>
        <w:gridCol w:w="2175"/>
        <w:gridCol w:w="2205"/>
      </w:tblGrid>
      <w:tr w:rsidR="00DE7FFB" w14:paraId="661240D5" w14:textId="77777777">
        <w:trPr>
          <w:trHeight w:val="752"/>
        </w:trPr>
        <w:tc>
          <w:tcPr>
            <w:tcW w:w="2850" w:type="dxa"/>
            <w:tcBorders>
              <w:top w:val="single" w:sz="5" w:space="0" w:color="000000"/>
              <w:left w:val="single" w:sz="5" w:space="0" w:color="000000"/>
              <w:bottom w:val="single" w:sz="5" w:space="0" w:color="000000"/>
              <w:right w:val="single" w:sz="5" w:space="0" w:color="000000"/>
            </w:tcBorders>
            <w:shd w:val="clear" w:color="auto" w:fill="D9E2F3"/>
            <w:tcMar>
              <w:top w:w="100" w:type="dxa"/>
              <w:left w:w="100" w:type="dxa"/>
              <w:bottom w:w="100" w:type="dxa"/>
              <w:right w:w="100" w:type="dxa"/>
            </w:tcMar>
          </w:tcPr>
          <w:p w14:paraId="506578F7" w14:textId="77777777" w:rsidR="00DE7FFB" w:rsidRDefault="001A3F31">
            <w:pPr>
              <w:spacing w:before="0" w:line="240" w:lineRule="auto"/>
              <w:ind w:firstLine="0"/>
              <w:rPr>
                <w:sz w:val="24"/>
                <w:szCs w:val="24"/>
              </w:rPr>
            </w:pPr>
            <w:r>
              <w:rPr>
                <w:sz w:val="24"/>
                <w:szCs w:val="24"/>
              </w:rPr>
              <w:t>Nhân tố</w:t>
            </w:r>
          </w:p>
        </w:tc>
        <w:tc>
          <w:tcPr>
            <w:tcW w:w="2130" w:type="dxa"/>
            <w:tcBorders>
              <w:top w:val="single" w:sz="5" w:space="0" w:color="000000"/>
              <w:left w:val="nil"/>
              <w:bottom w:val="single" w:sz="5" w:space="0" w:color="000000"/>
              <w:right w:val="single" w:sz="5" w:space="0" w:color="000000"/>
            </w:tcBorders>
            <w:shd w:val="clear" w:color="auto" w:fill="D9E2F3"/>
            <w:tcMar>
              <w:top w:w="100" w:type="dxa"/>
              <w:left w:w="100" w:type="dxa"/>
              <w:bottom w:w="100" w:type="dxa"/>
              <w:right w:w="100" w:type="dxa"/>
            </w:tcMar>
          </w:tcPr>
          <w:p w14:paraId="5FDE8AC6" w14:textId="77777777" w:rsidR="00DE7FFB" w:rsidRDefault="001A3F31">
            <w:pPr>
              <w:spacing w:before="0" w:line="240" w:lineRule="auto"/>
              <w:ind w:firstLine="0"/>
              <w:rPr>
                <w:sz w:val="24"/>
                <w:szCs w:val="24"/>
              </w:rPr>
            </w:pPr>
            <w:r>
              <w:rPr>
                <w:sz w:val="24"/>
                <w:szCs w:val="24"/>
              </w:rPr>
              <w:t>Cronbach's Alpha</w:t>
            </w:r>
          </w:p>
        </w:tc>
        <w:tc>
          <w:tcPr>
            <w:tcW w:w="2175" w:type="dxa"/>
            <w:tcBorders>
              <w:top w:val="single" w:sz="5" w:space="0" w:color="000000"/>
              <w:left w:val="nil"/>
              <w:bottom w:val="single" w:sz="5" w:space="0" w:color="000000"/>
              <w:right w:val="single" w:sz="5" w:space="0" w:color="000000"/>
            </w:tcBorders>
            <w:shd w:val="clear" w:color="auto" w:fill="D9E2F3"/>
            <w:tcMar>
              <w:top w:w="100" w:type="dxa"/>
              <w:left w:w="100" w:type="dxa"/>
              <w:bottom w:w="100" w:type="dxa"/>
              <w:right w:w="100" w:type="dxa"/>
            </w:tcMar>
          </w:tcPr>
          <w:p w14:paraId="777EAF1C" w14:textId="77777777" w:rsidR="00DE7FFB" w:rsidRDefault="001A3F31">
            <w:pPr>
              <w:spacing w:before="0" w:line="240" w:lineRule="auto"/>
              <w:ind w:firstLine="0"/>
              <w:rPr>
                <w:sz w:val="24"/>
                <w:szCs w:val="24"/>
              </w:rPr>
            </w:pPr>
            <w:r>
              <w:rPr>
                <w:sz w:val="24"/>
                <w:szCs w:val="24"/>
              </w:rPr>
              <w:t>Độ tin cậy tổng hợp (rho_c)</w:t>
            </w:r>
          </w:p>
        </w:tc>
        <w:tc>
          <w:tcPr>
            <w:tcW w:w="2205" w:type="dxa"/>
            <w:tcBorders>
              <w:top w:val="single" w:sz="5" w:space="0" w:color="000000"/>
              <w:left w:val="nil"/>
              <w:bottom w:val="single" w:sz="5" w:space="0" w:color="000000"/>
              <w:right w:val="single" w:sz="5" w:space="0" w:color="000000"/>
            </w:tcBorders>
            <w:shd w:val="clear" w:color="auto" w:fill="D9E2F3"/>
            <w:tcMar>
              <w:top w:w="100" w:type="dxa"/>
              <w:left w:w="100" w:type="dxa"/>
              <w:bottom w:w="100" w:type="dxa"/>
              <w:right w:w="100" w:type="dxa"/>
            </w:tcMar>
          </w:tcPr>
          <w:p w14:paraId="5210B590" w14:textId="77777777" w:rsidR="00DE7FFB" w:rsidRDefault="001A3F31">
            <w:pPr>
              <w:spacing w:before="0" w:line="240" w:lineRule="auto"/>
              <w:ind w:firstLine="0"/>
              <w:rPr>
                <w:sz w:val="24"/>
                <w:szCs w:val="24"/>
              </w:rPr>
            </w:pPr>
            <w:r>
              <w:rPr>
                <w:sz w:val="24"/>
                <w:szCs w:val="24"/>
              </w:rPr>
              <w:t>Phương sai trung bình được trích xuất (AVE)</w:t>
            </w:r>
          </w:p>
        </w:tc>
      </w:tr>
      <w:tr w:rsidR="00DE7FFB" w14:paraId="6899F97E" w14:textId="77777777">
        <w:trPr>
          <w:trHeight w:val="785"/>
        </w:trPr>
        <w:tc>
          <w:tcPr>
            <w:tcW w:w="28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54E1E51" w14:textId="37BE831A" w:rsidR="00DE7FFB" w:rsidRDefault="001A3F31">
            <w:pPr>
              <w:spacing w:before="0" w:line="240" w:lineRule="auto"/>
              <w:ind w:firstLine="0"/>
              <w:rPr>
                <w:sz w:val="24"/>
                <w:szCs w:val="24"/>
              </w:rPr>
            </w:pPr>
            <w:r>
              <w:rPr>
                <w:sz w:val="24"/>
                <w:szCs w:val="24"/>
              </w:rPr>
              <w:t xml:space="preserve">BHP </w:t>
            </w:r>
            <w:r w:rsidR="00833C42">
              <w:rPr>
                <w:sz w:val="24"/>
                <w:szCs w:val="24"/>
              </w:rPr>
              <w:t>-</w:t>
            </w:r>
            <w:r>
              <w:rPr>
                <w:sz w:val="24"/>
                <w:szCs w:val="24"/>
              </w:rPr>
              <w:t xml:space="preserve"> Hành vi xanh mang tính công khai</w:t>
            </w:r>
          </w:p>
        </w:tc>
        <w:tc>
          <w:tcPr>
            <w:tcW w:w="2130" w:type="dxa"/>
            <w:tcBorders>
              <w:top w:val="nil"/>
              <w:left w:val="nil"/>
              <w:bottom w:val="single" w:sz="5" w:space="0" w:color="000000"/>
              <w:right w:val="single" w:sz="5" w:space="0" w:color="000000"/>
            </w:tcBorders>
            <w:tcMar>
              <w:top w:w="100" w:type="dxa"/>
              <w:left w:w="100" w:type="dxa"/>
              <w:bottom w:w="100" w:type="dxa"/>
              <w:right w:w="100" w:type="dxa"/>
            </w:tcMar>
          </w:tcPr>
          <w:p w14:paraId="00EDFBB2" w14:textId="77777777" w:rsidR="00DE7FFB" w:rsidRDefault="001A3F31">
            <w:pPr>
              <w:spacing w:before="0" w:line="240" w:lineRule="auto"/>
              <w:ind w:firstLine="0"/>
              <w:rPr>
                <w:sz w:val="24"/>
                <w:szCs w:val="24"/>
              </w:rPr>
            </w:pPr>
            <w:r>
              <w:rPr>
                <w:sz w:val="24"/>
                <w:szCs w:val="24"/>
              </w:rPr>
              <w:t>0.820</w:t>
            </w:r>
          </w:p>
        </w:tc>
        <w:tc>
          <w:tcPr>
            <w:tcW w:w="2175" w:type="dxa"/>
            <w:tcBorders>
              <w:top w:val="nil"/>
              <w:left w:val="nil"/>
              <w:bottom w:val="single" w:sz="5" w:space="0" w:color="000000"/>
              <w:right w:val="single" w:sz="5" w:space="0" w:color="000000"/>
            </w:tcBorders>
            <w:tcMar>
              <w:top w:w="100" w:type="dxa"/>
              <w:left w:w="100" w:type="dxa"/>
              <w:bottom w:w="100" w:type="dxa"/>
              <w:right w:w="100" w:type="dxa"/>
            </w:tcMar>
          </w:tcPr>
          <w:p w14:paraId="44DD8F37" w14:textId="77777777" w:rsidR="00DE7FFB" w:rsidRDefault="001A3F31">
            <w:pPr>
              <w:spacing w:before="0" w:line="240" w:lineRule="auto"/>
              <w:ind w:firstLine="0"/>
              <w:rPr>
                <w:sz w:val="24"/>
                <w:szCs w:val="24"/>
              </w:rPr>
            </w:pPr>
            <w:r>
              <w:rPr>
                <w:sz w:val="24"/>
                <w:szCs w:val="24"/>
              </w:rPr>
              <w:t>0.874</w:t>
            </w:r>
          </w:p>
        </w:tc>
        <w:tc>
          <w:tcPr>
            <w:tcW w:w="2205" w:type="dxa"/>
            <w:tcBorders>
              <w:top w:val="nil"/>
              <w:left w:val="nil"/>
              <w:bottom w:val="single" w:sz="5" w:space="0" w:color="000000"/>
              <w:right w:val="single" w:sz="5" w:space="0" w:color="000000"/>
            </w:tcBorders>
            <w:tcMar>
              <w:top w:w="100" w:type="dxa"/>
              <w:left w:w="100" w:type="dxa"/>
              <w:bottom w:w="100" w:type="dxa"/>
              <w:right w:w="100" w:type="dxa"/>
            </w:tcMar>
          </w:tcPr>
          <w:p w14:paraId="02CC09A0" w14:textId="77777777" w:rsidR="00DE7FFB" w:rsidRDefault="001A3F31">
            <w:pPr>
              <w:spacing w:before="0" w:line="240" w:lineRule="auto"/>
              <w:ind w:firstLine="0"/>
              <w:rPr>
                <w:sz w:val="24"/>
                <w:szCs w:val="24"/>
              </w:rPr>
            </w:pPr>
            <w:r>
              <w:rPr>
                <w:sz w:val="24"/>
                <w:szCs w:val="24"/>
              </w:rPr>
              <w:t>0.580</w:t>
            </w:r>
          </w:p>
        </w:tc>
      </w:tr>
      <w:tr w:rsidR="00DE7FFB" w14:paraId="39FADF38" w14:textId="77777777">
        <w:trPr>
          <w:trHeight w:val="785"/>
        </w:trPr>
        <w:tc>
          <w:tcPr>
            <w:tcW w:w="28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60543B8" w14:textId="22B855B0" w:rsidR="00DE7FFB" w:rsidRDefault="001A3F31">
            <w:pPr>
              <w:spacing w:before="0" w:line="240" w:lineRule="auto"/>
              <w:ind w:firstLine="0"/>
              <w:rPr>
                <w:sz w:val="24"/>
                <w:szCs w:val="24"/>
              </w:rPr>
            </w:pPr>
            <w:r>
              <w:rPr>
                <w:sz w:val="24"/>
                <w:szCs w:val="24"/>
              </w:rPr>
              <w:lastRenderedPageBreak/>
              <w:t xml:space="preserve">BHV </w:t>
            </w:r>
            <w:r w:rsidR="00833C42">
              <w:rPr>
                <w:sz w:val="24"/>
                <w:szCs w:val="24"/>
              </w:rPr>
              <w:t>-</w:t>
            </w:r>
            <w:r>
              <w:rPr>
                <w:sz w:val="24"/>
                <w:szCs w:val="24"/>
              </w:rPr>
              <w:t xml:space="preserve"> Hành vi xanh mang tính riêng tư  </w:t>
            </w:r>
          </w:p>
        </w:tc>
        <w:tc>
          <w:tcPr>
            <w:tcW w:w="2130" w:type="dxa"/>
            <w:tcBorders>
              <w:top w:val="nil"/>
              <w:left w:val="nil"/>
              <w:bottom w:val="single" w:sz="5" w:space="0" w:color="000000"/>
              <w:right w:val="single" w:sz="5" w:space="0" w:color="000000"/>
            </w:tcBorders>
            <w:tcMar>
              <w:top w:w="100" w:type="dxa"/>
              <w:left w:w="100" w:type="dxa"/>
              <w:bottom w:w="100" w:type="dxa"/>
              <w:right w:w="100" w:type="dxa"/>
            </w:tcMar>
          </w:tcPr>
          <w:p w14:paraId="4303DEBB" w14:textId="77777777" w:rsidR="00DE7FFB" w:rsidRDefault="001A3F31">
            <w:pPr>
              <w:spacing w:before="0" w:line="240" w:lineRule="auto"/>
              <w:ind w:firstLine="0"/>
              <w:rPr>
                <w:sz w:val="24"/>
                <w:szCs w:val="24"/>
              </w:rPr>
            </w:pPr>
            <w:r>
              <w:rPr>
                <w:sz w:val="24"/>
                <w:szCs w:val="24"/>
              </w:rPr>
              <w:t>0.929</w:t>
            </w:r>
          </w:p>
        </w:tc>
        <w:tc>
          <w:tcPr>
            <w:tcW w:w="2175" w:type="dxa"/>
            <w:tcBorders>
              <w:top w:val="nil"/>
              <w:left w:val="nil"/>
              <w:bottom w:val="single" w:sz="5" w:space="0" w:color="000000"/>
              <w:right w:val="single" w:sz="5" w:space="0" w:color="000000"/>
            </w:tcBorders>
            <w:tcMar>
              <w:top w:w="100" w:type="dxa"/>
              <w:left w:w="100" w:type="dxa"/>
              <w:bottom w:w="100" w:type="dxa"/>
              <w:right w:w="100" w:type="dxa"/>
            </w:tcMar>
          </w:tcPr>
          <w:p w14:paraId="06849390" w14:textId="77777777" w:rsidR="00DE7FFB" w:rsidRDefault="001A3F31">
            <w:pPr>
              <w:spacing w:before="0" w:line="240" w:lineRule="auto"/>
              <w:ind w:firstLine="0"/>
              <w:rPr>
                <w:sz w:val="24"/>
                <w:szCs w:val="24"/>
              </w:rPr>
            </w:pPr>
            <w:r>
              <w:rPr>
                <w:sz w:val="24"/>
                <w:szCs w:val="24"/>
              </w:rPr>
              <w:t>0.939</w:t>
            </w:r>
          </w:p>
        </w:tc>
        <w:tc>
          <w:tcPr>
            <w:tcW w:w="2205" w:type="dxa"/>
            <w:tcBorders>
              <w:top w:val="nil"/>
              <w:left w:val="nil"/>
              <w:bottom w:val="single" w:sz="5" w:space="0" w:color="000000"/>
              <w:right w:val="single" w:sz="5" w:space="0" w:color="000000"/>
            </w:tcBorders>
            <w:tcMar>
              <w:top w:w="100" w:type="dxa"/>
              <w:left w:w="100" w:type="dxa"/>
              <w:bottom w:w="100" w:type="dxa"/>
              <w:right w:w="100" w:type="dxa"/>
            </w:tcMar>
          </w:tcPr>
          <w:p w14:paraId="271DB6CF" w14:textId="77777777" w:rsidR="00DE7FFB" w:rsidRDefault="001A3F31">
            <w:pPr>
              <w:spacing w:before="0" w:line="240" w:lineRule="auto"/>
              <w:ind w:firstLine="0"/>
              <w:rPr>
                <w:sz w:val="24"/>
                <w:szCs w:val="24"/>
              </w:rPr>
            </w:pPr>
            <w:r>
              <w:rPr>
                <w:sz w:val="24"/>
                <w:szCs w:val="24"/>
              </w:rPr>
              <w:t>0.562</w:t>
            </w:r>
          </w:p>
        </w:tc>
      </w:tr>
      <w:tr w:rsidR="00DE7FFB" w14:paraId="545B8A93" w14:textId="77777777">
        <w:trPr>
          <w:trHeight w:val="785"/>
        </w:trPr>
        <w:tc>
          <w:tcPr>
            <w:tcW w:w="28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8522DC6" w14:textId="14BC013B" w:rsidR="00DE7FFB" w:rsidRDefault="001A3F31">
            <w:pPr>
              <w:spacing w:before="0" w:line="240" w:lineRule="auto"/>
              <w:ind w:firstLine="0"/>
              <w:rPr>
                <w:sz w:val="24"/>
                <w:szCs w:val="24"/>
              </w:rPr>
            </w:pPr>
            <w:r>
              <w:rPr>
                <w:sz w:val="24"/>
                <w:szCs w:val="24"/>
              </w:rPr>
              <w:t xml:space="preserve">DE </w:t>
            </w:r>
            <w:r w:rsidR="00833C42">
              <w:rPr>
                <w:sz w:val="24"/>
                <w:szCs w:val="24"/>
              </w:rPr>
              <w:t>-</w:t>
            </w:r>
            <w:r>
              <w:rPr>
                <w:sz w:val="24"/>
                <w:szCs w:val="24"/>
              </w:rPr>
              <w:t xml:space="preserve"> Đánh giá đạo đức theo chuẩn mực </w:t>
            </w:r>
          </w:p>
        </w:tc>
        <w:tc>
          <w:tcPr>
            <w:tcW w:w="2130" w:type="dxa"/>
            <w:tcBorders>
              <w:top w:val="nil"/>
              <w:left w:val="nil"/>
              <w:bottom w:val="single" w:sz="5" w:space="0" w:color="000000"/>
              <w:right w:val="single" w:sz="5" w:space="0" w:color="000000"/>
            </w:tcBorders>
            <w:tcMar>
              <w:top w:w="100" w:type="dxa"/>
              <w:left w:w="100" w:type="dxa"/>
              <w:bottom w:w="100" w:type="dxa"/>
              <w:right w:w="100" w:type="dxa"/>
            </w:tcMar>
          </w:tcPr>
          <w:p w14:paraId="33B2FB3E" w14:textId="77777777" w:rsidR="00DE7FFB" w:rsidRDefault="001A3F31">
            <w:pPr>
              <w:spacing w:before="0" w:line="240" w:lineRule="auto"/>
              <w:ind w:firstLine="0"/>
              <w:rPr>
                <w:sz w:val="24"/>
                <w:szCs w:val="24"/>
              </w:rPr>
            </w:pPr>
            <w:r>
              <w:rPr>
                <w:sz w:val="24"/>
                <w:szCs w:val="24"/>
              </w:rPr>
              <w:t>0.703</w:t>
            </w:r>
          </w:p>
        </w:tc>
        <w:tc>
          <w:tcPr>
            <w:tcW w:w="2175" w:type="dxa"/>
            <w:tcBorders>
              <w:top w:val="nil"/>
              <w:left w:val="nil"/>
              <w:bottom w:val="single" w:sz="5" w:space="0" w:color="000000"/>
              <w:right w:val="single" w:sz="5" w:space="0" w:color="000000"/>
            </w:tcBorders>
            <w:tcMar>
              <w:top w:w="100" w:type="dxa"/>
              <w:left w:w="100" w:type="dxa"/>
              <w:bottom w:w="100" w:type="dxa"/>
              <w:right w:w="100" w:type="dxa"/>
            </w:tcMar>
          </w:tcPr>
          <w:p w14:paraId="745D4C17" w14:textId="77777777" w:rsidR="00DE7FFB" w:rsidRDefault="001A3F31">
            <w:pPr>
              <w:spacing w:before="0" w:line="240" w:lineRule="auto"/>
              <w:ind w:firstLine="0"/>
              <w:rPr>
                <w:sz w:val="24"/>
                <w:szCs w:val="24"/>
              </w:rPr>
            </w:pPr>
            <w:r>
              <w:rPr>
                <w:sz w:val="24"/>
                <w:szCs w:val="24"/>
              </w:rPr>
              <w:t>0.835</w:t>
            </w:r>
          </w:p>
        </w:tc>
        <w:tc>
          <w:tcPr>
            <w:tcW w:w="2205" w:type="dxa"/>
            <w:tcBorders>
              <w:top w:val="nil"/>
              <w:left w:val="nil"/>
              <w:bottom w:val="single" w:sz="5" w:space="0" w:color="000000"/>
              <w:right w:val="single" w:sz="5" w:space="0" w:color="000000"/>
            </w:tcBorders>
            <w:tcMar>
              <w:top w:w="100" w:type="dxa"/>
              <w:left w:w="100" w:type="dxa"/>
              <w:bottom w:w="100" w:type="dxa"/>
              <w:right w:w="100" w:type="dxa"/>
            </w:tcMar>
          </w:tcPr>
          <w:p w14:paraId="3A3D1501" w14:textId="77777777" w:rsidR="00DE7FFB" w:rsidRDefault="001A3F31">
            <w:pPr>
              <w:spacing w:before="0" w:line="240" w:lineRule="auto"/>
              <w:ind w:firstLine="0"/>
              <w:rPr>
                <w:sz w:val="24"/>
                <w:szCs w:val="24"/>
              </w:rPr>
            </w:pPr>
            <w:r>
              <w:rPr>
                <w:sz w:val="24"/>
                <w:szCs w:val="24"/>
              </w:rPr>
              <w:t>0.628</w:t>
            </w:r>
          </w:p>
        </w:tc>
      </w:tr>
      <w:tr w:rsidR="00DE7FFB" w14:paraId="1D47747A" w14:textId="77777777">
        <w:trPr>
          <w:trHeight w:val="515"/>
        </w:trPr>
        <w:tc>
          <w:tcPr>
            <w:tcW w:w="28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6E0009E" w14:textId="0B87E212" w:rsidR="00DE7FFB" w:rsidRDefault="001A3F31">
            <w:pPr>
              <w:spacing w:before="0" w:line="240" w:lineRule="auto"/>
              <w:ind w:firstLine="0"/>
              <w:rPr>
                <w:sz w:val="24"/>
                <w:szCs w:val="24"/>
              </w:rPr>
            </w:pPr>
            <w:r>
              <w:rPr>
                <w:sz w:val="24"/>
                <w:szCs w:val="24"/>
              </w:rPr>
              <w:t xml:space="preserve">EE </w:t>
            </w:r>
            <w:r w:rsidR="00833C42">
              <w:rPr>
                <w:sz w:val="24"/>
                <w:szCs w:val="24"/>
              </w:rPr>
              <w:t>-</w:t>
            </w:r>
            <w:r>
              <w:rPr>
                <w:sz w:val="24"/>
                <w:szCs w:val="24"/>
              </w:rPr>
              <w:t xml:space="preserve"> Cảm xúc môi trường</w:t>
            </w:r>
          </w:p>
        </w:tc>
        <w:tc>
          <w:tcPr>
            <w:tcW w:w="2130" w:type="dxa"/>
            <w:tcBorders>
              <w:top w:val="nil"/>
              <w:left w:val="nil"/>
              <w:bottom w:val="single" w:sz="5" w:space="0" w:color="000000"/>
              <w:right w:val="single" w:sz="5" w:space="0" w:color="000000"/>
            </w:tcBorders>
            <w:tcMar>
              <w:top w:w="100" w:type="dxa"/>
              <w:left w:w="100" w:type="dxa"/>
              <w:bottom w:w="100" w:type="dxa"/>
              <w:right w:w="100" w:type="dxa"/>
            </w:tcMar>
          </w:tcPr>
          <w:p w14:paraId="6A8497B8" w14:textId="77777777" w:rsidR="00DE7FFB" w:rsidRDefault="001A3F31">
            <w:pPr>
              <w:spacing w:before="0" w:line="240" w:lineRule="auto"/>
              <w:ind w:firstLine="0"/>
              <w:rPr>
                <w:sz w:val="24"/>
                <w:szCs w:val="24"/>
              </w:rPr>
            </w:pPr>
            <w:r>
              <w:rPr>
                <w:sz w:val="24"/>
                <w:szCs w:val="24"/>
              </w:rPr>
              <w:t>0.870</w:t>
            </w:r>
          </w:p>
        </w:tc>
        <w:tc>
          <w:tcPr>
            <w:tcW w:w="2175" w:type="dxa"/>
            <w:tcBorders>
              <w:top w:val="nil"/>
              <w:left w:val="nil"/>
              <w:bottom w:val="single" w:sz="5" w:space="0" w:color="000000"/>
              <w:right w:val="single" w:sz="5" w:space="0" w:color="000000"/>
            </w:tcBorders>
            <w:tcMar>
              <w:top w:w="100" w:type="dxa"/>
              <w:left w:w="100" w:type="dxa"/>
              <w:bottom w:w="100" w:type="dxa"/>
              <w:right w:w="100" w:type="dxa"/>
            </w:tcMar>
          </w:tcPr>
          <w:p w14:paraId="7BBD6461" w14:textId="77777777" w:rsidR="00DE7FFB" w:rsidRDefault="001A3F31">
            <w:pPr>
              <w:spacing w:before="0" w:line="240" w:lineRule="auto"/>
              <w:ind w:firstLine="0"/>
              <w:rPr>
                <w:sz w:val="24"/>
                <w:szCs w:val="24"/>
              </w:rPr>
            </w:pPr>
            <w:r>
              <w:rPr>
                <w:sz w:val="24"/>
                <w:szCs w:val="24"/>
              </w:rPr>
              <w:t>0.902</w:t>
            </w:r>
          </w:p>
        </w:tc>
        <w:tc>
          <w:tcPr>
            <w:tcW w:w="2205" w:type="dxa"/>
            <w:tcBorders>
              <w:top w:val="nil"/>
              <w:left w:val="nil"/>
              <w:bottom w:val="single" w:sz="5" w:space="0" w:color="000000"/>
              <w:right w:val="single" w:sz="5" w:space="0" w:color="000000"/>
            </w:tcBorders>
            <w:tcMar>
              <w:top w:w="100" w:type="dxa"/>
              <w:left w:w="100" w:type="dxa"/>
              <w:bottom w:w="100" w:type="dxa"/>
              <w:right w:w="100" w:type="dxa"/>
            </w:tcMar>
          </w:tcPr>
          <w:p w14:paraId="2BC0C4B7" w14:textId="77777777" w:rsidR="00DE7FFB" w:rsidRDefault="001A3F31">
            <w:pPr>
              <w:spacing w:before="0" w:line="240" w:lineRule="auto"/>
              <w:ind w:firstLine="0"/>
              <w:rPr>
                <w:sz w:val="24"/>
                <w:szCs w:val="24"/>
              </w:rPr>
            </w:pPr>
            <w:r>
              <w:rPr>
                <w:sz w:val="24"/>
                <w:szCs w:val="24"/>
              </w:rPr>
              <w:t>0.607</w:t>
            </w:r>
          </w:p>
        </w:tc>
      </w:tr>
      <w:tr w:rsidR="00DE7FFB" w14:paraId="5CF00837" w14:textId="77777777">
        <w:trPr>
          <w:trHeight w:val="405"/>
        </w:trPr>
        <w:tc>
          <w:tcPr>
            <w:tcW w:w="28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94C378C" w14:textId="76F87167" w:rsidR="00DE7FFB" w:rsidRDefault="001A3F31">
            <w:pPr>
              <w:spacing w:before="0" w:line="240" w:lineRule="auto"/>
              <w:ind w:firstLine="0"/>
              <w:rPr>
                <w:sz w:val="24"/>
                <w:szCs w:val="24"/>
              </w:rPr>
            </w:pPr>
            <w:r>
              <w:rPr>
                <w:sz w:val="24"/>
                <w:szCs w:val="24"/>
              </w:rPr>
              <w:t xml:space="preserve">EJ </w:t>
            </w:r>
            <w:r w:rsidR="00833C42">
              <w:rPr>
                <w:sz w:val="24"/>
                <w:szCs w:val="24"/>
              </w:rPr>
              <w:t>-</w:t>
            </w:r>
            <w:r>
              <w:rPr>
                <w:sz w:val="24"/>
                <w:szCs w:val="24"/>
              </w:rPr>
              <w:t xml:space="preserve"> Phán xét đạo đức </w:t>
            </w:r>
          </w:p>
        </w:tc>
        <w:tc>
          <w:tcPr>
            <w:tcW w:w="2130" w:type="dxa"/>
            <w:tcBorders>
              <w:top w:val="nil"/>
              <w:left w:val="nil"/>
              <w:bottom w:val="single" w:sz="5" w:space="0" w:color="000000"/>
              <w:right w:val="single" w:sz="5" w:space="0" w:color="000000"/>
            </w:tcBorders>
            <w:tcMar>
              <w:top w:w="100" w:type="dxa"/>
              <w:left w:w="100" w:type="dxa"/>
              <w:bottom w:w="100" w:type="dxa"/>
              <w:right w:w="100" w:type="dxa"/>
            </w:tcMar>
          </w:tcPr>
          <w:p w14:paraId="5BFBDDC9" w14:textId="77777777" w:rsidR="00DE7FFB" w:rsidRDefault="001A3F31">
            <w:pPr>
              <w:spacing w:before="0" w:line="240" w:lineRule="auto"/>
              <w:ind w:firstLine="0"/>
              <w:rPr>
                <w:sz w:val="24"/>
                <w:szCs w:val="24"/>
              </w:rPr>
            </w:pPr>
            <w:r>
              <w:rPr>
                <w:sz w:val="24"/>
                <w:szCs w:val="24"/>
              </w:rPr>
              <w:t>0.868</w:t>
            </w:r>
          </w:p>
        </w:tc>
        <w:tc>
          <w:tcPr>
            <w:tcW w:w="2175" w:type="dxa"/>
            <w:tcBorders>
              <w:top w:val="nil"/>
              <w:left w:val="nil"/>
              <w:bottom w:val="single" w:sz="5" w:space="0" w:color="000000"/>
              <w:right w:val="single" w:sz="5" w:space="0" w:color="000000"/>
            </w:tcBorders>
            <w:tcMar>
              <w:top w:w="100" w:type="dxa"/>
              <w:left w:w="100" w:type="dxa"/>
              <w:bottom w:w="100" w:type="dxa"/>
              <w:right w:w="100" w:type="dxa"/>
            </w:tcMar>
          </w:tcPr>
          <w:p w14:paraId="68783F62" w14:textId="77777777" w:rsidR="00DE7FFB" w:rsidRDefault="001A3F31">
            <w:pPr>
              <w:spacing w:before="0" w:line="240" w:lineRule="auto"/>
              <w:ind w:firstLine="0"/>
              <w:rPr>
                <w:sz w:val="24"/>
                <w:szCs w:val="24"/>
              </w:rPr>
            </w:pPr>
            <w:r>
              <w:rPr>
                <w:sz w:val="24"/>
                <w:szCs w:val="24"/>
              </w:rPr>
              <w:t>0.910</w:t>
            </w:r>
          </w:p>
        </w:tc>
        <w:tc>
          <w:tcPr>
            <w:tcW w:w="2205" w:type="dxa"/>
            <w:tcBorders>
              <w:top w:val="nil"/>
              <w:left w:val="nil"/>
              <w:bottom w:val="single" w:sz="5" w:space="0" w:color="000000"/>
              <w:right w:val="single" w:sz="5" w:space="0" w:color="000000"/>
            </w:tcBorders>
            <w:tcMar>
              <w:top w:w="100" w:type="dxa"/>
              <w:left w:w="100" w:type="dxa"/>
              <w:bottom w:w="100" w:type="dxa"/>
              <w:right w:w="100" w:type="dxa"/>
            </w:tcMar>
          </w:tcPr>
          <w:p w14:paraId="68248ADC" w14:textId="77777777" w:rsidR="00DE7FFB" w:rsidRDefault="001A3F31">
            <w:pPr>
              <w:spacing w:before="0" w:line="240" w:lineRule="auto"/>
              <w:ind w:firstLine="0"/>
              <w:rPr>
                <w:sz w:val="24"/>
                <w:szCs w:val="24"/>
              </w:rPr>
            </w:pPr>
            <w:r>
              <w:rPr>
                <w:sz w:val="24"/>
                <w:szCs w:val="24"/>
              </w:rPr>
              <w:t>0.717</w:t>
            </w:r>
          </w:p>
        </w:tc>
      </w:tr>
      <w:tr w:rsidR="00DE7FFB" w14:paraId="61A801C5" w14:textId="77777777">
        <w:trPr>
          <w:trHeight w:val="461"/>
        </w:trPr>
        <w:tc>
          <w:tcPr>
            <w:tcW w:w="28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F780E34" w14:textId="34236458" w:rsidR="00DE7FFB" w:rsidRDefault="001A3F31">
            <w:pPr>
              <w:spacing w:before="0" w:line="240" w:lineRule="auto"/>
              <w:ind w:firstLine="0"/>
              <w:rPr>
                <w:sz w:val="24"/>
                <w:szCs w:val="24"/>
              </w:rPr>
            </w:pPr>
            <w:r>
              <w:rPr>
                <w:sz w:val="24"/>
                <w:szCs w:val="24"/>
              </w:rPr>
              <w:t xml:space="preserve">IMI </w:t>
            </w:r>
            <w:r w:rsidR="00833C42">
              <w:rPr>
                <w:sz w:val="24"/>
                <w:szCs w:val="24"/>
              </w:rPr>
              <w:t>-</w:t>
            </w:r>
            <w:r>
              <w:rPr>
                <w:sz w:val="24"/>
                <w:szCs w:val="24"/>
              </w:rPr>
              <w:t xml:space="preserve"> Tương tác thông tin trên cộng đồng trực tuyến</w:t>
            </w:r>
          </w:p>
        </w:tc>
        <w:tc>
          <w:tcPr>
            <w:tcW w:w="2130" w:type="dxa"/>
            <w:tcBorders>
              <w:top w:val="nil"/>
              <w:left w:val="nil"/>
              <w:bottom w:val="single" w:sz="5" w:space="0" w:color="000000"/>
              <w:right w:val="single" w:sz="5" w:space="0" w:color="000000"/>
            </w:tcBorders>
            <w:tcMar>
              <w:top w:w="100" w:type="dxa"/>
              <w:left w:w="100" w:type="dxa"/>
              <w:bottom w:w="100" w:type="dxa"/>
              <w:right w:w="100" w:type="dxa"/>
            </w:tcMar>
          </w:tcPr>
          <w:p w14:paraId="3BC5D422" w14:textId="77777777" w:rsidR="00DE7FFB" w:rsidRDefault="001A3F31">
            <w:pPr>
              <w:spacing w:before="0" w:line="240" w:lineRule="auto"/>
              <w:ind w:firstLine="0"/>
              <w:rPr>
                <w:sz w:val="24"/>
                <w:szCs w:val="24"/>
              </w:rPr>
            </w:pPr>
            <w:r>
              <w:rPr>
                <w:sz w:val="24"/>
                <w:szCs w:val="24"/>
              </w:rPr>
              <w:t>0.925</w:t>
            </w:r>
          </w:p>
        </w:tc>
        <w:tc>
          <w:tcPr>
            <w:tcW w:w="2175" w:type="dxa"/>
            <w:tcBorders>
              <w:top w:val="nil"/>
              <w:left w:val="nil"/>
              <w:bottom w:val="single" w:sz="5" w:space="0" w:color="000000"/>
              <w:right w:val="single" w:sz="5" w:space="0" w:color="000000"/>
            </w:tcBorders>
            <w:tcMar>
              <w:top w:w="100" w:type="dxa"/>
              <w:left w:w="100" w:type="dxa"/>
              <w:bottom w:w="100" w:type="dxa"/>
              <w:right w:w="100" w:type="dxa"/>
            </w:tcMar>
          </w:tcPr>
          <w:p w14:paraId="2F67DDEA" w14:textId="77777777" w:rsidR="00DE7FFB" w:rsidRDefault="001A3F31">
            <w:pPr>
              <w:spacing w:before="0" w:line="240" w:lineRule="auto"/>
              <w:ind w:firstLine="0"/>
              <w:rPr>
                <w:sz w:val="24"/>
                <w:szCs w:val="24"/>
              </w:rPr>
            </w:pPr>
            <w:r>
              <w:rPr>
                <w:sz w:val="24"/>
                <w:szCs w:val="24"/>
              </w:rPr>
              <w:t>0.937</w:t>
            </w:r>
          </w:p>
        </w:tc>
        <w:tc>
          <w:tcPr>
            <w:tcW w:w="2205" w:type="dxa"/>
            <w:tcBorders>
              <w:top w:val="nil"/>
              <w:left w:val="nil"/>
              <w:bottom w:val="single" w:sz="5" w:space="0" w:color="000000"/>
              <w:right w:val="single" w:sz="5" w:space="0" w:color="000000"/>
            </w:tcBorders>
            <w:tcMar>
              <w:top w:w="100" w:type="dxa"/>
              <w:left w:w="100" w:type="dxa"/>
              <w:bottom w:w="100" w:type="dxa"/>
              <w:right w:w="100" w:type="dxa"/>
            </w:tcMar>
          </w:tcPr>
          <w:p w14:paraId="3EB93160" w14:textId="77777777" w:rsidR="00DE7FFB" w:rsidRDefault="001A3F31">
            <w:pPr>
              <w:spacing w:before="0" w:line="240" w:lineRule="auto"/>
              <w:ind w:firstLine="0"/>
              <w:rPr>
                <w:sz w:val="24"/>
                <w:szCs w:val="24"/>
              </w:rPr>
            </w:pPr>
            <w:r>
              <w:rPr>
                <w:sz w:val="24"/>
                <w:szCs w:val="24"/>
              </w:rPr>
              <w:t>0.598</w:t>
            </w:r>
          </w:p>
        </w:tc>
      </w:tr>
      <w:tr w:rsidR="00DE7FFB" w14:paraId="4419A357" w14:textId="77777777">
        <w:trPr>
          <w:trHeight w:val="587"/>
        </w:trPr>
        <w:tc>
          <w:tcPr>
            <w:tcW w:w="28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558D0DD" w14:textId="4CCD5B69" w:rsidR="00DE7FFB" w:rsidRDefault="001A3F31">
            <w:pPr>
              <w:spacing w:before="0" w:line="240" w:lineRule="auto"/>
              <w:ind w:firstLine="0"/>
              <w:rPr>
                <w:sz w:val="24"/>
                <w:szCs w:val="24"/>
              </w:rPr>
            </w:pPr>
            <w:r>
              <w:rPr>
                <w:sz w:val="24"/>
                <w:szCs w:val="24"/>
              </w:rPr>
              <w:t xml:space="preserve">IPI </w:t>
            </w:r>
            <w:r w:rsidR="00833C42">
              <w:rPr>
                <w:sz w:val="24"/>
                <w:szCs w:val="24"/>
              </w:rPr>
              <w:t>-</w:t>
            </w:r>
            <w:r>
              <w:rPr>
                <w:sz w:val="24"/>
                <w:szCs w:val="24"/>
              </w:rPr>
              <w:t xml:space="preserve"> Tương tác liên cá nhân trong cộng đồng trực tuyến</w:t>
            </w:r>
          </w:p>
        </w:tc>
        <w:tc>
          <w:tcPr>
            <w:tcW w:w="2130" w:type="dxa"/>
            <w:tcBorders>
              <w:top w:val="nil"/>
              <w:left w:val="nil"/>
              <w:bottom w:val="single" w:sz="5" w:space="0" w:color="000000"/>
              <w:right w:val="single" w:sz="5" w:space="0" w:color="000000"/>
            </w:tcBorders>
            <w:tcMar>
              <w:top w:w="100" w:type="dxa"/>
              <w:left w:w="100" w:type="dxa"/>
              <w:bottom w:w="100" w:type="dxa"/>
              <w:right w:w="100" w:type="dxa"/>
            </w:tcMar>
          </w:tcPr>
          <w:p w14:paraId="3B517026" w14:textId="77777777" w:rsidR="00DE7FFB" w:rsidRDefault="001A3F31">
            <w:pPr>
              <w:spacing w:before="0" w:line="240" w:lineRule="auto"/>
              <w:ind w:firstLine="0"/>
              <w:rPr>
                <w:sz w:val="24"/>
                <w:szCs w:val="24"/>
              </w:rPr>
            </w:pPr>
            <w:r>
              <w:rPr>
                <w:sz w:val="24"/>
                <w:szCs w:val="24"/>
              </w:rPr>
              <w:t>0.917</w:t>
            </w:r>
          </w:p>
        </w:tc>
        <w:tc>
          <w:tcPr>
            <w:tcW w:w="2175" w:type="dxa"/>
            <w:tcBorders>
              <w:top w:val="nil"/>
              <w:left w:val="nil"/>
              <w:bottom w:val="single" w:sz="5" w:space="0" w:color="000000"/>
              <w:right w:val="single" w:sz="5" w:space="0" w:color="000000"/>
            </w:tcBorders>
            <w:tcMar>
              <w:top w:w="100" w:type="dxa"/>
              <w:left w:w="100" w:type="dxa"/>
              <w:bottom w:w="100" w:type="dxa"/>
              <w:right w:w="100" w:type="dxa"/>
            </w:tcMar>
          </w:tcPr>
          <w:p w14:paraId="3E482EAE" w14:textId="77777777" w:rsidR="00DE7FFB" w:rsidRDefault="001A3F31">
            <w:pPr>
              <w:spacing w:before="0" w:line="240" w:lineRule="auto"/>
              <w:ind w:firstLine="0"/>
              <w:rPr>
                <w:sz w:val="24"/>
                <w:szCs w:val="24"/>
              </w:rPr>
            </w:pPr>
            <w:r>
              <w:rPr>
                <w:sz w:val="24"/>
                <w:szCs w:val="24"/>
              </w:rPr>
              <w:t>0.930</w:t>
            </w:r>
          </w:p>
        </w:tc>
        <w:tc>
          <w:tcPr>
            <w:tcW w:w="2205" w:type="dxa"/>
            <w:tcBorders>
              <w:top w:val="nil"/>
              <w:left w:val="nil"/>
              <w:bottom w:val="single" w:sz="5" w:space="0" w:color="000000"/>
              <w:right w:val="single" w:sz="5" w:space="0" w:color="000000"/>
            </w:tcBorders>
            <w:tcMar>
              <w:top w:w="100" w:type="dxa"/>
              <w:left w:w="100" w:type="dxa"/>
              <w:bottom w:w="100" w:type="dxa"/>
              <w:right w:w="100" w:type="dxa"/>
            </w:tcMar>
          </w:tcPr>
          <w:p w14:paraId="7233B0FC" w14:textId="77777777" w:rsidR="00DE7FFB" w:rsidRDefault="001A3F31">
            <w:pPr>
              <w:spacing w:before="0" w:line="240" w:lineRule="auto"/>
              <w:ind w:firstLine="0"/>
              <w:rPr>
                <w:sz w:val="24"/>
                <w:szCs w:val="24"/>
              </w:rPr>
            </w:pPr>
            <w:r>
              <w:rPr>
                <w:sz w:val="24"/>
                <w:szCs w:val="24"/>
              </w:rPr>
              <w:t>0.572</w:t>
            </w:r>
          </w:p>
        </w:tc>
      </w:tr>
      <w:tr w:rsidR="00DE7FFB" w14:paraId="462D213E" w14:textId="77777777">
        <w:trPr>
          <w:trHeight w:val="785"/>
        </w:trPr>
        <w:tc>
          <w:tcPr>
            <w:tcW w:w="28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69C1ABF" w14:textId="7D38A402" w:rsidR="00DE7FFB" w:rsidRDefault="001A3F31">
            <w:pPr>
              <w:spacing w:before="0" w:line="240" w:lineRule="auto"/>
              <w:ind w:firstLine="0"/>
              <w:rPr>
                <w:sz w:val="24"/>
                <w:szCs w:val="24"/>
              </w:rPr>
            </w:pPr>
            <w:r>
              <w:rPr>
                <w:sz w:val="24"/>
                <w:szCs w:val="24"/>
              </w:rPr>
              <w:t xml:space="preserve">TE </w:t>
            </w:r>
            <w:r w:rsidR="00833C42">
              <w:rPr>
                <w:sz w:val="24"/>
                <w:szCs w:val="24"/>
              </w:rPr>
              <w:t>-</w:t>
            </w:r>
            <w:r>
              <w:rPr>
                <w:sz w:val="24"/>
                <w:szCs w:val="24"/>
              </w:rPr>
              <w:t xml:space="preserve"> Đánh giá đạo đức theo hậu quả  </w:t>
            </w:r>
          </w:p>
        </w:tc>
        <w:tc>
          <w:tcPr>
            <w:tcW w:w="2130" w:type="dxa"/>
            <w:tcBorders>
              <w:top w:val="nil"/>
              <w:left w:val="nil"/>
              <w:bottom w:val="single" w:sz="5" w:space="0" w:color="000000"/>
              <w:right w:val="single" w:sz="5" w:space="0" w:color="000000"/>
            </w:tcBorders>
            <w:tcMar>
              <w:top w:w="100" w:type="dxa"/>
              <w:left w:w="100" w:type="dxa"/>
              <w:bottom w:w="100" w:type="dxa"/>
              <w:right w:w="100" w:type="dxa"/>
            </w:tcMar>
          </w:tcPr>
          <w:p w14:paraId="4DBAD891" w14:textId="77777777" w:rsidR="00DE7FFB" w:rsidRDefault="001A3F31">
            <w:pPr>
              <w:spacing w:before="0" w:line="240" w:lineRule="auto"/>
              <w:ind w:firstLine="0"/>
              <w:rPr>
                <w:sz w:val="24"/>
                <w:szCs w:val="24"/>
              </w:rPr>
            </w:pPr>
            <w:r>
              <w:rPr>
                <w:sz w:val="24"/>
                <w:szCs w:val="24"/>
              </w:rPr>
              <w:t>0.841</w:t>
            </w:r>
          </w:p>
        </w:tc>
        <w:tc>
          <w:tcPr>
            <w:tcW w:w="2175" w:type="dxa"/>
            <w:tcBorders>
              <w:top w:val="nil"/>
              <w:left w:val="nil"/>
              <w:bottom w:val="single" w:sz="5" w:space="0" w:color="000000"/>
              <w:right w:val="single" w:sz="5" w:space="0" w:color="000000"/>
            </w:tcBorders>
            <w:tcMar>
              <w:top w:w="100" w:type="dxa"/>
              <w:left w:w="100" w:type="dxa"/>
              <w:bottom w:w="100" w:type="dxa"/>
              <w:right w:w="100" w:type="dxa"/>
            </w:tcMar>
          </w:tcPr>
          <w:p w14:paraId="141321F3" w14:textId="77777777" w:rsidR="00DE7FFB" w:rsidRDefault="001A3F31">
            <w:pPr>
              <w:spacing w:before="0" w:line="240" w:lineRule="auto"/>
              <w:ind w:firstLine="0"/>
              <w:rPr>
                <w:sz w:val="24"/>
                <w:szCs w:val="24"/>
              </w:rPr>
            </w:pPr>
            <w:r>
              <w:rPr>
                <w:sz w:val="24"/>
                <w:szCs w:val="24"/>
              </w:rPr>
              <w:t>0.887</w:t>
            </w:r>
          </w:p>
        </w:tc>
        <w:tc>
          <w:tcPr>
            <w:tcW w:w="2205" w:type="dxa"/>
            <w:tcBorders>
              <w:top w:val="nil"/>
              <w:left w:val="nil"/>
              <w:bottom w:val="single" w:sz="5" w:space="0" w:color="000000"/>
              <w:right w:val="single" w:sz="5" w:space="0" w:color="000000"/>
            </w:tcBorders>
            <w:tcMar>
              <w:top w:w="100" w:type="dxa"/>
              <w:left w:w="100" w:type="dxa"/>
              <w:bottom w:w="100" w:type="dxa"/>
              <w:right w:w="100" w:type="dxa"/>
            </w:tcMar>
          </w:tcPr>
          <w:p w14:paraId="3D0A10A3" w14:textId="77777777" w:rsidR="00DE7FFB" w:rsidRDefault="001A3F31">
            <w:pPr>
              <w:spacing w:before="0" w:line="240" w:lineRule="auto"/>
              <w:ind w:firstLine="0"/>
              <w:rPr>
                <w:sz w:val="24"/>
                <w:szCs w:val="24"/>
              </w:rPr>
            </w:pPr>
            <w:r>
              <w:rPr>
                <w:sz w:val="24"/>
                <w:szCs w:val="24"/>
              </w:rPr>
              <w:t>0.611</w:t>
            </w:r>
          </w:p>
        </w:tc>
      </w:tr>
    </w:tbl>
    <w:p w14:paraId="4C61342B" w14:textId="77777777" w:rsidR="00DE7FFB" w:rsidRDefault="001A3F31">
      <w:pPr>
        <w:ind w:firstLine="3968"/>
        <w:rPr>
          <w:i/>
          <w:iCs/>
          <w:sz w:val="24"/>
          <w:szCs w:val="24"/>
        </w:rPr>
      </w:pPr>
      <w:r>
        <w:rPr>
          <w:i/>
          <w:iCs/>
          <w:sz w:val="24"/>
          <w:szCs w:val="24"/>
        </w:rPr>
        <w:t>Nguồn: Kết quả phân tích của nhóm tác giả, 2026</w:t>
      </w:r>
    </w:p>
    <w:p w14:paraId="481B3DFF" w14:textId="77777777" w:rsidR="00DE7FFB" w:rsidRPr="00790738" w:rsidRDefault="001A3F31">
      <w:pPr>
        <w:rPr>
          <w:b/>
          <w:bCs/>
          <w:i/>
          <w:iCs/>
          <w:sz w:val="24"/>
          <w:szCs w:val="24"/>
        </w:rPr>
      </w:pPr>
      <w:r w:rsidRPr="00790738">
        <w:rPr>
          <w:b/>
          <w:bCs/>
          <w:i/>
          <w:iCs/>
          <w:sz w:val="24"/>
          <w:szCs w:val="24"/>
        </w:rPr>
        <w:t xml:space="preserve">4.2. Kiểm định mô hình cấu trúc </w:t>
      </w:r>
    </w:p>
    <w:p w14:paraId="58263A73" w14:textId="00A7B3DC" w:rsidR="00DE7FFB" w:rsidRPr="0021565E" w:rsidRDefault="001A3F31">
      <w:pPr>
        <w:rPr>
          <w:sz w:val="24"/>
          <w:szCs w:val="24"/>
        </w:rPr>
      </w:pPr>
      <w:r>
        <w:rPr>
          <w:sz w:val="24"/>
          <w:szCs w:val="24"/>
        </w:rPr>
        <w:t>Kết quả kiểm định mô hình cấu trúc cho thấy</w:t>
      </w:r>
      <w:r w:rsidR="00833C42" w:rsidRPr="00790738">
        <w:rPr>
          <w:sz w:val="24"/>
          <w:szCs w:val="24"/>
        </w:rPr>
        <w:t>,</w:t>
      </w:r>
      <w:r>
        <w:rPr>
          <w:sz w:val="24"/>
          <w:szCs w:val="24"/>
        </w:rPr>
        <w:t xml:space="preserve"> các mối quan hệ đều có ý nghĩa thống kê (p &lt; 0,05). Cụ thể, Tương tác thông tin xanh (IMI) và Tương tác liên cá nhân xanh (IPI) cũng có ảnh hưởng tích cực đến Đánh giá đạo đức theo chuẩn mực (DE), Cảm xúc môi trường (EE) và Đánh giá đạo đức theo hậu quả (TE). Đánh giá đạo đức theo chuẩn mực (DE), Cảm xúc môi trường (EE) và Đánh giá đạo đức theo hậu quả (TE) đều tác động tích cực đến Phán xét đạo đức (EJ), trong đó DE có mức ảnh hưởng mạnh nhất (β = 0,489). Đồng thời, Phán xét đạo đức (EJ) ảnh hưởng tích cực đến Hành vi xanh mang tính công khai (BHP) và Hành vi xanh mang tính riêng tư (BHV). </w:t>
      </w:r>
      <w:r w:rsidR="00833C42" w:rsidRPr="00790738">
        <w:rPr>
          <w:sz w:val="24"/>
          <w:szCs w:val="24"/>
        </w:rPr>
        <w:t>(Bảng 2)</w:t>
      </w:r>
    </w:p>
    <w:p w14:paraId="4D9D2D4F" w14:textId="77777777" w:rsidR="00DE7FFB" w:rsidRDefault="001A3F31">
      <w:pPr>
        <w:rPr>
          <w:b/>
          <w:bCs/>
          <w:i/>
          <w:iCs/>
        </w:rPr>
      </w:pPr>
      <w:r>
        <w:rPr>
          <w:b/>
          <w:bCs/>
          <w:i/>
          <w:iCs/>
        </w:rPr>
        <w:t>Bảng 2. Kết quả Kiểm định Hệ số đường dẫn trực tiếp</w:t>
      </w:r>
    </w:p>
    <w:tbl>
      <w:tblPr>
        <w:tblStyle w:val="a0"/>
        <w:tblW w:w="94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80"/>
        <w:gridCol w:w="1095"/>
        <w:gridCol w:w="1575"/>
        <w:gridCol w:w="1530"/>
        <w:gridCol w:w="1815"/>
        <w:gridCol w:w="1800"/>
      </w:tblGrid>
      <w:tr w:rsidR="00DE7FFB" w14:paraId="1CB58586" w14:textId="77777777">
        <w:trPr>
          <w:trHeight w:val="1050"/>
        </w:trPr>
        <w:tc>
          <w:tcPr>
            <w:tcW w:w="1680" w:type="dxa"/>
            <w:tcBorders>
              <w:top w:val="single" w:sz="5" w:space="0" w:color="000000"/>
              <w:left w:val="single" w:sz="5" w:space="0" w:color="000000"/>
              <w:bottom w:val="single" w:sz="5" w:space="0" w:color="000000"/>
              <w:right w:val="single" w:sz="5" w:space="0" w:color="000000"/>
            </w:tcBorders>
            <w:shd w:val="clear" w:color="auto" w:fill="D9E2F3"/>
            <w:tcMar>
              <w:top w:w="100" w:type="dxa"/>
              <w:left w:w="100" w:type="dxa"/>
              <w:bottom w:w="100" w:type="dxa"/>
              <w:right w:w="100" w:type="dxa"/>
            </w:tcMar>
          </w:tcPr>
          <w:p w14:paraId="21E0203E" w14:textId="77777777" w:rsidR="00DE7FFB" w:rsidRDefault="001A3F31">
            <w:pPr>
              <w:widowControl w:val="0"/>
              <w:spacing w:line="288" w:lineRule="auto"/>
              <w:ind w:firstLine="0"/>
              <w:rPr>
                <w:b/>
                <w:bCs/>
                <w:sz w:val="24"/>
                <w:szCs w:val="24"/>
              </w:rPr>
            </w:pPr>
            <w:r>
              <w:rPr>
                <w:b/>
                <w:bCs/>
                <w:sz w:val="24"/>
                <w:szCs w:val="24"/>
              </w:rPr>
              <w:t xml:space="preserve">Mối quan hệ </w:t>
            </w:r>
          </w:p>
        </w:tc>
        <w:tc>
          <w:tcPr>
            <w:tcW w:w="1095" w:type="dxa"/>
            <w:tcBorders>
              <w:top w:val="single" w:sz="5" w:space="0" w:color="000000"/>
              <w:left w:val="nil"/>
              <w:bottom w:val="single" w:sz="5" w:space="0" w:color="000000"/>
              <w:right w:val="single" w:sz="5" w:space="0" w:color="000000"/>
            </w:tcBorders>
            <w:shd w:val="clear" w:color="auto" w:fill="D9E2F3"/>
            <w:tcMar>
              <w:top w:w="100" w:type="dxa"/>
              <w:left w:w="100" w:type="dxa"/>
              <w:bottom w:w="100" w:type="dxa"/>
              <w:right w:w="100" w:type="dxa"/>
            </w:tcMar>
          </w:tcPr>
          <w:p w14:paraId="2E41BD9F" w14:textId="77777777" w:rsidR="00DE7FFB" w:rsidRDefault="001A3F31">
            <w:pPr>
              <w:widowControl w:val="0"/>
              <w:spacing w:line="288" w:lineRule="auto"/>
              <w:ind w:firstLine="0"/>
              <w:rPr>
                <w:b/>
                <w:bCs/>
                <w:sz w:val="24"/>
                <w:szCs w:val="24"/>
              </w:rPr>
            </w:pPr>
            <w:r>
              <w:rPr>
                <w:b/>
                <w:bCs/>
                <w:sz w:val="24"/>
                <w:szCs w:val="24"/>
              </w:rPr>
              <w:t>Hệ số β</w:t>
            </w:r>
          </w:p>
        </w:tc>
        <w:tc>
          <w:tcPr>
            <w:tcW w:w="1575" w:type="dxa"/>
            <w:tcBorders>
              <w:top w:val="single" w:sz="5" w:space="0" w:color="000000"/>
              <w:left w:val="nil"/>
              <w:bottom w:val="single" w:sz="5" w:space="0" w:color="000000"/>
              <w:right w:val="single" w:sz="5" w:space="0" w:color="000000"/>
            </w:tcBorders>
            <w:shd w:val="clear" w:color="auto" w:fill="D9E2F3"/>
            <w:tcMar>
              <w:top w:w="100" w:type="dxa"/>
              <w:left w:w="100" w:type="dxa"/>
              <w:bottom w:w="100" w:type="dxa"/>
              <w:right w:w="100" w:type="dxa"/>
            </w:tcMar>
          </w:tcPr>
          <w:p w14:paraId="2B144119" w14:textId="77777777" w:rsidR="00DE7FFB" w:rsidRDefault="001A3F31">
            <w:pPr>
              <w:widowControl w:val="0"/>
              <w:spacing w:line="288" w:lineRule="auto"/>
              <w:ind w:firstLine="0"/>
              <w:rPr>
                <w:b/>
                <w:bCs/>
                <w:sz w:val="24"/>
                <w:szCs w:val="24"/>
              </w:rPr>
            </w:pPr>
            <w:r>
              <w:rPr>
                <w:b/>
                <w:bCs/>
                <w:sz w:val="24"/>
                <w:szCs w:val="24"/>
              </w:rPr>
              <w:t>Trung bình mẫu (M)</w:t>
            </w:r>
          </w:p>
        </w:tc>
        <w:tc>
          <w:tcPr>
            <w:tcW w:w="1530" w:type="dxa"/>
            <w:tcBorders>
              <w:top w:val="single" w:sz="5" w:space="0" w:color="000000"/>
              <w:left w:val="nil"/>
              <w:bottom w:val="single" w:sz="5" w:space="0" w:color="000000"/>
              <w:right w:val="single" w:sz="5" w:space="0" w:color="000000"/>
            </w:tcBorders>
            <w:shd w:val="clear" w:color="auto" w:fill="D9E2F3"/>
            <w:tcMar>
              <w:top w:w="100" w:type="dxa"/>
              <w:left w:w="100" w:type="dxa"/>
              <w:bottom w:w="100" w:type="dxa"/>
              <w:right w:w="100" w:type="dxa"/>
            </w:tcMar>
          </w:tcPr>
          <w:p w14:paraId="431228BC" w14:textId="77777777" w:rsidR="00DE7FFB" w:rsidRDefault="001A3F31">
            <w:pPr>
              <w:widowControl w:val="0"/>
              <w:spacing w:line="288" w:lineRule="auto"/>
              <w:ind w:firstLine="0"/>
              <w:rPr>
                <w:b/>
                <w:bCs/>
                <w:sz w:val="24"/>
                <w:szCs w:val="24"/>
              </w:rPr>
            </w:pPr>
            <w:r>
              <w:rPr>
                <w:b/>
                <w:bCs/>
                <w:sz w:val="24"/>
                <w:szCs w:val="24"/>
              </w:rPr>
              <w:t>STDEV</w:t>
            </w:r>
          </w:p>
        </w:tc>
        <w:tc>
          <w:tcPr>
            <w:tcW w:w="1815" w:type="dxa"/>
            <w:tcBorders>
              <w:top w:val="single" w:sz="5" w:space="0" w:color="000000"/>
              <w:left w:val="nil"/>
              <w:bottom w:val="single" w:sz="5" w:space="0" w:color="000000"/>
              <w:right w:val="single" w:sz="5" w:space="0" w:color="000000"/>
            </w:tcBorders>
            <w:shd w:val="clear" w:color="auto" w:fill="D9E2F3"/>
            <w:tcMar>
              <w:top w:w="100" w:type="dxa"/>
              <w:left w:w="100" w:type="dxa"/>
              <w:bottom w:w="100" w:type="dxa"/>
              <w:right w:w="100" w:type="dxa"/>
            </w:tcMar>
          </w:tcPr>
          <w:p w14:paraId="2AB1872B" w14:textId="77777777" w:rsidR="00DE7FFB" w:rsidRDefault="001A3F31">
            <w:pPr>
              <w:widowControl w:val="0"/>
              <w:spacing w:line="288" w:lineRule="auto"/>
              <w:ind w:firstLine="0"/>
              <w:rPr>
                <w:b/>
                <w:bCs/>
                <w:sz w:val="24"/>
                <w:szCs w:val="24"/>
              </w:rPr>
            </w:pPr>
            <w:r>
              <w:rPr>
                <w:b/>
                <w:bCs/>
                <w:sz w:val="24"/>
                <w:szCs w:val="24"/>
              </w:rPr>
              <w:t>Thống kê T</w:t>
            </w:r>
          </w:p>
        </w:tc>
        <w:tc>
          <w:tcPr>
            <w:tcW w:w="1800" w:type="dxa"/>
            <w:tcBorders>
              <w:top w:val="single" w:sz="5" w:space="0" w:color="000000"/>
              <w:left w:val="nil"/>
              <w:bottom w:val="single" w:sz="5" w:space="0" w:color="000000"/>
              <w:right w:val="single" w:sz="5" w:space="0" w:color="000000"/>
            </w:tcBorders>
            <w:shd w:val="clear" w:color="auto" w:fill="D9E2F3"/>
            <w:tcMar>
              <w:top w:w="100" w:type="dxa"/>
              <w:left w:w="100" w:type="dxa"/>
              <w:bottom w:w="100" w:type="dxa"/>
              <w:right w:w="100" w:type="dxa"/>
            </w:tcMar>
          </w:tcPr>
          <w:p w14:paraId="779B5269" w14:textId="77777777" w:rsidR="00DE7FFB" w:rsidRDefault="001A3F31">
            <w:pPr>
              <w:widowControl w:val="0"/>
              <w:spacing w:line="288" w:lineRule="auto"/>
              <w:ind w:firstLine="0"/>
              <w:rPr>
                <w:b/>
                <w:bCs/>
                <w:sz w:val="24"/>
                <w:szCs w:val="24"/>
              </w:rPr>
            </w:pPr>
            <w:r>
              <w:rPr>
                <w:b/>
                <w:bCs/>
                <w:sz w:val="24"/>
                <w:szCs w:val="24"/>
              </w:rPr>
              <w:t>P-value</w:t>
            </w:r>
          </w:p>
        </w:tc>
      </w:tr>
      <w:tr w:rsidR="00DE7FFB" w14:paraId="56EBBE12" w14:textId="77777777">
        <w:trPr>
          <w:trHeight w:val="78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AD0376C" w14:textId="77777777" w:rsidR="00DE7FFB" w:rsidRDefault="001A3F31">
            <w:pPr>
              <w:widowControl w:val="0"/>
              <w:spacing w:line="288" w:lineRule="auto"/>
              <w:ind w:firstLine="0"/>
              <w:rPr>
                <w:sz w:val="24"/>
                <w:szCs w:val="24"/>
              </w:rPr>
            </w:pPr>
            <w:r>
              <w:rPr>
                <w:rFonts w:ascii="Cardo" w:eastAsia="Cardo" w:hAnsi="Cardo" w:cs="Cardo"/>
                <w:sz w:val="24"/>
                <w:szCs w:val="24"/>
              </w:rPr>
              <w:t>DE → EJ</w:t>
            </w:r>
          </w:p>
        </w:tc>
        <w:tc>
          <w:tcPr>
            <w:tcW w:w="1095" w:type="dxa"/>
            <w:tcBorders>
              <w:top w:val="nil"/>
              <w:left w:val="nil"/>
              <w:bottom w:val="single" w:sz="5" w:space="0" w:color="000000"/>
              <w:right w:val="single" w:sz="5" w:space="0" w:color="000000"/>
            </w:tcBorders>
            <w:tcMar>
              <w:top w:w="100" w:type="dxa"/>
              <w:left w:w="100" w:type="dxa"/>
              <w:bottom w:w="100" w:type="dxa"/>
              <w:right w:w="100" w:type="dxa"/>
            </w:tcMar>
          </w:tcPr>
          <w:p w14:paraId="20EB30F5" w14:textId="77777777" w:rsidR="00DE7FFB" w:rsidRDefault="001A3F31">
            <w:pPr>
              <w:widowControl w:val="0"/>
              <w:spacing w:line="288" w:lineRule="auto"/>
              <w:ind w:firstLine="0"/>
              <w:rPr>
                <w:sz w:val="24"/>
                <w:szCs w:val="24"/>
              </w:rPr>
            </w:pPr>
            <w:r>
              <w:rPr>
                <w:sz w:val="24"/>
                <w:szCs w:val="24"/>
              </w:rPr>
              <w:t>0.489</w:t>
            </w:r>
          </w:p>
        </w:tc>
        <w:tc>
          <w:tcPr>
            <w:tcW w:w="1575" w:type="dxa"/>
            <w:tcBorders>
              <w:top w:val="nil"/>
              <w:left w:val="nil"/>
              <w:bottom w:val="single" w:sz="5" w:space="0" w:color="000000"/>
              <w:right w:val="single" w:sz="5" w:space="0" w:color="000000"/>
            </w:tcBorders>
            <w:tcMar>
              <w:top w:w="100" w:type="dxa"/>
              <w:left w:w="100" w:type="dxa"/>
              <w:bottom w:w="100" w:type="dxa"/>
              <w:right w:w="100" w:type="dxa"/>
            </w:tcMar>
          </w:tcPr>
          <w:p w14:paraId="79C1F141" w14:textId="77777777" w:rsidR="00DE7FFB" w:rsidRDefault="001A3F31">
            <w:pPr>
              <w:widowControl w:val="0"/>
              <w:spacing w:line="288" w:lineRule="auto"/>
              <w:ind w:firstLine="0"/>
              <w:rPr>
                <w:sz w:val="24"/>
                <w:szCs w:val="24"/>
              </w:rPr>
            </w:pPr>
            <w:r>
              <w:rPr>
                <w:sz w:val="24"/>
                <w:szCs w:val="24"/>
              </w:rPr>
              <w:t>0.489</w:t>
            </w:r>
          </w:p>
        </w:tc>
        <w:tc>
          <w:tcPr>
            <w:tcW w:w="1530" w:type="dxa"/>
            <w:tcBorders>
              <w:top w:val="nil"/>
              <w:left w:val="nil"/>
              <w:bottom w:val="single" w:sz="5" w:space="0" w:color="000000"/>
              <w:right w:val="single" w:sz="5" w:space="0" w:color="000000"/>
            </w:tcBorders>
            <w:tcMar>
              <w:top w:w="100" w:type="dxa"/>
              <w:left w:w="100" w:type="dxa"/>
              <w:bottom w:w="100" w:type="dxa"/>
              <w:right w:w="100" w:type="dxa"/>
            </w:tcMar>
          </w:tcPr>
          <w:p w14:paraId="20514B0B" w14:textId="77777777" w:rsidR="00DE7FFB" w:rsidRDefault="001A3F31">
            <w:pPr>
              <w:widowControl w:val="0"/>
              <w:spacing w:line="288" w:lineRule="auto"/>
              <w:ind w:firstLine="0"/>
              <w:rPr>
                <w:sz w:val="24"/>
                <w:szCs w:val="24"/>
              </w:rPr>
            </w:pPr>
            <w:r>
              <w:rPr>
                <w:sz w:val="24"/>
                <w:szCs w:val="24"/>
              </w:rPr>
              <w:t>0.041</w:t>
            </w:r>
          </w:p>
        </w:tc>
        <w:tc>
          <w:tcPr>
            <w:tcW w:w="1815" w:type="dxa"/>
            <w:tcBorders>
              <w:top w:val="nil"/>
              <w:left w:val="nil"/>
              <w:bottom w:val="single" w:sz="5" w:space="0" w:color="000000"/>
              <w:right w:val="single" w:sz="5" w:space="0" w:color="000000"/>
            </w:tcBorders>
            <w:tcMar>
              <w:top w:w="100" w:type="dxa"/>
              <w:left w:w="100" w:type="dxa"/>
              <w:bottom w:w="100" w:type="dxa"/>
              <w:right w:w="100" w:type="dxa"/>
            </w:tcMar>
          </w:tcPr>
          <w:p w14:paraId="69B8A55B" w14:textId="77777777" w:rsidR="00DE7FFB" w:rsidRDefault="001A3F31">
            <w:pPr>
              <w:widowControl w:val="0"/>
              <w:spacing w:line="288" w:lineRule="auto"/>
              <w:ind w:firstLine="0"/>
              <w:rPr>
                <w:sz w:val="24"/>
                <w:szCs w:val="24"/>
              </w:rPr>
            </w:pPr>
            <w:r>
              <w:rPr>
                <w:sz w:val="24"/>
                <w:szCs w:val="24"/>
              </w:rPr>
              <w:t>11.958</w:t>
            </w:r>
          </w:p>
        </w:tc>
        <w:tc>
          <w:tcPr>
            <w:tcW w:w="1800" w:type="dxa"/>
            <w:tcBorders>
              <w:top w:val="nil"/>
              <w:left w:val="nil"/>
              <w:bottom w:val="single" w:sz="5" w:space="0" w:color="000000"/>
              <w:right w:val="single" w:sz="5" w:space="0" w:color="000000"/>
            </w:tcBorders>
            <w:tcMar>
              <w:top w:w="100" w:type="dxa"/>
              <w:left w:w="100" w:type="dxa"/>
              <w:bottom w:w="100" w:type="dxa"/>
              <w:right w:w="100" w:type="dxa"/>
            </w:tcMar>
          </w:tcPr>
          <w:p w14:paraId="6BAC9562" w14:textId="77777777" w:rsidR="00DE7FFB" w:rsidRDefault="001A3F31">
            <w:pPr>
              <w:widowControl w:val="0"/>
              <w:spacing w:line="288" w:lineRule="auto"/>
              <w:ind w:firstLine="0"/>
              <w:rPr>
                <w:sz w:val="24"/>
                <w:szCs w:val="24"/>
              </w:rPr>
            </w:pPr>
            <w:r>
              <w:rPr>
                <w:sz w:val="24"/>
                <w:szCs w:val="24"/>
              </w:rPr>
              <w:t>0.000</w:t>
            </w:r>
          </w:p>
        </w:tc>
      </w:tr>
      <w:tr w:rsidR="00DE7FFB" w14:paraId="537DC1AF" w14:textId="77777777">
        <w:trPr>
          <w:trHeight w:val="78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CE7A0EA" w14:textId="77777777" w:rsidR="00DE7FFB" w:rsidRDefault="001A3F31">
            <w:pPr>
              <w:widowControl w:val="0"/>
              <w:spacing w:line="288" w:lineRule="auto"/>
              <w:ind w:firstLine="0"/>
              <w:rPr>
                <w:sz w:val="24"/>
                <w:szCs w:val="24"/>
              </w:rPr>
            </w:pPr>
            <w:r>
              <w:rPr>
                <w:rFonts w:ascii="Cardo" w:eastAsia="Cardo" w:hAnsi="Cardo" w:cs="Cardo"/>
                <w:sz w:val="24"/>
                <w:szCs w:val="24"/>
              </w:rPr>
              <w:t>EE → EJ</w:t>
            </w:r>
          </w:p>
        </w:tc>
        <w:tc>
          <w:tcPr>
            <w:tcW w:w="1095" w:type="dxa"/>
            <w:tcBorders>
              <w:top w:val="nil"/>
              <w:left w:val="nil"/>
              <w:bottom w:val="single" w:sz="5" w:space="0" w:color="000000"/>
              <w:right w:val="single" w:sz="5" w:space="0" w:color="000000"/>
            </w:tcBorders>
            <w:tcMar>
              <w:top w:w="100" w:type="dxa"/>
              <w:left w:w="100" w:type="dxa"/>
              <w:bottom w:w="100" w:type="dxa"/>
              <w:right w:w="100" w:type="dxa"/>
            </w:tcMar>
          </w:tcPr>
          <w:p w14:paraId="4D150BD2" w14:textId="77777777" w:rsidR="00DE7FFB" w:rsidRDefault="001A3F31">
            <w:pPr>
              <w:widowControl w:val="0"/>
              <w:spacing w:line="288" w:lineRule="auto"/>
              <w:ind w:firstLine="0"/>
              <w:rPr>
                <w:sz w:val="24"/>
                <w:szCs w:val="24"/>
              </w:rPr>
            </w:pPr>
            <w:r>
              <w:rPr>
                <w:sz w:val="24"/>
                <w:szCs w:val="24"/>
              </w:rPr>
              <w:t>0.228</w:t>
            </w:r>
          </w:p>
        </w:tc>
        <w:tc>
          <w:tcPr>
            <w:tcW w:w="1575" w:type="dxa"/>
            <w:tcBorders>
              <w:top w:val="nil"/>
              <w:left w:val="nil"/>
              <w:bottom w:val="single" w:sz="5" w:space="0" w:color="000000"/>
              <w:right w:val="single" w:sz="5" w:space="0" w:color="000000"/>
            </w:tcBorders>
            <w:tcMar>
              <w:top w:w="100" w:type="dxa"/>
              <w:left w:w="100" w:type="dxa"/>
              <w:bottom w:w="100" w:type="dxa"/>
              <w:right w:w="100" w:type="dxa"/>
            </w:tcMar>
          </w:tcPr>
          <w:p w14:paraId="3B7356D3" w14:textId="77777777" w:rsidR="00DE7FFB" w:rsidRDefault="001A3F31">
            <w:pPr>
              <w:widowControl w:val="0"/>
              <w:spacing w:line="288" w:lineRule="auto"/>
              <w:ind w:firstLine="0"/>
              <w:rPr>
                <w:sz w:val="24"/>
                <w:szCs w:val="24"/>
              </w:rPr>
            </w:pPr>
            <w:r>
              <w:rPr>
                <w:sz w:val="24"/>
                <w:szCs w:val="24"/>
              </w:rPr>
              <w:t>0.229</w:t>
            </w:r>
          </w:p>
        </w:tc>
        <w:tc>
          <w:tcPr>
            <w:tcW w:w="1530" w:type="dxa"/>
            <w:tcBorders>
              <w:top w:val="nil"/>
              <w:left w:val="nil"/>
              <w:bottom w:val="single" w:sz="5" w:space="0" w:color="000000"/>
              <w:right w:val="single" w:sz="5" w:space="0" w:color="000000"/>
            </w:tcBorders>
            <w:tcMar>
              <w:top w:w="100" w:type="dxa"/>
              <w:left w:w="100" w:type="dxa"/>
              <w:bottom w:w="100" w:type="dxa"/>
              <w:right w:w="100" w:type="dxa"/>
            </w:tcMar>
          </w:tcPr>
          <w:p w14:paraId="52D6A6D5" w14:textId="77777777" w:rsidR="00DE7FFB" w:rsidRDefault="001A3F31">
            <w:pPr>
              <w:widowControl w:val="0"/>
              <w:spacing w:line="288" w:lineRule="auto"/>
              <w:ind w:firstLine="0"/>
              <w:rPr>
                <w:sz w:val="24"/>
                <w:szCs w:val="24"/>
              </w:rPr>
            </w:pPr>
            <w:r>
              <w:rPr>
                <w:sz w:val="24"/>
                <w:szCs w:val="24"/>
              </w:rPr>
              <w:t>0.039</w:t>
            </w:r>
          </w:p>
        </w:tc>
        <w:tc>
          <w:tcPr>
            <w:tcW w:w="1815" w:type="dxa"/>
            <w:tcBorders>
              <w:top w:val="nil"/>
              <w:left w:val="nil"/>
              <w:bottom w:val="single" w:sz="5" w:space="0" w:color="000000"/>
              <w:right w:val="single" w:sz="5" w:space="0" w:color="000000"/>
            </w:tcBorders>
            <w:tcMar>
              <w:top w:w="100" w:type="dxa"/>
              <w:left w:w="100" w:type="dxa"/>
              <w:bottom w:w="100" w:type="dxa"/>
              <w:right w:w="100" w:type="dxa"/>
            </w:tcMar>
          </w:tcPr>
          <w:p w14:paraId="0FCB0C7A" w14:textId="77777777" w:rsidR="00DE7FFB" w:rsidRDefault="001A3F31">
            <w:pPr>
              <w:widowControl w:val="0"/>
              <w:spacing w:line="288" w:lineRule="auto"/>
              <w:ind w:firstLine="0"/>
              <w:rPr>
                <w:sz w:val="24"/>
                <w:szCs w:val="24"/>
              </w:rPr>
            </w:pPr>
            <w:r>
              <w:rPr>
                <w:sz w:val="24"/>
                <w:szCs w:val="24"/>
              </w:rPr>
              <w:t>5.915</w:t>
            </w:r>
          </w:p>
        </w:tc>
        <w:tc>
          <w:tcPr>
            <w:tcW w:w="1800" w:type="dxa"/>
            <w:tcBorders>
              <w:top w:val="nil"/>
              <w:left w:val="nil"/>
              <w:bottom w:val="single" w:sz="5" w:space="0" w:color="000000"/>
              <w:right w:val="single" w:sz="5" w:space="0" w:color="000000"/>
            </w:tcBorders>
            <w:tcMar>
              <w:top w:w="100" w:type="dxa"/>
              <w:left w:w="100" w:type="dxa"/>
              <w:bottom w:w="100" w:type="dxa"/>
              <w:right w:w="100" w:type="dxa"/>
            </w:tcMar>
          </w:tcPr>
          <w:p w14:paraId="7BAA68A7" w14:textId="77777777" w:rsidR="00DE7FFB" w:rsidRDefault="001A3F31">
            <w:pPr>
              <w:widowControl w:val="0"/>
              <w:spacing w:line="288" w:lineRule="auto"/>
              <w:ind w:firstLine="0"/>
              <w:rPr>
                <w:sz w:val="24"/>
                <w:szCs w:val="24"/>
              </w:rPr>
            </w:pPr>
            <w:r>
              <w:rPr>
                <w:sz w:val="24"/>
                <w:szCs w:val="24"/>
              </w:rPr>
              <w:t>0.000</w:t>
            </w:r>
          </w:p>
        </w:tc>
      </w:tr>
      <w:tr w:rsidR="00DE7FFB" w14:paraId="0CE6D464" w14:textId="77777777">
        <w:trPr>
          <w:trHeight w:val="78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A7C2986" w14:textId="77777777" w:rsidR="00DE7FFB" w:rsidRDefault="001A3F31">
            <w:pPr>
              <w:widowControl w:val="0"/>
              <w:spacing w:line="288" w:lineRule="auto"/>
              <w:ind w:firstLine="0"/>
              <w:rPr>
                <w:sz w:val="24"/>
                <w:szCs w:val="24"/>
              </w:rPr>
            </w:pPr>
            <w:r>
              <w:rPr>
                <w:rFonts w:ascii="Cardo" w:eastAsia="Cardo" w:hAnsi="Cardo" w:cs="Cardo"/>
                <w:sz w:val="24"/>
                <w:szCs w:val="24"/>
              </w:rPr>
              <w:lastRenderedPageBreak/>
              <w:t>EJ → BHP</w:t>
            </w:r>
          </w:p>
        </w:tc>
        <w:tc>
          <w:tcPr>
            <w:tcW w:w="1095" w:type="dxa"/>
            <w:tcBorders>
              <w:top w:val="nil"/>
              <w:left w:val="nil"/>
              <w:bottom w:val="single" w:sz="5" w:space="0" w:color="000000"/>
              <w:right w:val="single" w:sz="5" w:space="0" w:color="000000"/>
            </w:tcBorders>
            <w:tcMar>
              <w:top w:w="100" w:type="dxa"/>
              <w:left w:w="100" w:type="dxa"/>
              <w:bottom w:w="100" w:type="dxa"/>
              <w:right w:w="100" w:type="dxa"/>
            </w:tcMar>
          </w:tcPr>
          <w:p w14:paraId="2851B014" w14:textId="77777777" w:rsidR="00DE7FFB" w:rsidRDefault="001A3F31">
            <w:pPr>
              <w:widowControl w:val="0"/>
              <w:spacing w:line="288" w:lineRule="auto"/>
              <w:ind w:firstLine="0"/>
              <w:rPr>
                <w:sz w:val="24"/>
                <w:szCs w:val="24"/>
              </w:rPr>
            </w:pPr>
            <w:r>
              <w:rPr>
                <w:sz w:val="24"/>
                <w:szCs w:val="24"/>
              </w:rPr>
              <w:t>0.365</w:t>
            </w:r>
          </w:p>
        </w:tc>
        <w:tc>
          <w:tcPr>
            <w:tcW w:w="1575" w:type="dxa"/>
            <w:tcBorders>
              <w:top w:val="nil"/>
              <w:left w:val="nil"/>
              <w:bottom w:val="single" w:sz="5" w:space="0" w:color="000000"/>
              <w:right w:val="single" w:sz="5" w:space="0" w:color="000000"/>
            </w:tcBorders>
            <w:tcMar>
              <w:top w:w="100" w:type="dxa"/>
              <w:left w:w="100" w:type="dxa"/>
              <w:bottom w:w="100" w:type="dxa"/>
              <w:right w:w="100" w:type="dxa"/>
            </w:tcMar>
          </w:tcPr>
          <w:p w14:paraId="60DCC428" w14:textId="77777777" w:rsidR="00DE7FFB" w:rsidRDefault="001A3F31">
            <w:pPr>
              <w:widowControl w:val="0"/>
              <w:spacing w:line="288" w:lineRule="auto"/>
              <w:ind w:firstLine="0"/>
              <w:rPr>
                <w:sz w:val="24"/>
                <w:szCs w:val="24"/>
              </w:rPr>
            </w:pPr>
            <w:r>
              <w:rPr>
                <w:sz w:val="24"/>
                <w:szCs w:val="24"/>
              </w:rPr>
              <w:t>0.370</w:t>
            </w:r>
          </w:p>
        </w:tc>
        <w:tc>
          <w:tcPr>
            <w:tcW w:w="1530" w:type="dxa"/>
            <w:tcBorders>
              <w:top w:val="nil"/>
              <w:left w:val="nil"/>
              <w:bottom w:val="single" w:sz="5" w:space="0" w:color="000000"/>
              <w:right w:val="single" w:sz="5" w:space="0" w:color="000000"/>
            </w:tcBorders>
            <w:tcMar>
              <w:top w:w="100" w:type="dxa"/>
              <w:left w:w="100" w:type="dxa"/>
              <w:bottom w:w="100" w:type="dxa"/>
              <w:right w:w="100" w:type="dxa"/>
            </w:tcMar>
          </w:tcPr>
          <w:p w14:paraId="105E2B05" w14:textId="77777777" w:rsidR="00DE7FFB" w:rsidRDefault="001A3F31">
            <w:pPr>
              <w:widowControl w:val="0"/>
              <w:spacing w:line="288" w:lineRule="auto"/>
              <w:ind w:firstLine="0"/>
              <w:rPr>
                <w:sz w:val="24"/>
                <w:szCs w:val="24"/>
              </w:rPr>
            </w:pPr>
            <w:r>
              <w:rPr>
                <w:sz w:val="24"/>
                <w:szCs w:val="24"/>
              </w:rPr>
              <w:t>0.042</w:t>
            </w:r>
          </w:p>
        </w:tc>
        <w:tc>
          <w:tcPr>
            <w:tcW w:w="1815" w:type="dxa"/>
            <w:tcBorders>
              <w:top w:val="nil"/>
              <w:left w:val="nil"/>
              <w:bottom w:val="single" w:sz="5" w:space="0" w:color="000000"/>
              <w:right w:val="single" w:sz="5" w:space="0" w:color="000000"/>
            </w:tcBorders>
            <w:tcMar>
              <w:top w:w="100" w:type="dxa"/>
              <w:left w:w="100" w:type="dxa"/>
              <w:bottom w:w="100" w:type="dxa"/>
              <w:right w:w="100" w:type="dxa"/>
            </w:tcMar>
          </w:tcPr>
          <w:p w14:paraId="07A5154B" w14:textId="77777777" w:rsidR="00DE7FFB" w:rsidRDefault="001A3F31">
            <w:pPr>
              <w:widowControl w:val="0"/>
              <w:spacing w:line="288" w:lineRule="auto"/>
              <w:ind w:firstLine="0"/>
              <w:rPr>
                <w:sz w:val="24"/>
                <w:szCs w:val="24"/>
              </w:rPr>
            </w:pPr>
            <w:r>
              <w:rPr>
                <w:sz w:val="24"/>
                <w:szCs w:val="24"/>
              </w:rPr>
              <w:t>8.650</w:t>
            </w:r>
          </w:p>
        </w:tc>
        <w:tc>
          <w:tcPr>
            <w:tcW w:w="1800" w:type="dxa"/>
            <w:tcBorders>
              <w:top w:val="nil"/>
              <w:left w:val="nil"/>
              <w:bottom w:val="single" w:sz="5" w:space="0" w:color="000000"/>
              <w:right w:val="single" w:sz="5" w:space="0" w:color="000000"/>
            </w:tcBorders>
            <w:tcMar>
              <w:top w:w="100" w:type="dxa"/>
              <w:left w:w="100" w:type="dxa"/>
              <w:bottom w:w="100" w:type="dxa"/>
              <w:right w:w="100" w:type="dxa"/>
            </w:tcMar>
          </w:tcPr>
          <w:p w14:paraId="632E93BE" w14:textId="77777777" w:rsidR="00DE7FFB" w:rsidRDefault="001A3F31">
            <w:pPr>
              <w:widowControl w:val="0"/>
              <w:spacing w:line="288" w:lineRule="auto"/>
              <w:ind w:firstLine="0"/>
              <w:rPr>
                <w:sz w:val="24"/>
                <w:szCs w:val="24"/>
              </w:rPr>
            </w:pPr>
            <w:r>
              <w:rPr>
                <w:sz w:val="24"/>
                <w:szCs w:val="24"/>
              </w:rPr>
              <w:t>0.000</w:t>
            </w:r>
          </w:p>
        </w:tc>
      </w:tr>
      <w:tr w:rsidR="00DE7FFB" w14:paraId="29AC2835" w14:textId="77777777">
        <w:trPr>
          <w:trHeight w:val="78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E6EB72E" w14:textId="77777777" w:rsidR="00DE7FFB" w:rsidRDefault="001A3F31">
            <w:pPr>
              <w:widowControl w:val="0"/>
              <w:spacing w:line="288" w:lineRule="auto"/>
              <w:ind w:firstLine="0"/>
              <w:rPr>
                <w:sz w:val="24"/>
                <w:szCs w:val="24"/>
              </w:rPr>
            </w:pPr>
            <w:r>
              <w:rPr>
                <w:rFonts w:ascii="Cardo" w:eastAsia="Cardo" w:hAnsi="Cardo" w:cs="Cardo"/>
                <w:sz w:val="24"/>
                <w:szCs w:val="24"/>
              </w:rPr>
              <w:t>EJ → BHV</w:t>
            </w:r>
          </w:p>
        </w:tc>
        <w:tc>
          <w:tcPr>
            <w:tcW w:w="1095" w:type="dxa"/>
            <w:tcBorders>
              <w:top w:val="nil"/>
              <w:left w:val="nil"/>
              <w:bottom w:val="single" w:sz="5" w:space="0" w:color="000000"/>
              <w:right w:val="single" w:sz="5" w:space="0" w:color="000000"/>
            </w:tcBorders>
            <w:tcMar>
              <w:top w:w="100" w:type="dxa"/>
              <w:left w:w="100" w:type="dxa"/>
              <w:bottom w:w="100" w:type="dxa"/>
              <w:right w:w="100" w:type="dxa"/>
            </w:tcMar>
          </w:tcPr>
          <w:p w14:paraId="487611B0" w14:textId="77777777" w:rsidR="00DE7FFB" w:rsidRDefault="001A3F31">
            <w:pPr>
              <w:widowControl w:val="0"/>
              <w:spacing w:line="288" w:lineRule="auto"/>
              <w:ind w:firstLine="0"/>
              <w:rPr>
                <w:sz w:val="24"/>
                <w:szCs w:val="24"/>
              </w:rPr>
            </w:pPr>
            <w:r>
              <w:rPr>
                <w:sz w:val="24"/>
                <w:szCs w:val="24"/>
              </w:rPr>
              <w:t>0.462</w:t>
            </w:r>
          </w:p>
        </w:tc>
        <w:tc>
          <w:tcPr>
            <w:tcW w:w="1575" w:type="dxa"/>
            <w:tcBorders>
              <w:top w:val="nil"/>
              <w:left w:val="nil"/>
              <w:bottom w:val="single" w:sz="5" w:space="0" w:color="000000"/>
              <w:right w:val="single" w:sz="5" w:space="0" w:color="000000"/>
            </w:tcBorders>
            <w:tcMar>
              <w:top w:w="100" w:type="dxa"/>
              <w:left w:w="100" w:type="dxa"/>
              <w:bottom w:w="100" w:type="dxa"/>
              <w:right w:w="100" w:type="dxa"/>
            </w:tcMar>
          </w:tcPr>
          <w:p w14:paraId="74916CB1" w14:textId="77777777" w:rsidR="00DE7FFB" w:rsidRDefault="001A3F31">
            <w:pPr>
              <w:widowControl w:val="0"/>
              <w:spacing w:line="288" w:lineRule="auto"/>
              <w:ind w:firstLine="0"/>
              <w:rPr>
                <w:sz w:val="24"/>
                <w:szCs w:val="24"/>
              </w:rPr>
            </w:pPr>
            <w:r>
              <w:rPr>
                <w:sz w:val="24"/>
                <w:szCs w:val="24"/>
              </w:rPr>
              <w:t>0.466</w:t>
            </w:r>
          </w:p>
        </w:tc>
        <w:tc>
          <w:tcPr>
            <w:tcW w:w="1530" w:type="dxa"/>
            <w:tcBorders>
              <w:top w:val="nil"/>
              <w:left w:val="nil"/>
              <w:bottom w:val="single" w:sz="5" w:space="0" w:color="000000"/>
              <w:right w:val="single" w:sz="5" w:space="0" w:color="000000"/>
            </w:tcBorders>
            <w:tcMar>
              <w:top w:w="100" w:type="dxa"/>
              <w:left w:w="100" w:type="dxa"/>
              <w:bottom w:w="100" w:type="dxa"/>
              <w:right w:w="100" w:type="dxa"/>
            </w:tcMar>
          </w:tcPr>
          <w:p w14:paraId="0A03C7C0" w14:textId="77777777" w:rsidR="00DE7FFB" w:rsidRDefault="001A3F31">
            <w:pPr>
              <w:widowControl w:val="0"/>
              <w:spacing w:line="288" w:lineRule="auto"/>
              <w:ind w:firstLine="0"/>
              <w:rPr>
                <w:sz w:val="24"/>
                <w:szCs w:val="24"/>
              </w:rPr>
            </w:pPr>
            <w:r>
              <w:rPr>
                <w:sz w:val="24"/>
                <w:szCs w:val="24"/>
              </w:rPr>
              <w:t>0.038</w:t>
            </w:r>
          </w:p>
        </w:tc>
        <w:tc>
          <w:tcPr>
            <w:tcW w:w="1815" w:type="dxa"/>
            <w:tcBorders>
              <w:top w:val="nil"/>
              <w:left w:val="nil"/>
              <w:bottom w:val="single" w:sz="5" w:space="0" w:color="000000"/>
              <w:right w:val="single" w:sz="5" w:space="0" w:color="000000"/>
            </w:tcBorders>
            <w:tcMar>
              <w:top w:w="100" w:type="dxa"/>
              <w:left w:w="100" w:type="dxa"/>
              <w:bottom w:w="100" w:type="dxa"/>
              <w:right w:w="100" w:type="dxa"/>
            </w:tcMar>
          </w:tcPr>
          <w:p w14:paraId="4E12D78F" w14:textId="77777777" w:rsidR="00DE7FFB" w:rsidRDefault="001A3F31">
            <w:pPr>
              <w:widowControl w:val="0"/>
              <w:spacing w:line="288" w:lineRule="auto"/>
              <w:ind w:firstLine="0"/>
              <w:rPr>
                <w:sz w:val="24"/>
                <w:szCs w:val="24"/>
              </w:rPr>
            </w:pPr>
            <w:r>
              <w:rPr>
                <w:sz w:val="24"/>
                <w:szCs w:val="24"/>
              </w:rPr>
              <w:t>12.191</w:t>
            </w:r>
          </w:p>
        </w:tc>
        <w:tc>
          <w:tcPr>
            <w:tcW w:w="1800" w:type="dxa"/>
            <w:tcBorders>
              <w:top w:val="nil"/>
              <w:left w:val="nil"/>
              <w:bottom w:val="single" w:sz="5" w:space="0" w:color="000000"/>
              <w:right w:val="single" w:sz="5" w:space="0" w:color="000000"/>
            </w:tcBorders>
            <w:tcMar>
              <w:top w:w="100" w:type="dxa"/>
              <w:left w:w="100" w:type="dxa"/>
              <w:bottom w:w="100" w:type="dxa"/>
              <w:right w:w="100" w:type="dxa"/>
            </w:tcMar>
          </w:tcPr>
          <w:p w14:paraId="43E45560" w14:textId="77777777" w:rsidR="00DE7FFB" w:rsidRDefault="001A3F31">
            <w:pPr>
              <w:widowControl w:val="0"/>
              <w:spacing w:line="288" w:lineRule="auto"/>
              <w:ind w:firstLine="0"/>
              <w:rPr>
                <w:sz w:val="24"/>
                <w:szCs w:val="24"/>
              </w:rPr>
            </w:pPr>
            <w:r>
              <w:rPr>
                <w:sz w:val="24"/>
                <w:szCs w:val="24"/>
              </w:rPr>
              <w:t>0.000</w:t>
            </w:r>
          </w:p>
        </w:tc>
      </w:tr>
      <w:tr w:rsidR="00DE7FFB" w14:paraId="0793118C" w14:textId="77777777">
        <w:trPr>
          <w:trHeight w:val="78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C8F350C" w14:textId="77777777" w:rsidR="00DE7FFB" w:rsidRDefault="001A3F31">
            <w:pPr>
              <w:widowControl w:val="0"/>
              <w:spacing w:line="288" w:lineRule="auto"/>
              <w:ind w:firstLine="0"/>
              <w:rPr>
                <w:sz w:val="24"/>
                <w:szCs w:val="24"/>
              </w:rPr>
            </w:pPr>
            <w:r>
              <w:rPr>
                <w:rFonts w:ascii="Cardo" w:eastAsia="Cardo" w:hAnsi="Cardo" w:cs="Cardo"/>
                <w:sz w:val="24"/>
                <w:szCs w:val="24"/>
              </w:rPr>
              <w:t>IMI → DE</w:t>
            </w:r>
          </w:p>
        </w:tc>
        <w:tc>
          <w:tcPr>
            <w:tcW w:w="1095" w:type="dxa"/>
            <w:tcBorders>
              <w:top w:val="nil"/>
              <w:left w:val="nil"/>
              <w:bottom w:val="single" w:sz="5" w:space="0" w:color="000000"/>
              <w:right w:val="single" w:sz="5" w:space="0" w:color="000000"/>
            </w:tcBorders>
            <w:tcMar>
              <w:top w:w="100" w:type="dxa"/>
              <w:left w:w="100" w:type="dxa"/>
              <w:bottom w:w="100" w:type="dxa"/>
              <w:right w:w="100" w:type="dxa"/>
            </w:tcMar>
          </w:tcPr>
          <w:p w14:paraId="2CF2E540" w14:textId="77777777" w:rsidR="00DE7FFB" w:rsidRDefault="001A3F31">
            <w:pPr>
              <w:widowControl w:val="0"/>
              <w:spacing w:line="288" w:lineRule="auto"/>
              <w:ind w:firstLine="0"/>
              <w:rPr>
                <w:sz w:val="24"/>
                <w:szCs w:val="24"/>
              </w:rPr>
            </w:pPr>
            <w:r>
              <w:rPr>
                <w:sz w:val="24"/>
                <w:szCs w:val="24"/>
              </w:rPr>
              <w:t>0.245</w:t>
            </w:r>
          </w:p>
        </w:tc>
        <w:tc>
          <w:tcPr>
            <w:tcW w:w="1575" w:type="dxa"/>
            <w:tcBorders>
              <w:top w:val="nil"/>
              <w:left w:val="nil"/>
              <w:bottom w:val="single" w:sz="5" w:space="0" w:color="000000"/>
              <w:right w:val="single" w:sz="5" w:space="0" w:color="000000"/>
            </w:tcBorders>
            <w:tcMar>
              <w:top w:w="100" w:type="dxa"/>
              <w:left w:w="100" w:type="dxa"/>
              <w:bottom w:w="100" w:type="dxa"/>
              <w:right w:w="100" w:type="dxa"/>
            </w:tcMar>
          </w:tcPr>
          <w:p w14:paraId="7D51A48F" w14:textId="77777777" w:rsidR="00DE7FFB" w:rsidRDefault="001A3F31">
            <w:pPr>
              <w:widowControl w:val="0"/>
              <w:spacing w:line="288" w:lineRule="auto"/>
              <w:ind w:firstLine="0"/>
              <w:rPr>
                <w:sz w:val="24"/>
                <w:szCs w:val="24"/>
              </w:rPr>
            </w:pPr>
            <w:r>
              <w:rPr>
                <w:sz w:val="24"/>
                <w:szCs w:val="24"/>
              </w:rPr>
              <w:t>0.245</w:t>
            </w:r>
          </w:p>
        </w:tc>
        <w:tc>
          <w:tcPr>
            <w:tcW w:w="1530" w:type="dxa"/>
            <w:tcBorders>
              <w:top w:val="nil"/>
              <w:left w:val="nil"/>
              <w:bottom w:val="single" w:sz="5" w:space="0" w:color="000000"/>
              <w:right w:val="single" w:sz="5" w:space="0" w:color="000000"/>
            </w:tcBorders>
            <w:tcMar>
              <w:top w:w="100" w:type="dxa"/>
              <w:left w:w="100" w:type="dxa"/>
              <w:bottom w:w="100" w:type="dxa"/>
              <w:right w:w="100" w:type="dxa"/>
            </w:tcMar>
          </w:tcPr>
          <w:p w14:paraId="4022F9C3" w14:textId="77777777" w:rsidR="00DE7FFB" w:rsidRDefault="001A3F31">
            <w:pPr>
              <w:widowControl w:val="0"/>
              <w:spacing w:line="288" w:lineRule="auto"/>
              <w:ind w:firstLine="0"/>
              <w:rPr>
                <w:sz w:val="24"/>
                <w:szCs w:val="24"/>
              </w:rPr>
            </w:pPr>
            <w:r>
              <w:rPr>
                <w:sz w:val="24"/>
                <w:szCs w:val="24"/>
              </w:rPr>
              <w:t>0.046</w:t>
            </w:r>
          </w:p>
        </w:tc>
        <w:tc>
          <w:tcPr>
            <w:tcW w:w="1815" w:type="dxa"/>
            <w:tcBorders>
              <w:top w:val="nil"/>
              <w:left w:val="nil"/>
              <w:bottom w:val="single" w:sz="5" w:space="0" w:color="000000"/>
              <w:right w:val="single" w:sz="5" w:space="0" w:color="000000"/>
            </w:tcBorders>
            <w:tcMar>
              <w:top w:w="100" w:type="dxa"/>
              <w:left w:w="100" w:type="dxa"/>
              <w:bottom w:w="100" w:type="dxa"/>
              <w:right w:w="100" w:type="dxa"/>
            </w:tcMar>
          </w:tcPr>
          <w:p w14:paraId="18D47267" w14:textId="77777777" w:rsidR="00DE7FFB" w:rsidRDefault="001A3F31">
            <w:pPr>
              <w:widowControl w:val="0"/>
              <w:spacing w:line="288" w:lineRule="auto"/>
              <w:ind w:firstLine="0"/>
              <w:rPr>
                <w:sz w:val="24"/>
                <w:szCs w:val="24"/>
              </w:rPr>
            </w:pPr>
            <w:r>
              <w:rPr>
                <w:sz w:val="24"/>
                <w:szCs w:val="24"/>
              </w:rPr>
              <w:t>5.303</w:t>
            </w:r>
          </w:p>
        </w:tc>
        <w:tc>
          <w:tcPr>
            <w:tcW w:w="1800" w:type="dxa"/>
            <w:tcBorders>
              <w:top w:val="nil"/>
              <w:left w:val="nil"/>
              <w:bottom w:val="single" w:sz="5" w:space="0" w:color="000000"/>
              <w:right w:val="single" w:sz="5" w:space="0" w:color="000000"/>
            </w:tcBorders>
            <w:tcMar>
              <w:top w:w="100" w:type="dxa"/>
              <w:left w:w="100" w:type="dxa"/>
              <w:bottom w:w="100" w:type="dxa"/>
              <w:right w:w="100" w:type="dxa"/>
            </w:tcMar>
          </w:tcPr>
          <w:p w14:paraId="2935949D" w14:textId="77777777" w:rsidR="00DE7FFB" w:rsidRDefault="001A3F31">
            <w:pPr>
              <w:widowControl w:val="0"/>
              <w:spacing w:line="288" w:lineRule="auto"/>
              <w:ind w:firstLine="0"/>
              <w:rPr>
                <w:sz w:val="24"/>
                <w:szCs w:val="24"/>
              </w:rPr>
            </w:pPr>
            <w:r>
              <w:rPr>
                <w:sz w:val="24"/>
                <w:szCs w:val="24"/>
              </w:rPr>
              <w:t>0.000</w:t>
            </w:r>
          </w:p>
        </w:tc>
      </w:tr>
      <w:tr w:rsidR="00DE7FFB" w14:paraId="0F0985EC" w14:textId="77777777">
        <w:trPr>
          <w:trHeight w:val="78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014D86A" w14:textId="77777777" w:rsidR="00DE7FFB" w:rsidRDefault="001A3F31">
            <w:pPr>
              <w:widowControl w:val="0"/>
              <w:spacing w:line="288" w:lineRule="auto"/>
              <w:ind w:firstLine="0"/>
              <w:rPr>
                <w:sz w:val="24"/>
                <w:szCs w:val="24"/>
              </w:rPr>
            </w:pPr>
            <w:r>
              <w:rPr>
                <w:rFonts w:ascii="Cardo" w:eastAsia="Cardo" w:hAnsi="Cardo" w:cs="Cardo"/>
                <w:sz w:val="24"/>
                <w:szCs w:val="24"/>
              </w:rPr>
              <w:t>IMI → EE</w:t>
            </w:r>
          </w:p>
        </w:tc>
        <w:tc>
          <w:tcPr>
            <w:tcW w:w="1095" w:type="dxa"/>
            <w:tcBorders>
              <w:top w:val="nil"/>
              <w:left w:val="nil"/>
              <w:bottom w:val="single" w:sz="5" w:space="0" w:color="000000"/>
              <w:right w:val="single" w:sz="5" w:space="0" w:color="000000"/>
            </w:tcBorders>
            <w:tcMar>
              <w:top w:w="100" w:type="dxa"/>
              <w:left w:w="100" w:type="dxa"/>
              <w:bottom w:w="100" w:type="dxa"/>
              <w:right w:w="100" w:type="dxa"/>
            </w:tcMar>
          </w:tcPr>
          <w:p w14:paraId="2ABF28F6" w14:textId="77777777" w:rsidR="00DE7FFB" w:rsidRDefault="001A3F31">
            <w:pPr>
              <w:widowControl w:val="0"/>
              <w:spacing w:line="288" w:lineRule="auto"/>
              <w:ind w:firstLine="0"/>
              <w:rPr>
                <w:sz w:val="24"/>
                <w:szCs w:val="24"/>
              </w:rPr>
            </w:pPr>
            <w:r>
              <w:rPr>
                <w:sz w:val="24"/>
                <w:szCs w:val="24"/>
              </w:rPr>
              <w:t>0.268</w:t>
            </w:r>
          </w:p>
        </w:tc>
        <w:tc>
          <w:tcPr>
            <w:tcW w:w="1575" w:type="dxa"/>
            <w:tcBorders>
              <w:top w:val="nil"/>
              <w:left w:val="nil"/>
              <w:bottom w:val="single" w:sz="5" w:space="0" w:color="000000"/>
              <w:right w:val="single" w:sz="5" w:space="0" w:color="000000"/>
            </w:tcBorders>
            <w:tcMar>
              <w:top w:w="100" w:type="dxa"/>
              <w:left w:w="100" w:type="dxa"/>
              <w:bottom w:w="100" w:type="dxa"/>
              <w:right w:w="100" w:type="dxa"/>
            </w:tcMar>
          </w:tcPr>
          <w:p w14:paraId="02931FAA" w14:textId="77777777" w:rsidR="00DE7FFB" w:rsidRDefault="001A3F31">
            <w:pPr>
              <w:widowControl w:val="0"/>
              <w:spacing w:line="288" w:lineRule="auto"/>
              <w:ind w:firstLine="0"/>
              <w:rPr>
                <w:sz w:val="24"/>
                <w:szCs w:val="24"/>
              </w:rPr>
            </w:pPr>
            <w:r>
              <w:rPr>
                <w:sz w:val="24"/>
                <w:szCs w:val="24"/>
              </w:rPr>
              <w:t>0.269</w:t>
            </w:r>
          </w:p>
        </w:tc>
        <w:tc>
          <w:tcPr>
            <w:tcW w:w="1530" w:type="dxa"/>
            <w:tcBorders>
              <w:top w:val="nil"/>
              <w:left w:val="nil"/>
              <w:bottom w:val="single" w:sz="5" w:space="0" w:color="000000"/>
              <w:right w:val="single" w:sz="5" w:space="0" w:color="000000"/>
            </w:tcBorders>
            <w:tcMar>
              <w:top w:w="100" w:type="dxa"/>
              <w:left w:w="100" w:type="dxa"/>
              <w:bottom w:w="100" w:type="dxa"/>
              <w:right w:w="100" w:type="dxa"/>
            </w:tcMar>
          </w:tcPr>
          <w:p w14:paraId="61327C5F" w14:textId="77777777" w:rsidR="00DE7FFB" w:rsidRDefault="001A3F31">
            <w:pPr>
              <w:widowControl w:val="0"/>
              <w:spacing w:line="288" w:lineRule="auto"/>
              <w:ind w:firstLine="0"/>
              <w:rPr>
                <w:sz w:val="24"/>
                <w:szCs w:val="24"/>
              </w:rPr>
            </w:pPr>
            <w:r>
              <w:rPr>
                <w:sz w:val="24"/>
                <w:szCs w:val="24"/>
              </w:rPr>
              <w:t>0.048</w:t>
            </w:r>
          </w:p>
        </w:tc>
        <w:tc>
          <w:tcPr>
            <w:tcW w:w="1815" w:type="dxa"/>
            <w:tcBorders>
              <w:top w:val="nil"/>
              <w:left w:val="nil"/>
              <w:bottom w:val="single" w:sz="5" w:space="0" w:color="000000"/>
              <w:right w:val="single" w:sz="5" w:space="0" w:color="000000"/>
            </w:tcBorders>
            <w:tcMar>
              <w:top w:w="100" w:type="dxa"/>
              <w:left w:w="100" w:type="dxa"/>
              <w:bottom w:w="100" w:type="dxa"/>
              <w:right w:w="100" w:type="dxa"/>
            </w:tcMar>
          </w:tcPr>
          <w:p w14:paraId="68DA2A85" w14:textId="77777777" w:rsidR="00DE7FFB" w:rsidRDefault="001A3F31">
            <w:pPr>
              <w:widowControl w:val="0"/>
              <w:spacing w:line="288" w:lineRule="auto"/>
              <w:ind w:firstLine="0"/>
              <w:rPr>
                <w:sz w:val="24"/>
                <w:szCs w:val="24"/>
              </w:rPr>
            </w:pPr>
            <w:r>
              <w:rPr>
                <w:sz w:val="24"/>
                <w:szCs w:val="24"/>
              </w:rPr>
              <w:t>5.564</w:t>
            </w:r>
          </w:p>
        </w:tc>
        <w:tc>
          <w:tcPr>
            <w:tcW w:w="1800" w:type="dxa"/>
            <w:tcBorders>
              <w:top w:val="nil"/>
              <w:left w:val="nil"/>
              <w:bottom w:val="single" w:sz="5" w:space="0" w:color="000000"/>
              <w:right w:val="single" w:sz="5" w:space="0" w:color="000000"/>
            </w:tcBorders>
            <w:tcMar>
              <w:top w:w="100" w:type="dxa"/>
              <w:left w:w="100" w:type="dxa"/>
              <w:bottom w:w="100" w:type="dxa"/>
              <w:right w:w="100" w:type="dxa"/>
            </w:tcMar>
          </w:tcPr>
          <w:p w14:paraId="149E1147" w14:textId="77777777" w:rsidR="00DE7FFB" w:rsidRDefault="001A3F31">
            <w:pPr>
              <w:widowControl w:val="0"/>
              <w:spacing w:line="288" w:lineRule="auto"/>
              <w:ind w:firstLine="0"/>
              <w:rPr>
                <w:sz w:val="24"/>
                <w:szCs w:val="24"/>
              </w:rPr>
            </w:pPr>
            <w:r>
              <w:rPr>
                <w:sz w:val="24"/>
                <w:szCs w:val="24"/>
              </w:rPr>
              <w:t>0.000</w:t>
            </w:r>
          </w:p>
        </w:tc>
      </w:tr>
      <w:tr w:rsidR="00DE7FFB" w14:paraId="2F05E59E" w14:textId="77777777">
        <w:trPr>
          <w:trHeight w:val="78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B6359E4" w14:textId="77777777" w:rsidR="00DE7FFB" w:rsidRDefault="001A3F31">
            <w:pPr>
              <w:widowControl w:val="0"/>
              <w:spacing w:line="288" w:lineRule="auto"/>
              <w:ind w:firstLine="0"/>
              <w:rPr>
                <w:sz w:val="24"/>
                <w:szCs w:val="24"/>
              </w:rPr>
            </w:pPr>
            <w:r>
              <w:rPr>
                <w:rFonts w:ascii="Cardo" w:eastAsia="Cardo" w:hAnsi="Cardo" w:cs="Cardo"/>
                <w:sz w:val="24"/>
                <w:szCs w:val="24"/>
              </w:rPr>
              <w:t>IMI → TE</w:t>
            </w:r>
          </w:p>
        </w:tc>
        <w:tc>
          <w:tcPr>
            <w:tcW w:w="1095" w:type="dxa"/>
            <w:tcBorders>
              <w:top w:val="nil"/>
              <w:left w:val="nil"/>
              <w:bottom w:val="single" w:sz="5" w:space="0" w:color="000000"/>
              <w:right w:val="single" w:sz="5" w:space="0" w:color="000000"/>
            </w:tcBorders>
            <w:tcMar>
              <w:top w:w="100" w:type="dxa"/>
              <w:left w:w="100" w:type="dxa"/>
              <w:bottom w:w="100" w:type="dxa"/>
              <w:right w:w="100" w:type="dxa"/>
            </w:tcMar>
          </w:tcPr>
          <w:p w14:paraId="2D7C71A5" w14:textId="77777777" w:rsidR="00DE7FFB" w:rsidRDefault="001A3F31">
            <w:pPr>
              <w:widowControl w:val="0"/>
              <w:spacing w:line="288" w:lineRule="auto"/>
              <w:ind w:firstLine="0"/>
              <w:rPr>
                <w:sz w:val="24"/>
                <w:szCs w:val="24"/>
              </w:rPr>
            </w:pPr>
            <w:r>
              <w:rPr>
                <w:sz w:val="24"/>
                <w:szCs w:val="24"/>
              </w:rPr>
              <w:t>0.250</w:t>
            </w:r>
          </w:p>
        </w:tc>
        <w:tc>
          <w:tcPr>
            <w:tcW w:w="1575" w:type="dxa"/>
            <w:tcBorders>
              <w:top w:val="nil"/>
              <w:left w:val="nil"/>
              <w:bottom w:val="single" w:sz="5" w:space="0" w:color="000000"/>
              <w:right w:val="single" w:sz="5" w:space="0" w:color="000000"/>
            </w:tcBorders>
            <w:tcMar>
              <w:top w:w="100" w:type="dxa"/>
              <w:left w:w="100" w:type="dxa"/>
              <w:bottom w:w="100" w:type="dxa"/>
              <w:right w:w="100" w:type="dxa"/>
            </w:tcMar>
          </w:tcPr>
          <w:p w14:paraId="1A209D7C" w14:textId="77777777" w:rsidR="00DE7FFB" w:rsidRDefault="001A3F31">
            <w:pPr>
              <w:widowControl w:val="0"/>
              <w:spacing w:line="288" w:lineRule="auto"/>
              <w:ind w:firstLine="0"/>
              <w:rPr>
                <w:sz w:val="24"/>
                <w:szCs w:val="24"/>
              </w:rPr>
            </w:pPr>
            <w:r>
              <w:rPr>
                <w:sz w:val="24"/>
                <w:szCs w:val="24"/>
              </w:rPr>
              <w:t>0.251</w:t>
            </w:r>
          </w:p>
        </w:tc>
        <w:tc>
          <w:tcPr>
            <w:tcW w:w="1530" w:type="dxa"/>
            <w:tcBorders>
              <w:top w:val="nil"/>
              <w:left w:val="nil"/>
              <w:bottom w:val="single" w:sz="5" w:space="0" w:color="000000"/>
              <w:right w:val="single" w:sz="5" w:space="0" w:color="000000"/>
            </w:tcBorders>
            <w:tcMar>
              <w:top w:w="100" w:type="dxa"/>
              <w:left w:w="100" w:type="dxa"/>
              <w:bottom w:w="100" w:type="dxa"/>
              <w:right w:w="100" w:type="dxa"/>
            </w:tcMar>
          </w:tcPr>
          <w:p w14:paraId="70467004" w14:textId="77777777" w:rsidR="00DE7FFB" w:rsidRDefault="001A3F31">
            <w:pPr>
              <w:widowControl w:val="0"/>
              <w:spacing w:line="288" w:lineRule="auto"/>
              <w:ind w:firstLine="0"/>
              <w:rPr>
                <w:sz w:val="24"/>
                <w:szCs w:val="24"/>
              </w:rPr>
            </w:pPr>
            <w:r>
              <w:rPr>
                <w:sz w:val="24"/>
                <w:szCs w:val="24"/>
              </w:rPr>
              <w:t>0.049</w:t>
            </w:r>
          </w:p>
        </w:tc>
        <w:tc>
          <w:tcPr>
            <w:tcW w:w="1815" w:type="dxa"/>
            <w:tcBorders>
              <w:top w:val="nil"/>
              <w:left w:val="nil"/>
              <w:bottom w:val="single" w:sz="5" w:space="0" w:color="000000"/>
              <w:right w:val="single" w:sz="5" w:space="0" w:color="000000"/>
            </w:tcBorders>
            <w:tcMar>
              <w:top w:w="100" w:type="dxa"/>
              <w:left w:w="100" w:type="dxa"/>
              <w:bottom w:w="100" w:type="dxa"/>
              <w:right w:w="100" w:type="dxa"/>
            </w:tcMar>
          </w:tcPr>
          <w:p w14:paraId="59443EB7" w14:textId="77777777" w:rsidR="00DE7FFB" w:rsidRDefault="001A3F31">
            <w:pPr>
              <w:widowControl w:val="0"/>
              <w:spacing w:line="288" w:lineRule="auto"/>
              <w:ind w:firstLine="0"/>
              <w:rPr>
                <w:sz w:val="24"/>
                <w:szCs w:val="24"/>
              </w:rPr>
            </w:pPr>
            <w:r>
              <w:rPr>
                <w:sz w:val="24"/>
                <w:szCs w:val="24"/>
              </w:rPr>
              <w:t>5.087</w:t>
            </w:r>
          </w:p>
        </w:tc>
        <w:tc>
          <w:tcPr>
            <w:tcW w:w="1800" w:type="dxa"/>
            <w:tcBorders>
              <w:top w:val="nil"/>
              <w:left w:val="nil"/>
              <w:bottom w:val="single" w:sz="5" w:space="0" w:color="000000"/>
              <w:right w:val="single" w:sz="5" w:space="0" w:color="000000"/>
            </w:tcBorders>
            <w:tcMar>
              <w:top w:w="100" w:type="dxa"/>
              <w:left w:w="100" w:type="dxa"/>
              <w:bottom w:w="100" w:type="dxa"/>
              <w:right w:w="100" w:type="dxa"/>
            </w:tcMar>
          </w:tcPr>
          <w:p w14:paraId="2A26D6A9" w14:textId="77777777" w:rsidR="00DE7FFB" w:rsidRDefault="001A3F31">
            <w:pPr>
              <w:widowControl w:val="0"/>
              <w:spacing w:line="288" w:lineRule="auto"/>
              <w:ind w:firstLine="0"/>
              <w:rPr>
                <w:sz w:val="24"/>
                <w:szCs w:val="24"/>
              </w:rPr>
            </w:pPr>
            <w:r>
              <w:rPr>
                <w:sz w:val="24"/>
                <w:szCs w:val="24"/>
              </w:rPr>
              <w:t>0.000</w:t>
            </w:r>
          </w:p>
        </w:tc>
      </w:tr>
      <w:tr w:rsidR="00DE7FFB" w14:paraId="48B8A44C" w14:textId="77777777">
        <w:trPr>
          <w:trHeight w:val="78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046982C" w14:textId="77777777" w:rsidR="00DE7FFB" w:rsidRDefault="001A3F31">
            <w:pPr>
              <w:widowControl w:val="0"/>
              <w:spacing w:line="288" w:lineRule="auto"/>
              <w:ind w:firstLine="0"/>
              <w:rPr>
                <w:sz w:val="24"/>
                <w:szCs w:val="24"/>
              </w:rPr>
            </w:pPr>
            <w:r>
              <w:rPr>
                <w:rFonts w:ascii="Cardo" w:eastAsia="Cardo" w:hAnsi="Cardo" w:cs="Cardo"/>
                <w:sz w:val="24"/>
                <w:szCs w:val="24"/>
              </w:rPr>
              <w:t>IPI → DE</w:t>
            </w:r>
          </w:p>
        </w:tc>
        <w:tc>
          <w:tcPr>
            <w:tcW w:w="1095" w:type="dxa"/>
            <w:tcBorders>
              <w:top w:val="nil"/>
              <w:left w:val="nil"/>
              <w:bottom w:val="single" w:sz="5" w:space="0" w:color="000000"/>
              <w:right w:val="single" w:sz="5" w:space="0" w:color="000000"/>
            </w:tcBorders>
            <w:tcMar>
              <w:top w:w="100" w:type="dxa"/>
              <w:left w:w="100" w:type="dxa"/>
              <w:bottom w:w="100" w:type="dxa"/>
              <w:right w:w="100" w:type="dxa"/>
            </w:tcMar>
          </w:tcPr>
          <w:p w14:paraId="7F48852E" w14:textId="77777777" w:rsidR="00DE7FFB" w:rsidRDefault="001A3F31">
            <w:pPr>
              <w:widowControl w:val="0"/>
              <w:spacing w:line="288" w:lineRule="auto"/>
              <w:ind w:firstLine="0"/>
              <w:rPr>
                <w:sz w:val="24"/>
                <w:szCs w:val="24"/>
              </w:rPr>
            </w:pPr>
            <w:r>
              <w:rPr>
                <w:sz w:val="24"/>
                <w:szCs w:val="24"/>
              </w:rPr>
              <w:t>0.298</w:t>
            </w:r>
          </w:p>
        </w:tc>
        <w:tc>
          <w:tcPr>
            <w:tcW w:w="1575" w:type="dxa"/>
            <w:tcBorders>
              <w:top w:val="nil"/>
              <w:left w:val="nil"/>
              <w:bottom w:val="single" w:sz="5" w:space="0" w:color="000000"/>
              <w:right w:val="single" w:sz="5" w:space="0" w:color="000000"/>
            </w:tcBorders>
            <w:tcMar>
              <w:top w:w="100" w:type="dxa"/>
              <w:left w:w="100" w:type="dxa"/>
              <w:bottom w:w="100" w:type="dxa"/>
              <w:right w:w="100" w:type="dxa"/>
            </w:tcMar>
          </w:tcPr>
          <w:p w14:paraId="1C2A3491" w14:textId="77777777" w:rsidR="00DE7FFB" w:rsidRDefault="001A3F31">
            <w:pPr>
              <w:widowControl w:val="0"/>
              <w:spacing w:line="288" w:lineRule="auto"/>
              <w:ind w:firstLine="0"/>
              <w:rPr>
                <w:sz w:val="24"/>
                <w:szCs w:val="24"/>
              </w:rPr>
            </w:pPr>
            <w:r>
              <w:rPr>
                <w:sz w:val="24"/>
                <w:szCs w:val="24"/>
              </w:rPr>
              <w:t>0.300</w:t>
            </w:r>
          </w:p>
        </w:tc>
        <w:tc>
          <w:tcPr>
            <w:tcW w:w="1530" w:type="dxa"/>
            <w:tcBorders>
              <w:top w:val="nil"/>
              <w:left w:val="nil"/>
              <w:bottom w:val="single" w:sz="5" w:space="0" w:color="000000"/>
              <w:right w:val="single" w:sz="5" w:space="0" w:color="000000"/>
            </w:tcBorders>
            <w:tcMar>
              <w:top w:w="100" w:type="dxa"/>
              <w:left w:w="100" w:type="dxa"/>
              <w:bottom w:w="100" w:type="dxa"/>
              <w:right w:w="100" w:type="dxa"/>
            </w:tcMar>
          </w:tcPr>
          <w:p w14:paraId="1A2F6616" w14:textId="77777777" w:rsidR="00DE7FFB" w:rsidRDefault="001A3F31">
            <w:pPr>
              <w:widowControl w:val="0"/>
              <w:spacing w:line="288" w:lineRule="auto"/>
              <w:ind w:firstLine="0"/>
              <w:rPr>
                <w:sz w:val="24"/>
                <w:szCs w:val="24"/>
              </w:rPr>
            </w:pPr>
            <w:r>
              <w:rPr>
                <w:sz w:val="24"/>
                <w:szCs w:val="24"/>
              </w:rPr>
              <w:t>0.039</w:t>
            </w:r>
          </w:p>
        </w:tc>
        <w:tc>
          <w:tcPr>
            <w:tcW w:w="1815" w:type="dxa"/>
            <w:tcBorders>
              <w:top w:val="nil"/>
              <w:left w:val="nil"/>
              <w:bottom w:val="single" w:sz="5" w:space="0" w:color="000000"/>
              <w:right w:val="single" w:sz="5" w:space="0" w:color="000000"/>
            </w:tcBorders>
            <w:tcMar>
              <w:top w:w="100" w:type="dxa"/>
              <w:left w:w="100" w:type="dxa"/>
              <w:bottom w:w="100" w:type="dxa"/>
              <w:right w:w="100" w:type="dxa"/>
            </w:tcMar>
          </w:tcPr>
          <w:p w14:paraId="276C1171" w14:textId="77777777" w:rsidR="00DE7FFB" w:rsidRDefault="001A3F31">
            <w:pPr>
              <w:widowControl w:val="0"/>
              <w:spacing w:line="288" w:lineRule="auto"/>
              <w:ind w:firstLine="0"/>
              <w:rPr>
                <w:sz w:val="24"/>
                <w:szCs w:val="24"/>
              </w:rPr>
            </w:pPr>
            <w:r>
              <w:rPr>
                <w:sz w:val="24"/>
                <w:szCs w:val="24"/>
              </w:rPr>
              <w:t>7.646</w:t>
            </w:r>
          </w:p>
        </w:tc>
        <w:tc>
          <w:tcPr>
            <w:tcW w:w="1800" w:type="dxa"/>
            <w:tcBorders>
              <w:top w:val="nil"/>
              <w:left w:val="nil"/>
              <w:bottom w:val="single" w:sz="5" w:space="0" w:color="000000"/>
              <w:right w:val="single" w:sz="5" w:space="0" w:color="000000"/>
            </w:tcBorders>
            <w:tcMar>
              <w:top w:w="100" w:type="dxa"/>
              <w:left w:w="100" w:type="dxa"/>
              <w:bottom w:w="100" w:type="dxa"/>
              <w:right w:w="100" w:type="dxa"/>
            </w:tcMar>
          </w:tcPr>
          <w:p w14:paraId="77E5DF69" w14:textId="77777777" w:rsidR="00DE7FFB" w:rsidRDefault="001A3F31">
            <w:pPr>
              <w:widowControl w:val="0"/>
              <w:spacing w:line="288" w:lineRule="auto"/>
              <w:ind w:firstLine="0"/>
              <w:rPr>
                <w:sz w:val="24"/>
                <w:szCs w:val="24"/>
              </w:rPr>
            </w:pPr>
            <w:r>
              <w:rPr>
                <w:sz w:val="24"/>
                <w:szCs w:val="24"/>
              </w:rPr>
              <w:t>0.000</w:t>
            </w:r>
          </w:p>
        </w:tc>
      </w:tr>
      <w:tr w:rsidR="00DE7FFB" w14:paraId="6BF78C62" w14:textId="77777777">
        <w:trPr>
          <w:trHeight w:val="78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E83D9D6" w14:textId="77777777" w:rsidR="00DE7FFB" w:rsidRDefault="001A3F31">
            <w:pPr>
              <w:widowControl w:val="0"/>
              <w:spacing w:line="288" w:lineRule="auto"/>
              <w:ind w:firstLine="0"/>
              <w:rPr>
                <w:sz w:val="24"/>
                <w:szCs w:val="24"/>
              </w:rPr>
            </w:pPr>
            <w:r>
              <w:rPr>
                <w:rFonts w:ascii="Cardo" w:eastAsia="Cardo" w:hAnsi="Cardo" w:cs="Cardo"/>
                <w:sz w:val="24"/>
                <w:szCs w:val="24"/>
              </w:rPr>
              <w:t>IPI → EE</w:t>
            </w:r>
          </w:p>
        </w:tc>
        <w:tc>
          <w:tcPr>
            <w:tcW w:w="1095" w:type="dxa"/>
            <w:tcBorders>
              <w:top w:val="nil"/>
              <w:left w:val="nil"/>
              <w:bottom w:val="single" w:sz="5" w:space="0" w:color="000000"/>
              <w:right w:val="single" w:sz="5" w:space="0" w:color="000000"/>
            </w:tcBorders>
            <w:tcMar>
              <w:top w:w="100" w:type="dxa"/>
              <w:left w:w="100" w:type="dxa"/>
              <w:bottom w:w="100" w:type="dxa"/>
              <w:right w:w="100" w:type="dxa"/>
            </w:tcMar>
          </w:tcPr>
          <w:p w14:paraId="5348EBF7" w14:textId="77777777" w:rsidR="00DE7FFB" w:rsidRDefault="001A3F31">
            <w:pPr>
              <w:widowControl w:val="0"/>
              <w:spacing w:line="288" w:lineRule="auto"/>
              <w:ind w:firstLine="0"/>
              <w:rPr>
                <w:sz w:val="24"/>
                <w:szCs w:val="24"/>
              </w:rPr>
            </w:pPr>
            <w:r>
              <w:rPr>
                <w:sz w:val="24"/>
                <w:szCs w:val="24"/>
              </w:rPr>
              <w:t>0.263</w:t>
            </w:r>
          </w:p>
        </w:tc>
        <w:tc>
          <w:tcPr>
            <w:tcW w:w="1575" w:type="dxa"/>
            <w:tcBorders>
              <w:top w:val="nil"/>
              <w:left w:val="nil"/>
              <w:bottom w:val="single" w:sz="5" w:space="0" w:color="000000"/>
              <w:right w:val="single" w:sz="5" w:space="0" w:color="000000"/>
            </w:tcBorders>
            <w:tcMar>
              <w:top w:w="100" w:type="dxa"/>
              <w:left w:w="100" w:type="dxa"/>
              <w:bottom w:w="100" w:type="dxa"/>
              <w:right w:w="100" w:type="dxa"/>
            </w:tcMar>
          </w:tcPr>
          <w:p w14:paraId="2F913B12" w14:textId="77777777" w:rsidR="00DE7FFB" w:rsidRDefault="001A3F31">
            <w:pPr>
              <w:widowControl w:val="0"/>
              <w:spacing w:line="288" w:lineRule="auto"/>
              <w:ind w:firstLine="0"/>
              <w:rPr>
                <w:sz w:val="24"/>
                <w:szCs w:val="24"/>
              </w:rPr>
            </w:pPr>
            <w:r>
              <w:rPr>
                <w:sz w:val="24"/>
                <w:szCs w:val="24"/>
              </w:rPr>
              <w:t>0.265</w:t>
            </w:r>
          </w:p>
        </w:tc>
        <w:tc>
          <w:tcPr>
            <w:tcW w:w="1530" w:type="dxa"/>
            <w:tcBorders>
              <w:top w:val="nil"/>
              <w:left w:val="nil"/>
              <w:bottom w:val="single" w:sz="5" w:space="0" w:color="000000"/>
              <w:right w:val="single" w:sz="5" w:space="0" w:color="000000"/>
            </w:tcBorders>
            <w:tcMar>
              <w:top w:w="100" w:type="dxa"/>
              <w:left w:w="100" w:type="dxa"/>
              <w:bottom w:w="100" w:type="dxa"/>
              <w:right w:w="100" w:type="dxa"/>
            </w:tcMar>
          </w:tcPr>
          <w:p w14:paraId="7194014B" w14:textId="77777777" w:rsidR="00DE7FFB" w:rsidRDefault="001A3F31">
            <w:pPr>
              <w:widowControl w:val="0"/>
              <w:spacing w:line="288" w:lineRule="auto"/>
              <w:ind w:firstLine="0"/>
              <w:rPr>
                <w:sz w:val="24"/>
                <w:szCs w:val="24"/>
              </w:rPr>
            </w:pPr>
            <w:r>
              <w:rPr>
                <w:sz w:val="24"/>
                <w:szCs w:val="24"/>
              </w:rPr>
              <w:t>0.044</w:t>
            </w:r>
          </w:p>
        </w:tc>
        <w:tc>
          <w:tcPr>
            <w:tcW w:w="1815" w:type="dxa"/>
            <w:tcBorders>
              <w:top w:val="nil"/>
              <w:left w:val="nil"/>
              <w:bottom w:val="single" w:sz="5" w:space="0" w:color="000000"/>
              <w:right w:val="single" w:sz="5" w:space="0" w:color="000000"/>
            </w:tcBorders>
            <w:tcMar>
              <w:top w:w="100" w:type="dxa"/>
              <w:left w:w="100" w:type="dxa"/>
              <w:bottom w:w="100" w:type="dxa"/>
              <w:right w:w="100" w:type="dxa"/>
            </w:tcMar>
          </w:tcPr>
          <w:p w14:paraId="56029FB1" w14:textId="77777777" w:rsidR="00DE7FFB" w:rsidRDefault="001A3F31">
            <w:pPr>
              <w:widowControl w:val="0"/>
              <w:spacing w:line="288" w:lineRule="auto"/>
              <w:ind w:firstLine="0"/>
              <w:rPr>
                <w:sz w:val="24"/>
                <w:szCs w:val="24"/>
              </w:rPr>
            </w:pPr>
            <w:r>
              <w:rPr>
                <w:sz w:val="24"/>
                <w:szCs w:val="24"/>
              </w:rPr>
              <w:t>5.981</w:t>
            </w:r>
          </w:p>
        </w:tc>
        <w:tc>
          <w:tcPr>
            <w:tcW w:w="1800" w:type="dxa"/>
            <w:tcBorders>
              <w:top w:val="nil"/>
              <w:left w:val="nil"/>
              <w:bottom w:val="single" w:sz="5" w:space="0" w:color="000000"/>
              <w:right w:val="single" w:sz="5" w:space="0" w:color="000000"/>
            </w:tcBorders>
            <w:tcMar>
              <w:top w:w="100" w:type="dxa"/>
              <w:left w:w="100" w:type="dxa"/>
              <w:bottom w:w="100" w:type="dxa"/>
              <w:right w:w="100" w:type="dxa"/>
            </w:tcMar>
          </w:tcPr>
          <w:p w14:paraId="3DB53679" w14:textId="77777777" w:rsidR="00DE7FFB" w:rsidRDefault="001A3F31">
            <w:pPr>
              <w:widowControl w:val="0"/>
              <w:spacing w:line="288" w:lineRule="auto"/>
              <w:ind w:firstLine="0"/>
              <w:rPr>
                <w:sz w:val="24"/>
                <w:szCs w:val="24"/>
              </w:rPr>
            </w:pPr>
            <w:r>
              <w:rPr>
                <w:sz w:val="24"/>
                <w:szCs w:val="24"/>
              </w:rPr>
              <w:t>0.000</w:t>
            </w:r>
          </w:p>
        </w:tc>
      </w:tr>
      <w:tr w:rsidR="00DE7FFB" w14:paraId="7C2618CF" w14:textId="77777777">
        <w:trPr>
          <w:trHeight w:val="78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2D16FEF" w14:textId="77777777" w:rsidR="00DE7FFB" w:rsidRDefault="001A3F31">
            <w:pPr>
              <w:widowControl w:val="0"/>
              <w:spacing w:line="288" w:lineRule="auto"/>
              <w:ind w:firstLine="0"/>
              <w:rPr>
                <w:sz w:val="24"/>
                <w:szCs w:val="24"/>
              </w:rPr>
            </w:pPr>
            <w:r>
              <w:rPr>
                <w:rFonts w:ascii="Cardo" w:eastAsia="Cardo" w:hAnsi="Cardo" w:cs="Cardo"/>
                <w:sz w:val="24"/>
                <w:szCs w:val="24"/>
              </w:rPr>
              <w:t>IPI → TE</w:t>
            </w:r>
          </w:p>
        </w:tc>
        <w:tc>
          <w:tcPr>
            <w:tcW w:w="1095" w:type="dxa"/>
            <w:tcBorders>
              <w:top w:val="nil"/>
              <w:left w:val="nil"/>
              <w:bottom w:val="single" w:sz="5" w:space="0" w:color="000000"/>
              <w:right w:val="single" w:sz="5" w:space="0" w:color="000000"/>
            </w:tcBorders>
            <w:tcMar>
              <w:top w:w="100" w:type="dxa"/>
              <w:left w:w="100" w:type="dxa"/>
              <w:bottom w:w="100" w:type="dxa"/>
              <w:right w:w="100" w:type="dxa"/>
            </w:tcMar>
          </w:tcPr>
          <w:p w14:paraId="07BFDFB2" w14:textId="77777777" w:rsidR="00DE7FFB" w:rsidRDefault="001A3F31">
            <w:pPr>
              <w:widowControl w:val="0"/>
              <w:spacing w:line="288" w:lineRule="auto"/>
              <w:ind w:firstLine="0"/>
              <w:rPr>
                <w:sz w:val="24"/>
                <w:szCs w:val="24"/>
              </w:rPr>
            </w:pPr>
            <w:r>
              <w:rPr>
                <w:sz w:val="24"/>
                <w:szCs w:val="24"/>
              </w:rPr>
              <w:t>0.207</w:t>
            </w:r>
          </w:p>
        </w:tc>
        <w:tc>
          <w:tcPr>
            <w:tcW w:w="1575" w:type="dxa"/>
            <w:tcBorders>
              <w:top w:val="nil"/>
              <w:left w:val="nil"/>
              <w:bottom w:val="single" w:sz="5" w:space="0" w:color="000000"/>
              <w:right w:val="single" w:sz="5" w:space="0" w:color="000000"/>
            </w:tcBorders>
            <w:tcMar>
              <w:top w:w="100" w:type="dxa"/>
              <w:left w:w="100" w:type="dxa"/>
              <w:bottom w:w="100" w:type="dxa"/>
              <w:right w:w="100" w:type="dxa"/>
            </w:tcMar>
          </w:tcPr>
          <w:p w14:paraId="66F56828" w14:textId="77777777" w:rsidR="00DE7FFB" w:rsidRDefault="001A3F31">
            <w:pPr>
              <w:widowControl w:val="0"/>
              <w:spacing w:line="288" w:lineRule="auto"/>
              <w:ind w:firstLine="0"/>
              <w:rPr>
                <w:sz w:val="24"/>
                <w:szCs w:val="24"/>
              </w:rPr>
            </w:pPr>
            <w:r>
              <w:rPr>
                <w:sz w:val="24"/>
                <w:szCs w:val="24"/>
              </w:rPr>
              <w:t>0.208</w:t>
            </w:r>
          </w:p>
        </w:tc>
        <w:tc>
          <w:tcPr>
            <w:tcW w:w="1530" w:type="dxa"/>
            <w:tcBorders>
              <w:top w:val="nil"/>
              <w:left w:val="nil"/>
              <w:bottom w:val="single" w:sz="5" w:space="0" w:color="000000"/>
              <w:right w:val="single" w:sz="5" w:space="0" w:color="000000"/>
            </w:tcBorders>
            <w:tcMar>
              <w:top w:w="100" w:type="dxa"/>
              <w:left w:w="100" w:type="dxa"/>
              <w:bottom w:w="100" w:type="dxa"/>
              <w:right w:w="100" w:type="dxa"/>
            </w:tcMar>
          </w:tcPr>
          <w:p w14:paraId="6FA9C515" w14:textId="77777777" w:rsidR="00DE7FFB" w:rsidRDefault="001A3F31">
            <w:pPr>
              <w:widowControl w:val="0"/>
              <w:spacing w:line="288" w:lineRule="auto"/>
              <w:ind w:firstLine="0"/>
              <w:rPr>
                <w:sz w:val="24"/>
                <w:szCs w:val="24"/>
              </w:rPr>
            </w:pPr>
            <w:r>
              <w:rPr>
                <w:sz w:val="24"/>
                <w:szCs w:val="24"/>
              </w:rPr>
              <w:t>0.052</w:t>
            </w:r>
          </w:p>
        </w:tc>
        <w:tc>
          <w:tcPr>
            <w:tcW w:w="1815" w:type="dxa"/>
            <w:tcBorders>
              <w:top w:val="nil"/>
              <w:left w:val="nil"/>
              <w:bottom w:val="single" w:sz="5" w:space="0" w:color="000000"/>
              <w:right w:val="single" w:sz="5" w:space="0" w:color="000000"/>
            </w:tcBorders>
            <w:tcMar>
              <w:top w:w="100" w:type="dxa"/>
              <w:left w:w="100" w:type="dxa"/>
              <w:bottom w:w="100" w:type="dxa"/>
              <w:right w:w="100" w:type="dxa"/>
            </w:tcMar>
          </w:tcPr>
          <w:p w14:paraId="5EFAAED0" w14:textId="77777777" w:rsidR="00DE7FFB" w:rsidRDefault="001A3F31">
            <w:pPr>
              <w:widowControl w:val="0"/>
              <w:spacing w:line="288" w:lineRule="auto"/>
              <w:ind w:firstLine="0"/>
              <w:rPr>
                <w:sz w:val="24"/>
                <w:szCs w:val="24"/>
              </w:rPr>
            </w:pPr>
            <w:r>
              <w:rPr>
                <w:sz w:val="24"/>
                <w:szCs w:val="24"/>
              </w:rPr>
              <w:t>3.991</w:t>
            </w:r>
          </w:p>
        </w:tc>
        <w:tc>
          <w:tcPr>
            <w:tcW w:w="1800" w:type="dxa"/>
            <w:tcBorders>
              <w:top w:val="nil"/>
              <w:left w:val="nil"/>
              <w:bottom w:val="single" w:sz="5" w:space="0" w:color="000000"/>
              <w:right w:val="single" w:sz="5" w:space="0" w:color="000000"/>
            </w:tcBorders>
            <w:tcMar>
              <w:top w:w="100" w:type="dxa"/>
              <w:left w:w="100" w:type="dxa"/>
              <w:bottom w:w="100" w:type="dxa"/>
              <w:right w:w="100" w:type="dxa"/>
            </w:tcMar>
          </w:tcPr>
          <w:p w14:paraId="521148E3" w14:textId="77777777" w:rsidR="00DE7FFB" w:rsidRDefault="001A3F31">
            <w:pPr>
              <w:widowControl w:val="0"/>
              <w:spacing w:line="288" w:lineRule="auto"/>
              <w:ind w:firstLine="0"/>
              <w:rPr>
                <w:sz w:val="24"/>
                <w:szCs w:val="24"/>
              </w:rPr>
            </w:pPr>
            <w:r>
              <w:rPr>
                <w:sz w:val="24"/>
                <w:szCs w:val="24"/>
              </w:rPr>
              <w:t>0.000</w:t>
            </w:r>
          </w:p>
        </w:tc>
      </w:tr>
      <w:tr w:rsidR="00DE7FFB" w14:paraId="545B1E58" w14:textId="77777777">
        <w:trPr>
          <w:trHeight w:val="78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C92B010" w14:textId="77777777" w:rsidR="00DE7FFB" w:rsidRDefault="001A3F31">
            <w:pPr>
              <w:widowControl w:val="0"/>
              <w:spacing w:line="288" w:lineRule="auto"/>
              <w:ind w:firstLine="0"/>
              <w:rPr>
                <w:sz w:val="24"/>
                <w:szCs w:val="24"/>
              </w:rPr>
            </w:pPr>
            <w:r>
              <w:rPr>
                <w:rFonts w:ascii="Cardo" w:eastAsia="Cardo" w:hAnsi="Cardo" w:cs="Cardo"/>
                <w:sz w:val="24"/>
                <w:szCs w:val="24"/>
              </w:rPr>
              <w:t>TE → EJ</w:t>
            </w:r>
          </w:p>
        </w:tc>
        <w:tc>
          <w:tcPr>
            <w:tcW w:w="1095" w:type="dxa"/>
            <w:tcBorders>
              <w:top w:val="nil"/>
              <w:left w:val="nil"/>
              <w:bottom w:val="single" w:sz="5" w:space="0" w:color="000000"/>
              <w:right w:val="single" w:sz="5" w:space="0" w:color="000000"/>
            </w:tcBorders>
            <w:tcMar>
              <w:top w:w="100" w:type="dxa"/>
              <w:left w:w="100" w:type="dxa"/>
              <w:bottom w:w="100" w:type="dxa"/>
              <w:right w:w="100" w:type="dxa"/>
            </w:tcMar>
          </w:tcPr>
          <w:p w14:paraId="02794130" w14:textId="77777777" w:rsidR="00DE7FFB" w:rsidRDefault="001A3F31">
            <w:pPr>
              <w:widowControl w:val="0"/>
              <w:spacing w:line="288" w:lineRule="auto"/>
              <w:ind w:firstLine="0"/>
              <w:rPr>
                <w:sz w:val="24"/>
                <w:szCs w:val="24"/>
              </w:rPr>
            </w:pPr>
            <w:r>
              <w:rPr>
                <w:sz w:val="24"/>
                <w:szCs w:val="24"/>
              </w:rPr>
              <w:t>0.082</w:t>
            </w:r>
          </w:p>
        </w:tc>
        <w:tc>
          <w:tcPr>
            <w:tcW w:w="1575" w:type="dxa"/>
            <w:tcBorders>
              <w:top w:val="nil"/>
              <w:left w:val="nil"/>
              <w:bottom w:val="single" w:sz="5" w:space="0" w:color="000000"/>
              <w:right w:val="single" w:sz="5" w:space="0" w:color="000000"/>
            </w:tcBorders>
            <w:tcMar>
              <w:top w:w="100" w:type="dxa"/>
              <w:left w:w="100" w:type="dxa"/>
              <w:bottom w:w="100" w:type="dxa"/>
              <w:right w:w="100" w:type="dxa"/>
            </w:tcMar>
          </w:tcPr>
          <w:p w14:paraId="00C68D15" w14:textId="77777777" w:rsidR="00DE7FFB" w:rsidRDefault="001A3F31">
            <w:pPr>
              <w:widowControl w:val="0"/>
              <w:spacing w:line="288" w:lineRule="auto"/>
              <w:ind w:firstLine="0"/>
              <w:rPr>
                <w:sz w:val="24"/>
                <w:szCs w:val="24"/>
              </w:rPr>
            </w:pPr>
            <w:r>
              <w:rPr>
                <w:sz w:val="24"/>
                <w:szCs w:val="24"/>
              </w:rPr>
              <w:t>0.083</w:t>
            </w:r>
          </w:p>
        </w:tc>
        <w:tc>
          <w:tcPr>
            <w:tcW w:w="1530" w:type="dxa"/>
            <w:tcBorders>
              <w:top w:val="nil"/>
              <w:left w:val="nil"/>
              <w:bottom w:val="single" w:sz="5" w:space="0" w:color="000000"/>
              <w:right w:val="single" w:sz="5" w:space="0" w:color="000000"/>
            </w:tcBorders>
            <w:tcMar>
              <w:top w:w="100" w:type="dxa"/>
              <w:left w:w="100" w:type="dxa"/>
              <w:bottom w:w="100" w:type="dxa"/>
              <w:right w:w="100" w:type="dxa"/>
            </w:tcMar>
          </w:tcPr>
          <w:p w14:paraId="5C1F0C69" w14:textId="77777777" w:rsidR="00DE7FFB" w:rsidRDefault="001A3F31">
            <w:pPr>
              <w:widowControl w:val="0"/>
              <w:spacing w:line="288" w:lineRule="auto"/>
              <w:ind w:firstLine="0"/>
              <w:rPr>
                <w:sz w:val="24"/>
                <w:szCs w:val="24"/>
              </w:rPr>
            </w:pPr>
            <w:r>
              <w:rPr>
                <w:sz w:val="24"/>
                <w:szCs w:val="24"/>
              </w:rPr>
              <w:t>0.039</w:t>
            </w:r>
          </w:p>
        </w:tc>
        <w:tc>
          <w:tcPr>
            <w:tcW w:w="1815" w:type="dxa"/>
            <w:tcBorders>
              <w:top w:val="nil"/>
              <w:left w:val="nil"/>
              <w:bottom w:val="single" w:sz="5" w:space="0" w:color="000000"/>
              <w:right w:val="single" w:sz="5" w:space="0" w:color="000000"/>
            </w:tcBorders>
            <w:tcMar>
              <w:top w:w="100" w:type="dxa"/>
              <w:left w:w="100" w:type="dxa"/>
              <w:bottom w:w="100" w:type="dxa"/>
              <w:right w:w="100" w:type="dxa"/>
            </w:tcMar>
          </w:tcPr>
          <w:p w14:paraId="2E2C084F" w14:textId="77777777" w:rsidR="00DE7FFB" w:rsidRDefault="001A3F31">
            <w:pPr>
              <w:widowControl w:val="0"/>
              <w:spacing w:line="288" w:lineRule="auto"/>
              <w:ind w:firstLine="0"/>
              <w:rPr>
                <w:sz w:val="24"/>
                <w:szCs w:val="24"/>
              </w:rPr>
            </w:pPr>
            <w:r>
              <w:rPr>
                <w:sz w:val="24"/>
                <w:szCs w:val="24"/>
              </w:rPr>
              <w:t>2.082</w:t>
            </w:r>
          </w:p>
        </w:tc>
        <w:tc>
          <w:tcPr>
            <w:tcW w:w="1800" w:type="dxa"/>
            <w:tcBorders>
              <w:top w:val="nil"/>
              <w:left w:val="nil"/>
              <w:bottom w:val="single" w:sz="5" w:space="0" w:color="000000"/>
              <w:right w:val="single" w:sz="5" w:space="0" w:color="000000"/>
            </w:tcBorders>
            <w:tcMar>
              <w:top w:w="100" w:type="dxa"/>
              <w:left w:w="100" w:type="dxa"/>
              <w:bottom w:w="100" w:type="dxa"/>
              <w:right w:w="100" w:type="dxa"/>
            </w:tcMar>
          </w:tcPr>
          <w:p w14:paraId="6A478235" w14:textId="77777777" w:rsidR="00DE7FFB" w:rsidRDefault="001A3F31">
            <w:pPr>
              <w:widowControl w:val="0"/>
              <w:spacing w:line="288" w:lineRule="auto"/>
              <w:ind w:firstLine="0"/>
              <w:rPr>
                <w:sz w:val="24"/>
                <w:szCs w:val="24"/>
              </w:rPr>
            </w:pPr>
            <w:r>
              <w:rPr>
                <w:sz w:val="24"/>
                <w:szCs w:val="24"/>
              </w:rPr>
              <w:t>0.037</w:t>
            </w:r>
          </w:p>
        </w:tc>
      </w:tr>
    </w:tbl>
    <w:p w14:paraId="46A7EFCF" w14:textId="77777777" w:rsidR="00DE7FFB" w:rsidRDefault="001A3F31">
      <w:pPr>
        <w:widowControl w:val="0"/>
        <w:spacing w:line="288" w:lineRule="auto"/>
        <w:ind w:firstLine="0"/>
        <w:jc w:val="right"/>
        <w:rPr>
          <w:i/>
          <w:iCs/>
          <w:sz w:val="24"/>
          <w:szCs w:val="24"/>
        </w:rPr>
      </w:pPr>
      <w:r>
        <w:rPr>
          <w:i/>
          <w:iCs/>
          <w:sz w:val="24"/>
          <w:szCs w:val="24"/>
        </w:rPr>
        <w:t>Nguồn: Kết quả phân tích của tác giả, 2026</w:t>
      </w:r>
    </w:p>
    <w:p w14:paraId="33A7A9DF" w14:textId="77777777" w:rsidR="00DE7FFB" w:rsidRPr="00790738" w:rsidRDefault="001A3F31">
      <w:pPr>
        <w:rPr>
          <w:b/>
          <w:bCs/>
          <w:i/>
          <w:iCs/>
          <w:sz w:val="24"/>
          <w:szCs w:val="24"/>
        </w:rPr>
      </w:pPr>
      <w:r w:rsidRPr="00790738">
        <w:rPr>
          <w:b/>
          <w:bCs/>
          <w:i/>
          <w:iCs/>
          <w:sz w:val="24"/>
          <w:szCs w:val="24"/>
        </w:rPr>
        <w:t>4.3. Hệ số xác định R²</w:t>
      </w:r>
    </w:p>
    <w:p w14:paraId="422CA967" w14:textId="3A5425EA" w:rsidR="00DE7FFB" w:rsidRPr="00790738" w:rsidRDefault="001A3F31">
      <w:pPr>
        <w:widowControl w:val="0"/>
        <w:rPr>
          <w:sz w:val="24"/>
          <w:szCs w:val="24"/>
          <w:lang w:val="en-US"/>
        </w:rPr>
      </w:pPr>
      <w:r>
        <w:rPr>
          <w:sz w:val="24"/>
          <w:szCs w:val="24"/>
        </w:rPr>
        <w:t>Kết quả R² xác nhận rằng mô hình về hiệu ứng lan tỏa hành vi xanh từ cộng đồng trực tuyến cung cấp sức mạnh giải thích có ý nghĩa, đặc biệt đối với nhân tố trung tâm EJ. Phần phương sai chưa được giải thích gợi ý những hướng mở rộng quan trọng trong tương lai, chẳng hạn xem xét các nhân tố như rào cản tài chính, nhận thức về sản phẩm xanh, hay ảnh hưởng của người thân trong môi trường ngoại tuyến.</w:t>
      </w:r>
      <w:r w:rsidR="00833C42" w:rsidRPr="00790738">
        <w:rPr>
          <w:sz w:val="24"/>
          <w:szCs w:val="24"/>
        </w:rPr>
        <w:t xml:space="preserve"> </w:t>
      </w:r>
      <w:r w:rsidR="00833C42">
        <w:rPr>
          <w:sz w:val="24"/>
          <w:szCs w:val="24"/>
          <w:lang w:val="en-US"/>
        </w:rPr>
        <w:t>(</w:t>
      </w:r>
      <w:proofErr w:type="spellStart"/>
      <w:r w:rsidR="00833C42">
        <w:rPr>
          <w:sz w:val="24"/>
          <w:szCs w:val="24"/>
          <w:lang w:val="en-US"/>
        </w:rPr>
        <w:t>Bảng</w:t>
      </w:r>
      <w:proofErr w:type="spellEnd"/>
      <w:r w:rsidR="00833C42">
        <w:rPr>
          <w:sz w:val="24"/>
          <w:szCs w:val="24"/>
          <w:lang w:val="en-US"/>
        </w:rPr>
        <w:t xml:space="preserve"> 3)</w:t>
      </w:r>
    </w:p>
    <w:p w14:paraId="466BA2A5" w14:textId="77777777" w:rsidR="00DE7FFB" w:rsidRDefault="001A3F31">
      <w:pPr>
        <w:widowControl w:val="0"/>
        <w:spacing w:line="288" w:lineRule="auto"/>
        <w:ind w:left="425" w:firstLine="0"/>
        <w:rPr>
          <w:b/>
          <w:bCs/>
          <w:i/>
          <w:iCs/>
          <w:sz w:val="24"/>
          <w:szCs w:val="24"/>
        </w:rPr>
      </w:pPr>
      <w:r>
        <w:rPr>
          <w:b/>
          <w:bCs/>
          <w:i/>
          <w:iCs/>
          <w:sz w:val="24"/>
          <w:szCs w:val="24"/>
        </w:rPr>
        <w:t>Bảng 3. Kết quả Hệ số xác định R²</w:t>
      </w:r>
    </w:p>
    <w:tbl>
      <w:tblPr>
        <w:tblStyle w:val="a1"/>
        <w:tblW w:w="95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285"/>
        <w:gridCol w:w="1320"/>
        <w:gridCol w:w="1920"/>
      </w:tblGrid>
      <w:tr w:rsidR="00DE7FFB" w14:paraId="0737BA64" w14:textId="77777777">
        <w:trPr>
          <w:trHeight w:val="585"/>
        </w:trPr>
        <w:tc>
          <w:tcPr>
            <w:tcW w:w="6285" w:type="dxa"/>
            <w:tcBorders>
              <w:top w:val="single" w:sz="5" w:space="0" w:color="000000"/>
              <w:left w:val="single" w:sz="5" w:space="0" w:color="000000"/>
              <w:bottom w:val="single" w:sz="5" w:space="0" w:color="000000"/>
              <w:right w:val="single" w:sz="5" w:space="0" w:color="000000"/>
            </w:tcBorders>
            <w:shd w:val="clear" w:color="auto" w:fill="D9E2F3"/>
            <w:tcMar>
              <w:top w:w="100" w:type="dxa"/>
              <w:left w:w="100" w:type="dxa"/>
              <w:bottom w:w="100" w:type="dxa"/>
              <w:right w:w="100" w:type="dxa"/>
            </w:tcMar>
          </w:tcPr>
          <w:p w14:paraId="2A4B5FB2" w14:textId="77777777" w:rsidR="00DE7FFB" w:rsidRDefault="001A3F31">
            <w:pPr>
              <w:widowControl w:val="0"/>
              <w:spacing w:line="288" w:lineRule="auto"/>
              <w:ind w:firstLine="0"/>
              <w:rPr>
                <w:b/>
                <w:bCs/>
                <w:sz w:val="24"/>
                <w:szCs w:val="24"/>
              </w:rPr>
            </w:pPr>
            <w:r>
              <w:rPr>
                <w:b/>
                <w:bCs/>
                <w:sz w:val="24"/>
                <w:szCs w:val="24"/>
              </w:rPr>
              <w:t>Nhân tố phụ thuộc</w:t>
            </w:r>
          </w:p>
        </w:tc>
        <w:tc>
          <w:tcPr>
            <w:tcW w:w="1320" w:type="dxa"/>
            <w:tcBorders>
              <w:top w:val="single" w:sz="5" w:space="0" w:color="000000"/>
              <w:left w:val="nil"/>
              <w:bottom w:val="single" w:sz="5" w:space="0" w:color="000000"/>
              <w:right w:val="single" w:sz="5" w:space="0" w:color="000000"/>
            </w:tcBorders>
            <w:shd w:val="clear" w:color="auto" w:fill="D9E2F3"/>
            <w:tcMar>
              <w:top w:w="100" w:type="dxa"/>
              <w:left w:w="100" w:type="dxa"/>
              <w:bottom w:w="100" w:type="dxa"/>
              <w:right w:w="100" w:type="dxa"/>
            </w:tcMar>
          </w:tcPr>
          <w:p w14:paraId="28A2FBA5" w14:textId="77777777" w:rsidR="00DE7FFB" w:rsidRDefault="001A3F31">
            <w:pPr>
              <w:widowControl w:val="0"/>
              <w:spacing w:line="288" w:lineRule="auto"/>
              <w:ind w:firstLine="0"/>
              <w:rPr>
                <w:b/>
                <w:bCs/>
                <w:sz w:val="24"/>
                <w:szCs w:val="24"/>
              </w:rPr>
            </w:pPr>
            <w:r>
              <w:rPr>
                <w:b/>
                <w:bCs/>
                <w:sz w:val="24"/>
                <w:szCs w:val="24"/>
              </w:rPr>
              <w:t>R²</w:t>
            </w:r>
          </w:p>
        </w:tc>
        <w:tc>
          <w:tcPr>
            <w:tcW w:w="1920" w:type="dxa"/>
            <w:tcBorders>
              <w:top w:val="single" w:sz="5" w:space="0" w:color="000000"/>
              <w:left w:val="nil"/>
              <w:bottom w:val="single" w:sz="5" w:space="0" w:color="000000"/>
              <w:right w:val="single" w:sz="5" w:space="0" w:color="000000"/>
            </w:tcBorders>
            <w:shd w:val="clear" w:color="auto" w:fill="D9E2F3"/>
            <w:tcMar>
              <w:top w:w="100" w:type="dxa"/>
              <w:left w:w="100" w:type="dxa"/>
              <w:bottom w:w="100" w:type="dxa"/>
              <w:right w:w="100" w:type="dxa"/>
            </w:tcMar>
          </w:tcPr>
          <w:p w14:paraId="0F9CA377" w14:textId="77777777" w:rsidR="00DE7FFB" w:rsidRDefault="001A3F31">
            <w:pPr>
              <w:widowControl w:val="0"/>
              <w:spacing w:line="288" w:lineRule="auto"/>
              <w:ind w:firstLine="0"/>
              <w:rPr>
                <w:b/>
                <w:bCs/>
                <w:sz w:val="24"/>
                <w:szCs w:val="24"/>
              </w:rPr>
            </w:pPr>
            <w:r>
              <w:rPr>
                <w:b/>
                <w:bCs/>
                <w:sz w:val="24"/>
                <w:szCs w:val="24"/>
              </w:rPr>
              <w:t>R² hiệu chỉnh</w:t>
            </w:r>
          </w:p>
        </w:tc>
      </w:tr>
      <w:tr w:rsidR="00DE7FFB" w14:paraId="6583A902" w14:textId="77777777">
        <w:trPr>
          <w:trHeight w:val="555"/>
        </w:trPr>
        <w:tc>
          <w:tcPr>
            <w:tcW w:w="62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FF63D9B" w14:textId="00F8CAE7" w:rsidR="00DE7FFB" w:rsidRDefault="001A3F31">
            <w:pPr>
              <w:widowControl w:val="0"/>
              <w:spacing w:line="288" w:lineRule="auto"/>
              <w:ind w:firstLine="0"/>
              <w:rPr>
                <w:sz w:val="24"/>
                <w:szCs w:val="24"/>
              </w:rPr>
            </w:pPr>
            <w:r>
              <w:rPr>
                <w:sz w:val="24"/>
                <w:szCs w:val="24"/>
              </w:rPr>
              <w:t xml:space="preserve">BHP </w:t>
            </w:r>
            <w:r w:rsidR="00833C42">
              <w:rPr>
                <w:sz w:val="24"/>
                <w:szCs w:val="24"/>
              </w:rPr>
              <w:t>-</w:t>
            </w:r>
            <w:r>
              <w:rPr>
                <w:sz w:val="24"/>
                <w:szCs w:val="24"/>
              </w:rPr>
              <w:t xml:space="preserve"> Hành vi xanh mang tính công khai </w:t>
            </w: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14:paraId="24A654C1" w14:textId="77777777" w:rsidR="00DE7FFB" w:rsidRDefault="001A3F31">
            <w:pPr>
              <w:widowControl w:val="0"/>
              <w:spacing w:line="288" w:lineRule="auto"/>
              <w:ind w:firstLine="0"/>
              <w:rPr>
                <w:sz w:val="24"/>
                <w:szCs w:val="24"/>
              </w:rPr>
            </w:pPr>
            <w:r>
              <w:rPr>
                <w:sz w:val="24"/>
                <w:szCs w:val="24"/>
              </w:rPr>
              <w:t>0.133</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1C0E23E4" w14:textId="77777777" w:rsidR="00DE7FFB" w:rsidRDefault="001A3F31">
            <w:pPr>
              <w:widowControl w:val="0"/>
              <w:spacing w:line="288" w:lineRule="auto"/>
              <w:ind w:firstLine="0"/>
              <w:rPr>
                <w:sz w:val="24"/>
                <w:szCs w:val="24"/>
              </w:rPr>
            </w:pPr>
            <w:r>
              <w:rPr>
                <w:sz w:val="24"/>
                <w:szCs w:val="24"/>
              </w:rPr>
              <w:t>0.131</w:t>
            </w:r>
          </w:p>
        </w:tc>
      </w:tr>
      <w:tr w:rsidR="00DE7FFB" w14:paraId="61D0D76C" w14:textId="77777777">
        <w:trPr>
          <w:trHeight w:val="630"/>
        </w:trPr>
        <w:tc>
          <w:tcPr>
            <w:tcW w:w="62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6F7A100" w14:textId="638CC23A" w:rsidR="00DE7FFB" w:rsidRDefault="001A3F31">
            <w:pPr>
              <w:widowControl w:val="0"/>
              <w:spacing w:line="288" w:lineRule="auto"/>
              <w:ind w:firstLine="0"/>
              <w:rPr>
                <w:sz w:val="24"/>
                <w:szCs w:val="24"/>
              </w:rPr>
            </w:pPr>
            <w:r>
              <w:rPr>
                <w:sz w:val="24"/>
                <w:szCs w:val="24"/>
              </w:rPr>
              <w:lastRenderedPageBreak/>
              <w:t xml:space="preserve">BHV </w:t>
            </w:r>
            <w:r w:rsidR="00833C42">
              <w:rPr>
                <w:sz w:val="24"/>
                <w:szCs w:val="24"/>
              </w:rPr>
              <w:t>-</w:t>
            </w:r>
            <w:r>
              <w:rPr>
                <w:sz w:val="24"/>
                <w:szCs w:val="24"/>
              </w:rPr>
              <w:t xml:space="preserve"> Hành vi xanh mang tính riêng tư</w:t>
            </w: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14:paraId="64E8265C" w14:textId="77777777" w:rsidR="00DE7FFB" w:rsidRDefault="001A3F31">
            <w:pPr>
              <w:widowControl w:val="0"/>
              <w:spacing w:line="288" w:lineRule="auto"/>
              <w:ind w:firstLine="0"/>
              <w:rPr>
                <w:sz w:val="24"/>
                <w:szCs w:val="24"/>
              </w:rPr>
            </w:pPr>
            <w:r>
              <w:rPr>
                <w:sz w:val="24"/>
                <w:szCs w:val="24"/>
              </w:rPr>
              <w:t>0.214</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39147B74" w14:textId="77777777" w:rsidR="00DE7FFB" w:rsidRDefault="001A3F31">
            <w:pPr>
              <w:widowControl w:val="0"/>
              <w:spacing w:line="288" w:lineRule="auto"/>
              <w:ind w:firstLine="0"/>
              <w:rPr>
                <w:sz w:val="24"/>
                <w:szCs w:val="24"/>
              </w:rPr>
            </w:pPr>
            <w:r>
              <w:rPr>
                <w:sz w:val="24"/>
                <w:szCs w:val="24"/>
              </w:rPr>
              <w:t>0.212</w:t>
            </w:r>
          </w:p>
        </w:tc>
      </w:tr>
      <w:tr w:rsidR="00DE7FFB" w14:paraId="2D538F4F" w14:textId="77777777">
        <w:trPr>
          <w:trHeight w:val="690"/>
        </w:trPr>
        <w:tc>
          <w:tcPr>
            <w:tcW w:w="62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3E5329D" w14:textId="2A0421C2" w:rsidR="00DE7FFB" w:rsidRDefault="001A3F31">
            <w:pPr>
              <w:widowControl w:val="0"/>
              <w:spacing w:line="288" w:lineRule="auto"/>
              <w:ind w:firstLine="0"/>
              <w:rPr>
                <w:sz w:val="24"/>
                <w:szCs w:val="24"/>
              </w:rPr>
            </w:pPr>
            <w:r>
              <w:rPr>
                <w:sz w:val="24"/>
                <w:szCs w:val="24"/>
              </w:rPr>
              <w:t xml:space="preserve">DE </w:t>
            </w:r>
            <w:r w:rsidR="00833C42">
              <w:rPr>
                <w:sz w:val="24"/>
                <w:szCs w:val="24"/>
              </w:rPr>
              <w:t>-</w:t>
            </w:r>
            <w:r>
              <w:rPr>
                <w:sz w:val="24"/>
                <w:szCs w:val="24"/>
              </w:rPr>
              <w:t xml:space="preserve"> Đánh giá đạo đức theo chuẩn mực </w:t>
            </w: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14:paraId="2AD3657D" w14:textId="77777777" w:rsidR="00DE7FFB" w:rsidRDefault="001A3F31">
            <w:pPr>
              <w:widowControl w:val="0"/>
              <w:spacing w:line="288" w:lineRule="auto"/>
              <w:ind w:firstLine="0"/>
              <w:rPr>
                <w:sz w:val="24"/>
                <w:szCs w:val="24"/>
              </w:rPr>
            </w:pPr>
            <w:r>
              <w:rPr>
                <w:sz w:val="24"/>
                <w:szCs w:val="24"/>
              </w:rPr>
              <w:t>0.202</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0AE92596" w14:textId="77777777" w:rsidR="00DE7FFB" w:rsidRDefault="001A3F31">
            <w:pPr>
              <w:widowControl w:val="0"/>
              <w:spacing w:line="288" w:lineRule="auto"/>
              <w:ind w:firstLine="0"/>
              <w:rPr>
                <w:sz w:val="24"/>
                <w:szCs w:val="24"/>
              </w:rPr>
            </w:pPr>
            <w:r>
              <w:rPr>
                <w:sz w:val="24"/>
                <w:szCs w:val="24"/>
              </w:rPr>
              <w:t>0.198</w:t>
            </w:r>
          </w:p>
        </w:tc>
      </w:tr>
      <w:tr w:rsidR="00DE7FFB" w14:paraId="783F0B0B" w14:textId="77777777">
        <w:trPr>
          <w:trHeight w:val="675"/>
        </w:trPr>
        <w:tc>
          <w:tcPr>
            <w:tcW w:w="62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9AD9CCB" w14:textId="7B8FE9FD" w:rsidR="00DE7FFB" w:rsidRDefault="001A3F31">
            <w:pPr>
              <w:widowControl w:val="0"/>
              <w:spacing w:line="288" w:lineRule="auto"/>
              <w:ind w:firstLine="0"/>
              <w:rPr>
                <w:sz w:val="24"/>
                <w:szCs w:val="24"/>
              </w:rPr>
            </w:pPr>
            <w:r>
              <w:rPr>
                <w:sz w:val="24"/>
                <w:szCs w:val="24"/>
              </w:rPr>
              <w:t xml:space="preserve">EE </w:t>
            </w:r>
            <w:r w:rsidR="00833C42">
              <w:rPr>
                <w:sz w:val="24"/>
                <w:szCs w:val="24"/>
              </w:rPr>
              <w:t>-</w:t>
            </w:r>
            <w:r>
              <w:rPr>
                <w:sz w:val="24"/>
                <w:szCs w:val="24"/>
              </w:rPr>
              <w:t xml:space="preserve"> Cảm xúc môi trường</w:t>
            </w: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14:paraId="14650272" w14:textId="77777777" w:rsidR="00DE7FFB" w:rsidRDefault="001A3F31">
            <w:pPr>
              <w:widowControl w:val="0"/>
              <w:spacing w:line="288" w:lineRule="auto"/>
              <w:ind w:firstLine="0"/>
              <w:rPr>
                <w:sz w:val="24"/>
                <w:szCs w:val="24"/>
              </w:rPr>
            </w:pPr>
            <w:r>
              <w:rPr>
                <w:sz w:val="24"/>
                <w:szCs w:val="24"/>
              </w:rPr>
              <w:t>0.192</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021B9C12" w14:textId="77777777" w:rsidR="00DE7FFB" w:rsidRDefault="001A3F31">
            <w:pPr>
              <w:widowControl w:val="0"/>
              <w:spacing w:line="288" w:lineRule="auto"/>
              <w:ind w:firstLine="0"/>
              <w:rPr>
                <w:sz w:val="24"/>
                <w:szCs w:val="24"/>
              </w:rPr>
            </w:pPr>
            <w:r>
              <w:rPr>
                <w:sz w:val="24"/>
                <w:szCs w:val="24"/>
              </w:rPr>
              <w:t>0.188</w:t>
            </w:r>
          </w:p>
        </w:tc>
      </w:tr>
      <w:tr w:rsidR="00DE7FFB" w14:paraId="24945F15" w14:textId="77777777">
        <w:trPr>
          <w:trHeight w:val="615"/>
        </w:trPr>
        <w:tc>
          <w:tcPr>
            <w:tcW w:w="62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597A128" w14:textId="5B1078EF" w:rsidR="00DE7FFB" w:rsidRDefault="001A3F31">
            <w:pPr>
              <w:widowControl w:val="0"/>
              <w:spacing w:line="288" w:lineRule="auto"/>
              <w:ind w:firstLine="0"/>
              <w:rPr>
                <w:sz w:val="24"/>
                <w:szCs w:val="24"/>
              </w:rPr>
            </w:pPr>
            <w:r>
              <w:rPr>
                <w:sz w:val="24"/>
                <w:szCs w:val="24"/>
              </w:rPr>
              <w:t xml:space="preserve">EJ </w:t>
            </w:r>
            <w:r w:rsidR="00833C42">
              <w:rPr>
                <w:sz w:val="24"/>
                <w:szCs w:val="24"/>
              </w:rPr>
              <w:t>-</w:t>
            </w:r>
            <w:r>
              <w:rPr>
                <w:sz w:val="24"/>
                <w:szCs w:val="24"/>
              </w:rPr>
              <w:t xml:space="preserve"> Phán xét đạo đức  </w:t>
            </w: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14:paraId="450E4530" w14:textId="77777777" w:rsidR="00DE7FFB" w:rsidRDefault="001A3F31">
            <w:pPr>
              <w:widowControl w:val="0"/>
              <w:spacing w:line="288" w:lineRule="auto"/>
              <w:ind w:firstLine="0"/>
              <w:rPr>
                <w:sz w:val="24"/>
                <w:szCs w:val="24"/>
              </w:rPr>
            </w:pPr>
            <w:r>
              <w:rPr>
                <w:sz w:val="24"/>
                <w:szCs w:val="24"/>
              </w:rPr>
              <w:t>0.424</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4F810B1E" w14:textId="77777777" w:rsidR="00DE7FFB" w:rsidRDefault="001A3F31">
            <w:pPr>
              <w:widowControl w:val="0"/>
              <w:spacing w:line="288" w:lineRule="auto"/>
              <w:ind w:firstLine="0"/>
              <w:rPr>
                <w:sz w:val="24"/>
                <w:szCs w:val="24"/>
              </w:rPr>
            </w:pPr>
            <w:r>
              <w:rPr>
                <w:sz w:val="24"/>
                <w:szCs w:val="24"/>
              </w:rPr>
              <w:t>0.420</w:t>
            </w:r>
          </w:p>
        </w:tc>
      </w:tr>
      <w:tr w:rsidR="00DE7FFB" w14:paraId="44724D1B" w14:textId="77777777">
        <w:trPr>
          <w:trHeight w:val="645"/>
        </w:trPr>
        <w:tc>
          <w:tcPr>
            <w:tcW w:w="62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B1072A8" w14:textId="21FC4391" w:rsidR="00DE7FFB" w:rsidRDefault="001A3F31">
            <w:pPr>
              <w:widowControl w:val="0"/>
              <w:spacing w:line="288" w:lineRule="auto"/>
              <w:ind w:firstLine="0"/>
              <w:rPr>
                <w:sz w:val="24"/>
                <w:szCs w:val="24"/>
              </w:rPr>
            </w:pPr>
            <w:r>
              <w:rPr>
                <w:sz w:val="24"/>
                <w:szCs w:val="24"/>
              </w:rPr>
              <w:t xml:space="preserve">TE </w:t>
            </w:r>
            <w:r w:rsidR="00833C42">
              <w:rPr>
                <w:sz w:val="24"/>
                <w:szCs w:val="24"/>
              </w:rPr>
              <w:t>-</w:t>
            </w:r>
            <w:r>
              <w:rPr>
                <w:sz w:val="24"/>
                <w:szCs w:val="24"/>
              </w:rPr>
              <w:t xml:space="preserve"> Đánh giá đạo đức theo hậu quả </w:t>
            </w: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14:paraId="710B828D" w14:textId="77777777" w:rsidR="00DE7FFB" w:rsidRDefault="001A3F31">
            <w:pPr>
              <w:widowControl w:val="0"/>
              <w:spacing w:line="288" w:lineRule="auto"/>
              <w:ind w:firstLine="0"/>
              <w:rPr>
                <w:sz w:val="24"/>
                <w:szCs w:val="24"/>
              </w:rPr>
            </w:pPr>
            <w:r>
              <w:rPr>
                <w:sz w:val="24"/>
                <w:szCs w:val="24"/>
              </w:rPr>
              <w:t>0.143</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619C4E3C" w14:textId="77777777" w:rsidR="00DE7FFB" w:rsidRDefault="001A3F31">
            <w:pPr>
              <w:widowControl w:val="0"/>
              <w:spacing w:line="288" w:lineRule="auto"/>
              <w:ind w:firstLine="0"/>
              <w:rPr>
                <w:sz w:val="24"/>
                <w:szCs w:val="24"/>
              </w:rPr>
            </w:pPr>
            <w:r>
              <w:rPr>
                <w:sz w:val="24"/>
                <w:szCs w:val="24"/>
              </w:rPr>
              <w:t>0.139</w:t>
            </w:r>
          </w:p>
        </w:tc>
      </w:tr>
    </w:tbl>
    <w:p w14:paraId="7004E191" w14:textId="77777777" w:rsidR="00DE7FFB" w:rsidRDefault="001A3F31">
      <w:pPr>
        <w:widowControl w:val="0"/>
        <w:spacing w:line="288" w:lineRule="auto"/>
        <w:ind w:firstLine="0"/>
        <w:jc w:val="right"/>
        <w:rPr>
          <w:sz w:val="24"/>
          <w:szCs w:val="24"/>
        </w:rPr>
      </w:pPr>
      <w:r>
        <w:rPr>
          <w:i/>
          <w:iCs/>
          <w:sz w:val="24"/>
          <w:szCs w:val="24"/>
        </w:rPr>
        <w:t>Nguồn: Kết quả phân tích của tác giả, 2026</w:t>
      </w:r>
    </w:p>
    <w:p w14:paraId="064E72F0" w14:textId="77777777" w:rsidR="00DE7FFB" w:rsidRDefault="001A3F31">
      <w:pPr>
        <w:rPr>
          <w:b/>
          <w:bCs/>
          <w:sz w:val="24"/>
          <w:szCs w:val="24"/>
        </w:rPr>
      </w:pPr>
      <w:r>
        <w:rPr>
          <w:b/>
          <w:bCs/>
          <w:sz w:val="24"/>
          <w:szCs w:val="24"/>
        </w:rPr>
        <w:t xml:space="preserve">5. Kết luận và hàm ý chính sách </w:t>
      </w:r>
    </w:p>
    <w:p w14:paraId="0A9C0D06" w14:textId="77777777" w:rsidR="00DE7FFB" w:rsidRDefault="001A3F31">
      <w:pPr>
        <w:ind w:firstLine="0"/>
        <w:rPr>
          <w:sz w:val="24"/>
          <w:szCs w:val="24"/>
        </w:rPr>
      </w:pPr>
      <w:r>
        <w:rPr>
          <w:sz w:val="24"/>
          <w:szCs w:val="24"/>
        </w:rPr>
        <w:t>Mạng xã hội và cộng đồng trực tuyến đóng vai trò then chốt trong việc lan tỏa chuẩn mực tiêu dùng xanh, giúp người trẻ chuyển từ nhận thức sang hành động thực tế. Do đó, các doanh nghiệp và cơ quan quản lý cần đẩy mạnh truyền thông số, xây dựng cộng đồng chia sẻ kinh nghiệm bền vững. Đồng thời, việc kết hợp giáo dục trực tuyến với các chiến dịch trải nghiệm thực tế là cần thiết để nâng cao nhận thức và thúc đẩy lối sống thân thiện với môi trường trong toàn xã hội.</w:t>
      </w:r>
    </w:p>
    <w:p w14:paraId="69715C7D" w14:textId="77777777" w:rsidR="00B26733" w:rsidRPr="00790738" w:rsidRDefault="001A3F31">
      <w:pPr>
        <w:spacing w:line="288" w:lineRule="auto"/>
        <w:rPr>
          <w:b/>
          <w:bCs/>
          <w:sz w:val="24"/>
          <w:szCs w:val="24"/>
        </w:rPr>
      </w:pPr>
      <w:r>
        <w:rPr>
          <w:b/>
          <w:bCs/>
          <w:sz w:val="24"/>
          <w:szCs w:val="24"/>
        </w:rPr>
        <w:t>TÀI LIỆU THAM KHẢO</w:t>
      </w:r>
      <w:r w:rsidR="00B26733" w:rsidRPr="00790738">
        <w:rPr>
          <w:b/>
          <w:bCs/>
          <w:sz w:val="24"/>
          <w:szCs w:val="24"/>
        </w:rPr>
        <w:t>:</w:t>
      </w:r>
    </w:p>
    <w:p w14:paraId="1FAC5CA0" w14:textId="65B8C3E0" w:rsidR="00DE7FFB" w:rsidRPr="00790738" w:rsidRDefault="00B26733">
      <w:pPr>
        <w:spacing w:line="288" w:lineRule="auto"/>
        <w:rPr>
          <w:sz w:val="24"/>
          <w:szCs w:val="24"/>
          <w:lang w:val="en-US"/>
        </w:rPr>
      </w:pPr>
      <w:r w:rsidRPr="00790738">
        <w:rPr>
          <w:sz w:val="24"/>
          <w:szCs w:val="24"/>
        </w:rPr>
        <w:t xml:space="preserve">Linh Ngọc (2025), Xanh hóa tiêu dùng: Định hình xu hướng sản xuất xanh. </w:t>
      </w:r>
      <w:proofErr w:type="spellStart"/>
      <w:r>
        <w:rPr>
          <w:sz w:val="24"/>
          <w:szCs w:val="24"/>
          <w:lang w:val="en-US"/>
        </w:rPr>
        <w:t>Truy</w:t>
      </w:r>
      <w:proofErr w:type="spellEnd"/>
      <w:r>
        <w:rPr>
          <w:sz w:val="24"/>
          <w:szCs w:val="24"/>
          <w:lang w:val="en-US"/>
        </w:rPr>
        <w:t xml:space="preserve"> </w:t>
      </w:r>
      <w:proofErr w:type="spellStart"/>
      <w:r>
        <w:rPr>
          <w:sz w:val="24"/>
          <w:szCs w:val="24"/>
          <w:lang w:val="en-US"/>
        </w:rPr>
        <w:t>cập</w:t>
      </w:r>
      <w:proofErr w:type="spellEnd"/>
      <w:r>
        <w:rPr>
          <w:sz w:val="24"/>
          <w:szCs w:val="24"/>
          <w:lang w:val="en-US"/>
        </w:rPr>
        <w:t xml:space="preserve"> </w:t>
      </w:r>
      <w:proofErr w:type="spellStart"/>
      <w:r>
        <w:rPr>
          <w:sz w:val="24"/>
          <w:szCs w:val="24"/>
          <w:lang w:val="en-US"/>
        </w:rPr>
        <w:t>tại</w:t>
      </w:r>
      <w:proofErr w:type="spellEnd"/>
      <w:r>
        <w:rPr>
          <w:sz w:val="24"/>
          <w:szCs w:val="24"/>
          <w:lang w:val="en-US"/>
        </w:rPr>
        <w:t xml:space="preserve">: </w:t>
      </w:r>
      <w:r w:rsidRPr="00B26733">
        <w:rPr>
          <w:sz w:val="24"/>
          <w:szCs w:val="24"/>
          <w:lang w:val="en-US"/>
        </w:rPr>
        <w:t>https://moit.gov.vn/bao-ve-moi-truong/xanh-hoa-tieu-dung-dinh-hinh-xu-huong-san-xuat-xanh.html</w:t>
      </w:r>
    </w:p>
    <w:p w14:paraId="326A1781" w14:textId="7C3F5D09" w:rsidR="00DE7FFB" w:rsidRDefault="001A3F31">
      <w:pPr>
        <w:spacing w:line="288" w:lineRule="auto"/>
        <w:ind w:firstLine="0"/>
        <w:rPr>
          <w:sz w:val="24"/>
          <w:szCs w:val="24"/>
        </w:rPr>
      </w:pPr>
      <w:r>
        <w:rPr>
          <w:sz w:val="24"/>
          <w:szCs w:val="24"/>
        </w:rPr>
        <w:t>Nguyen, H. S. (2024). Understanding green consumption behaviors in an emerging market: The influence of environmental concern, health consciousness, and product availability in Vietnam. Journal of Logistics, Informatics and Service Science, 11(10), xx</w:t>
      </w:r>
      <w:r w:rsidR="00833C42">
        <w:rPr>
          <w:sz w:val="24"/>
          <w:szCs w:val="24"/>
        </w:rPr>
        <w:t>-</w:t>
      </w:r>
      <w:r>
        <w:rPr>
          <w:sz w:val="24"/>
          <w:szCs w:val="24"/>
        </w:rPr>
        <w:t>xx.</w:t>
      </w:r>
      <w:hyperlink r:id="rId5">
        <w:r w:rsidR="00DE7FFB">
          <w:rPr>
            <w:sz w:val="24"/>
            <w:szCs w:val="24"/>
          </w:rPr>
          <w:t xml:space="preserve"> </w:t>
        </w:r>
      </w:hyperlink>
      <w:hyperlink r:id="rId6">
        <w:r w:rsidR="00DE7FFB">
          <w:rPr>
            <w:color w:val="1155CC"/>
            <w:sz w:val="24"/>
            <w:szCs w:val="24"/>
            <w:u w:val="single"/>
          </w:rPr>
          <w:t>https://doi.org/10.33168/JLISS.2024.1013</w:t>
        </w:r>
      </w:hyperlink>
    </w:p>
    <w:p w14:paraId="2B147E3D" w14:textId="77777777" w:rsidR="00DE7FFB" w:rsidRDefault="001A3F31">
      <w:pPr>
        <w:widowControl w:val="0"/>
        <w:ind w:firstLine="0"/>
        <w:jc w:val="left"/>
        <w:rPr>
          <w:color w:val="1155CC"/>
          <w:sz w:val="24"/>
          <w:szCs w:val="24"/>
          <w:u w:val="single"/>
        </w:rPr>
      </w:pPr>
      <w:r>
        <w:rPr>
          <w:sz w:val="24"/>
          <w:szCs w:val="24"/>
        </w:rPr>
        <w:t xml:space="preserve">Asif, F., &amp; Khan, M. I. (2024, 06 03). Through the Looking Glass of Culture: Unravelling the Intentions Behind Green Hotel Visitation Using Hunt-Vitell Theory. </w:t>
      </w:r>
      <w:r>
        <w:rPr>
          <w:i/>
          <w:iCs/>
          <w:sz w:val="24"/>
          <w:szCs w:val="24"/>
        </w:rPr>
        <w:t>Migration Letter</w:t>
      </w:r>
      <w:r>
        <w:rPr>
          <w:sz w:val="24"/>
          <w:szCs w:val="24"/>
        </w:rPr>
        <w:t xml:space="preserve">, </w:t>
      </w:r>
      <w:r>
        <w:rPr>
          <w:i/>
          <w:iCs/>
          <w:sz w:val="24"/>
          <w:szCs w:val="24"/>
        </w:rPr>
        <w:t>21</w:t>
      </w:r>
      <w:r>
        <w:rPr>
          <w:sz w:val="24"/>
          <w:szCs w:val="24"/>
        </w:rPr>
        <w:t>(5), 988-1006.</w:t>
      </w:r>
      <w:hyperlink r:id="rId7">
        <w:r w:rsidR="00DE7FFB">
          <w:rPr>
            <w:color w:val="1155CC"/>
            <w:sz w:val="24"/>
            <w:szCs w:val="24"/>
            <w:u w:val="single"/>
          </w:rPr>
          <w:t xml:space="preserve"> https://migrationletters.com/index.php/ml/article/view/9452</w:t>
        </w:r>
      </w:hyperlink>
      <w:r>
        <w:rPr>
          <w:color w:val="1155CC"/>
          <w:sz w:val="24"/>
          <w:szCs w:val="24"/>
          <w:u w:val="single"/>
        </w:rPr>
        <w:t xml:space="preserve">  </w:t>
      </w:r>
    </w:p>
    <w:p w14:paraId="4C3BC3D9" w14:textId="77777777" w:rsidR="00DE7FFB" w:rsidRDefault="001A3F31">
      <w:pPr>
        <w:widowControl w:val="0"/>
        <w:spacing w:line="288" w:lineRule="auto"/>
        <w:ind w:firstLine="0"/>
        <w:rPr>
          <w:color w:val="1155CC"/>
          <w:sz w:val="24"/>
          <w:szCs w:val="24"/>
          <w:u w:val="single"/>
        </w:rPr>
      </w:pPr>
      <w:r>
        <w:rPr>
          <w:sz w:val="24"/>
          <w:szCs w:val="24"/>
        </w:rPr>
        <w:t xml:space="preserve">Behn, O., Wichmann, J., Leyer, M., &amp; Schilling, A. (2025, 01 30). Spillover effects in environmental behaviors: a scoping review about its antecedents, behaviors, and consequences. </w:t>
      </w:r>
      <w:r>
        <w:rPr>
          <w:i/>
          <w:iCs/>
          <w:sz w:val="24"/>
          <w:szCs w:val="24"/>
        </w:rPr>
        <w:t>Current Psychology</w:t>
      </w:r>
      <w:r>
        <w:rPr>
          <w:sz w:val="24"/>
          <w:szCs w:val="24"/>
        </w:rPr>
        <w:t>, 44, 3665 - 2689.</w:t>
      </w:r>
      <w:hyperlink r:id="rId8">
        <w:r w:rsidR="00DE7FFB">
          <w:rPr>
            <w:sz w:val="24"/>
            <w:szCs w:val="24"/>
          </w:rPr>
          <w:t xml:space="preserve"> </w:t>
        </w:r>
      </w:hyperlink>
      <w:hyperlink r:id="rId9">
        <w:r w:rsidR="00DE7FFB">
          <w:rPr>
            <w:color w:val="1155CC"/>
            <w:sz w:val="24"/>
            <w:szCs w:val="24"/>
            <w:u w:val="single"/>
          </w:rPr>
          <w:t>https://doi.org/10.1007/s12144-025-07431-9</w:t>
        </w:r>
      </w:hyperlink>
      <w:r>
        <w:rPr>
          <w:color w:val="1155CC"/>
          <w:sz w:val="24"/>
          <w:szCs w:val="24"/>
          <w:u w:val="single"/>
        </w:rPr>
        <w:t xml:space="preserve"> </w:t>
      </w:r>
    </w:p>
    <w:p w14:paraId="2BD545EF" w14:textId="77777777" w:rsidR="00DE7FFB" w:rsidRDefault="001A3F31">
      <w:pPr>
        <w:spacing w:line="288" w:lineRule="auto"/>
        <w:ind w:firstLine="0"/>
        <w:rPr>
          <w:color w:val="1155CC"/>
          <w:sz w:val="24"/>
          <w:szCs w:val="24"/>
          <w:u w:val="single"/>
        </w:rPr>
      </w:pPr>
      <w:r>
        <w:rPr>
          <w:sz w:val="24"/>
          <w:szCs w:val="24"/>
        </w:rPr>
        <w:t xml:space="preserve">Bouman, T., Verschoor, M., Albers, C. J., Böhm, G., Fisher, S. D., Poortinga, W., Whitmarsh, L., &amp; Steg, L. (2020). When worry about climate change leads to climate action: How values, </w:t>
      </w:r>
      <w:r>
        <w:rPr>
          <w:sz w:val="24"/>
          <w:szCs w:val="24"/>
        </w:rPr>
        <w:lastRenderedPageBreak/>
        <w:t xml:space="preserve">worry and personal responsibility relate to various climate actions. </w:t>
      </w:r>
      <w:r>
        <w:rPr>
          <w:i/>
          <w:iCs/>
          <w:sz w:val="24"/>
          <w:szCs w:val="24"/>
        </w:rPr>
        <w:t>Global Environmental Change, 62</w:t>
      </w:r>
      <w:r>
        <w:rPr>
          <w:sz w:val="24"/>
          <w:szCs w:val="24"/>
        </w:rPr>
        <w:t xml:space="preserve">, Article 102061. </w:t>
      </w:r>
      <w:hyperlink r:id="rId10">
        <w:r w:rsidR="00DE7FFB">
          <w:rPr>
            <w:color w:val="1155CC"/>
            <w:sz w:val="24"/>
            <w:szCs w:val="24"/>
            <w:highlight w:val="white"/>
            <w:u w:val="single"/>
          </w:rPr>
          <w:t>https://doi.org/10.1016/j.gloenvcha.2020.102061</w:t>
        </w:r>
      </w:hyperlink>
    </w:p>
    <w:p w14:paraId="2FE89D18" w14:textId="77777777" w:rsidR="00DE7FFB" w:rsidRDefault="001A3F31">
      <w:pPr>
        <w:widowControl w:val="0"/>
        <w:spacing w:line="288" w:lineRule="auto"/>
        <w:ind w:firstLine="0"/>
        <w:rPr>
          <w:color w:val="1F1F1F"/>
          <w:sz w:val="24"/>
          <w:szCs w:val="24"/>
          <w:u w:val="single"/>
        </w:rPr>
      </w:pPr>
      <w:r>
        <w:rPr>
          <w:sz w:val="24"/>
          <w:szCs w:val="24"/>
        </w:rPr>
        <w:t xml:space="preserve">Ferrell, O.C., &amp; Ferrell, L. (2023, 08 02). Trailblazing the path for marketing ethics: the profound influence of Shelby Hunt. </w:t>
      </w:r>
      <w:r>
        <w:rPr>
          <w:i/>
          <w:iCs/>
          <w:sz w:val="24"/>
          <w:szCs w:val="24"/>
        </w:rPr>
        <w:t>Journal of Marketing Management</w:t>
      </w:r>
      <w:r>
        <w:rPr>
          <w:sz w:val="24"/>
          <w:szCs w:val="24"/>
        </w:rPr>
        <w:t>, 40(13 - 14), 1174-1192.</w:t>
      </w:r>
      <w:r>
        <w:rPr>
          <w:color w:val="1155CC"/>
          <w:sz w:val="24"/>
          <w:szCs w:val="24"/>
          <w:u w:val="single"/>
        </w:rPr>
        <w:t xml:space="preserve"> </w:t>
      </w:r>
      <w:hyperlink r:id="rId11">
        <w:r w:rsidR="00DE7FFB">
          <w:rPr>
            <w:color w:val="1155CC"/>
            <w:sz w:val="24"/>
            <w:szCs w:val="24"/>
            <w:u w:val="single"/>
          </w:rPr>
          <w:t>https://doi.org/10.1080/0267257X.2023.2295273</w:t>
        </w:r>
      </w:hyperlink>
      <w:r>
        <w:rPr>
          <w:color w:val="1155CC"/>
          <w:sz w:val="24"/>
          <w:szCs w:val="24"/>
          <w:u w:val="single"/>
        </w:rPr>
        <w:t xml:space="preserve"> </w:t>
      </w:r>
    </w:p>
    <w:p w14:paraId="09DF6F33" w14:textId="25E11B5B" w:rsidR="00DE7FFB" w:rsidRDefault="001A3F31">
      <w:pPr>
        <w:spacing w:line="288" w:lineRule="auto"/>
        <w:ind w:firstLine="0"/>
        <w:rPr>
          <w:sz w:val="24"/>
          <w:szCs w:val="24"/>
        </w:rPr>
      </w:pPr>
      <w:r>
        <w:rPr>
          <w:color w:val="222222"/>
          <w:sz w:val="24"/>
          <w:szCs w:val="24"/>
          <w:highlight w:val="white"/>
        </w:rPr>
        <w:t>Hadler M. Haller M. (2011). Global activism and nationally driven recycling: the influence of world society and national contexts on public and private environmental behavior.</w:t>
      </w:r>
      <w:r>
        <w:rPr>
          <w:i/>
          <w:iCs/>
          <w:color w:val="222222"/>
          <w:sz w:val="24"/>
          <w:szCs w:val="24"/>
          <w:highlight w:val="white"/>
        </w:rPr>
        <w:t>Int. Sociol.</w:t>
      </w:r>
      <w:r>
        <w:rPr>
          <w:color w:val="222222"/>
          <w:sz w:val="24"/>
          <w:szCs w:val="24"/>
          <w:highlight w:val="white"/>
        </w:rPr>
        <w:t>26315</w:t>
      </w:r>
      <w:r w:rsidR="00833C42">
        <w:rPr>
          <w:color w:val="222222"/>
          <w:sz w:val="24"/>
          <w:szCs w:val="24"/>
          <w:highlight w:val="white"/>
        </w:rPr>
        <w:t>-</w:t>
      </w:r>
      <w:r>
        <w:rPr>
          <w:color w:val="222222"/>
          <w:sz w:val="24"/>
          <w:szCs w:val="24"/>
          <w:highlight w:val="white"/>
        </w:rPr>
        <w:t xml:space="preserve">345. </w:t>
      </w:r>
      <w:hyperlink r:id="rId12">
        <w:r w:rsidR="00DE7FFB">
          <w:rPr>
            <w:color w:val="1155CC"/>
            <w:sz w:val="24"/>
            <w:szCs w:val="24"/>
            <w:highlight w:val="white"/>
            <w:u w:val="single"/>
          </w:rPr>
          <w:t>10.1177/0268580910392258</w:t>
        </w:r>
      </w:hyperlink>
    </w:p>
    <w:p w14:paraId="5BB9A3F5" w14:textId="77777777" w:rsidR="00DE7FFB" w:rsidRDefault="001A3F31">
      <w:pPr>
        <w:widowControl w:val="0"/>
        <w:ind w:firstLine="0"/>
        <w:jc w:val="left"/>
        <w:rPr>
          <w:color w:val="1155CC"/>
          <w:sz w:val="24"/>
          <w:szCs w:val="24"/>
          <w:u w:val="single"/>
        </w:rPr>
      </w:pPr>
      <w:r>
        <w:rPr>
          <w:sz w:val="24"/>
          <w:szCs w:val="24"/>
        </w:rPr>
        <w:t xml:space="preserve">Kosstandiova, E. (2016). Sustainable Consumer Behavior: Literature Overview. </w:t>
      </w:r>
      <w:r>
        <w:rPr>
          <w:i/>
          <w:iCs/>
          <w:sz w:val="24"/>
          <w:szCs w:val="24"/>
        </w:rPr>
        <w:t>Economic Alternatives</w:t>
      </w:r>
      <w:r>
        <w:rPr>
          <w:sz w:val="24"/>
          <w:szCs w:val="24"/>
        </w:rPr>
        <w:t xml:space="preserve">, 2. </w:t>
      </w:r>
      <w:hyperlink r:id="rId13">
        <w:r w:rsidR="00DE7FFB">
          <w:rPr>
            <w:color w:val="1155CC"/>
            <w:sz w:val="24"/>
            <w:szCs w:val="24"/>
            <w:u w:val="single"/>
          </w:rPr>
          <w:t>https://www.researchgate.net/profile/Elena-Kostadinova-2/publication/299681081_Sustainable_consumer_behaviour_a_literature_review/links/626bd27c0df856128f86805b/Sustainable-consumer-behaviour-a-literature-review.pdf</w:t>
        </w:r>
      </w:hyperlink>
      <w:r>
        <w:rPr>
          <w:color w:val="1155CC"/>
          <w:sz w:val="24"/>
          <w:szCs w:val="24"/>
          <w:u w:val="single"/>
        </w:rPr>
        <w:t xml:space="preserve"> </w:t>
      </w:r>
    </w:p>
    <w:p w14:paraId="7BD3E330" w14:textId="47E339EA" w:rsidR="00DE7FFB" w:rsidRDefault="001A3F31">
      <w:pPr>
        <w:ind w:firstLine="0"/>
        <w:jc w:val="left"/>
        <w:rPr>
          <w:color w:val="1155CC"/>
          <w:sz w:val="24"/>
          <w:szCs w:val="24"/>
          <w:u w:val="single"/>
        </w:rPr>
      </w:pPr>
      <w:r>
        <w:rPr>
          <w:sz w:val="24"/>
          <w:szCs w:val="24"/>
        </w:rPr>
        <w:t xml:space="preserve">Miller, G. (2021). Negative emotional appeals: The effectiveness of fear and guilt communicative appeals on individuals’ pro-environmental behaviour and environmental concern to microplastic pollution. </w:t>
      </w:r>
      <w:r>
        <w:rPr>
          <w:i/>
          <w:iCs/>
          <w:sz w:val="24"/>
          <w:szCs w:val="24"/>
        </w:rPr>
        <w:t>The Plymouth Student Scientist, 14</w:t>
      </w:r>
      <w:r>
        <w:rPr>
          <w:sz w:val="24"/>
          <w:szCs w:val="24"/>
        </w:rPr>
        <w:t>(1), 600</w:t>
      </w:r>
      <w:r w:rsidR="00833C42">
        <w:rPr>
          <w:sz w:val="24"/>
          <w:szCs w:val="24"/>
        </w:rPr>
        <w:t>-</w:t>
      </w:r>
      <w:r>
        <w:rPr>
          <w:sz w:val="24"/>
          <w:szCs w:val="24"/>
        </w:rPr>
        <w:t xml:space="preserve">620. </w:t>
      </w:r>
      <w:hyperlink r:id="rId14">
        <w:r w:rsidR="00DE7FFB">
          <w:rPr>
            <w:color w:val="1155CC"/>
            <w:sz w:val="24"/>
            <w:szCs w:val="24"/>
            <w:highlight w:val="white"/>
            <w:u w:val="single"/>
          </w:rPr>
          <w:t>https://doi.org/10.24382/n16t-yz38</w:t>
        </w:r>
      </w:hyperlink>
    </w:p>
    <w:p w14:paraId="0ABFABF1" w14:textId="7331A743" w:rsidR="00DE7FFB" w:rsidRDefault="001A3F31">
      <w:pPr>
        <w:ind w:firstLine="0"/>
        <w:jc w:val="left"/>
        <w:rPr>
          <w:color w:val="0F1115"/>
          <w:sz w:val="24"/>
          <w:szCs w:val="24"/>
          <w:highlight w:val="white"/>
        </w:rPr>
      </w:pPr>
      <w:r>
        <w:rPr>
          <w:sz w:val="24"/>
          <w:szCs w:val="24"/>
        </w:rPr>
        <w:t xml:space="preserve">Ojala, M. (2011). Hope and climate change: The importance of hope for environmental engagement among young people. </w:t>
      </w:r>
      <w:r>
        <w:rPr>
          <w:i/>
          <w:iCs/>
          <w:sz w:val="24"/>
          <w:szCs w:val="24"/>
        </w:rPr>
        <w:t>Environmental Education Research,</w:t>
      </w:r>
      <w:r>
        <w:rPr>
          <w:sz w:val="24"/>
          <w:szCs w:val="24"/>
        </w:rPr>
        <w:t xml:space="preserve"> </w:t>
      </w:r>
      <w:r>
        <w:rPr>
          <w:i/>
          <w:iCs/>
          <w:sz w:val="24"/>
          <w:szCs w:val="24"/>
        </w:rPr>
        <w:t>18</w:t>
      </w:r>
      <w:r>
        <w:rPr>
          <w:sz w:val="24"/>
          <w:szCs w:val="24"/>
        </w:rPr>
        <w:t>(5), 625</w:t>
      </w:r>
      <w:r w:rsidR="00833C42">
        <w:rPr>
          <w:sz w:val="24"/>
          <w:szCs w:val="24"/>
        </w:rPr>
        <w:t>-</w:t>
      </w:r>
      <w:r>
        <w:rPr>
          <w:sz w:val="24"/>
          <w:szCs w:val="24"/>
        </w:rPr>
        <w:t xml:space="preserve">642. </w:t>
      </w:r>
      <w:hyperlink r:id="rId15">
        <w:r w:rsidR="00DE7FFB">
          <w:rPr>
            <w:color w:val="1155CC"/>
            <w:sz w:val="24"/>
            <w:szCs w:val="24"/>
            <w:highlight w:val="white"/>
            <w:u w:val="single"/>
          </w:rPr>
          <w:t>https://doi.org/10.1080/13504622.2011.637157</w:t>
        </w:r>
      </w:hyperlink>
    </w:p>
    <w:p w14:paraId="7633E7A2" w14:textId="77777777" w:rsidR="00DE7FFB" w:rsidRDefault="001A3F31">
      <w:pPr>
        <w:widowControl w:val="0"/>
        <w:spacing w:line="288" w:lineRule="auto"/>
        <w:ind w:firstLine="0"/>
        <w:rPr>
          <w:color w:val="0F1115"/>
          <w:sz w:val="24"/>
          <w:szCs w:val="24"/>
          <w:highlight w:val="white"/>
        </w:rPr>
      </w:pPr>
      <w:r>
        <w:rPr>
          <w:sz w:val="24"/>
          <w:szCs w:val="24"/>
        </w:rPr>
        <w:t xml:space="preserve">Rana, S., Shafi, F., &amp; Rasheed, A. (2024, 01 03). Online environmental platforms service and green consumer behavior nexus: a multi‑mediator study. </w:t>
      </w:r>
      <w:r>
        <w:rPr>
          <w:i/>
          <w:iCs/>
          <w:sz w:val="24"/>
          <w:szCs w:val="24"/>
        </w:rPr>
        <w:t>Future Business Journal</w:t>
      </w:r>
      <w:r>
        <w:rPr>
          <w:sz w:val="24"/>
          <w:szCs w:val="24"/>
        </w:rPr>
        <w:t>, 10(3).</w:t>
      </w:r>
      <w:hyperlink r:id="rId16">
        <w:r w:rsidR="00DE7FFB">
          <w:rPr>
            <w:color w:val="1155CC"/>
            <w:sz w:val="24"/>
            <w:szCs w:val="24"/>
            <w:u w:val="single"/>
          </w:rPr>
          <w:t>https://doi.org/10.1186/s43093-023-00283-4</w:t>
        </w:r>
      </w:hyperlink>
    </w:p>
    <w:p w14:paraId="404A1CB3" w14:textId="52EAACB3" w:rsidR="00DE7FFB" w:rsidRDefault="001A3F31">
      <w:pPr>
        <w:spacing w:line="288" w:lineRule="auto"/>
        <w:ind w:firstLine="0"/>
        <w:rPr>
          <w:sz w:val="24"/>
          <w:szCs w:val="24"/>
        </w:rPr>
      </w:pPr>
      <w:r>
        <w:rPr>
          <w:sz w:val="24"/>
          <w:szCs w:val="24"/>
        </w:rPr>
        <w:t xml:space="preserve">Steg, L., Bolderdijk, J. W., Keizer, K., &amp; Perlaviciute, G. (2014). An integrated framework for encouraging pro-environmental behaviour: The role of values, situational factors and goals. </w:t>
      </w:r>
      <w:r>
        <w:rPr>
          <w:i/>
          <w:iCs/>
          <w:sz w:val="24"/>
          <w:szCs w:val="24"/>
        </w:rPr>
        <w:t xml:space="preserve">Journal of Environmental Psychology, 38, </w:t>
      </w:r>
      <w:r>
        <w:rPr>
          <w:sz w:val="24"/>
          <w:szCs w:val="24"/>
        </w:rPr>
        <w:t>104</w:t>
      </w:r>
      <w:r w:rsidR="00833C42">
        <w:rPr>
          <w:sz w:val="24"/>
          <w:szCs w:val="24"/>
        </w:rPr>
        <w:t>-</w:t>
      </w:r>
      <w:r>
        <w:rPr>
          <w:sz w:val="24"/>
          <w:szCs w:val="24"/>
        </w:rPr>
        <w:t xml:space="preserve">115. </w:t>
      </w:r>
      <w:hyperlink r:id="rId17">
        <w:r w:rsidR="00DE7FFB">
          <w:rPr>
            <w:color w:val="1155CC"/>
            <w:sz w:val="24"/>
            <w:szCs w:val="24"/>
            <w:u w:val="single"/>
          </w:rPr>
          <w:t>https://doi.org/10.1016/j.jenvp.2014.01.002</w:t>
        </w:r>
      </w:hyperlink>
    </w:p>
    <w:p w14:paraId="763BD9C3" w14:textId="0FF03682" w:rsidR="00DE7FFB" w:rsidRDefault="001A3F31">
      <w:pPr>
        <w:spacing w:line="288" w:lineRule="auto"/>
        <w:ind w:firstLine="0"/>
        <w:rPr>
          <w:sz w:val="24"/>
          <w:szCs w:val="24"/>
        </w:rPr>
      </w:pPr>
      <w:r>
        <w:rPr>
          <w:sz w:val="24"/>
          <w:szCs w:val="24"/>
        </w:rPr>
        <w:t>Stern P. C. (2000). New environmental theories: toward a coherent theory of environmentally significant behavior.</w:t>
      </w:r>
      <w:r>
        <w:rPr>
          <w:i/>
          <w:iCs/>
          <w:sz w:val="24"/>
          <w:szCs w:val="24"/>
        </w:rPr>
        <w:t>J. Soc. Issues</w:t>
      </w:r>
      <w:r>
        <w:rPr>
          <w:sz w:val="24"/>
          <w:szCs w:val="24"/>
        </w:rPr>
        <w:t>56407</w:t>
      </w:r>
      <w:r w:rsidR="00833C42">
        <w:rPr>
          <w:sz w:val="24"/>
          <w:szCs w:val="24"/>
        </w:rPr>
        <w:t>-</w:t>
      </w:r>
      <w:r>
        <w:rPr>
          <w:sz w:val="24"/>
          <w:szCs w:val="24"/>
        </w:rPr>
        <w:t>424</w:t>
      </w:r>
      <w:r>
        <w:rPr>
          <w:sz w:val="24"/>
          <w:szCs w:val="24"/>
          <w:highlight w:val="white"/>
        </w:rPr>
        <w:t>.</w:t>
      </w:r>
      <w:r>
        <w:rPr>
          <w:color w:val="222222"/>
          <w:sz w:val="24"/>
          <w:szCs w:val="24"/>
          <w:highlight w:val="white"/>
        </w:rPr>
        <w:t xml:space="preserve"> </w:t>
      </w:r>
      <w:hyperlink r:id="rId18">
        <w:r w:rsidR="00DE7FFB">
          <w:rPr>
            <w:color w:val="1155CC"/>
            <w:sz w:val="24"/>
            <w:szCs w:val="24"/>
            <w:highlight w:val="white"/>
            <w:u w:val="single"/>
          </w:rPr>
          <w:t>10.1111/0022-4537.00175</w:t>
        </w:r>
      </w:hyperlink>
    </w:p>
    <w:p w14:paraId="711E0CC4" w14:textId="77777777" w:rsidR="00DE7FFB" w:rsidRDefault="001A3F31">
      <w:pPr>
        <w:spacing w:line="288" w:lineRule="auto"/>
        <w:ind w:firstLine="0"/>
        <w:rPr>
          <w:color w:val="1155CC"/>
          <w:sz w:val="24"/>
          <w:szCs w:val="24"/>
          <w:u w:val="single"/>
        </w:rPr>
      </w:pPr>
      <w:r>
        <w:rPr>
          <w:sz w:val="24"/>
          <w:szCs w:val="24"/>
        </w:rPr>
        <w:t xml:space="preserve">Siregar, H. F. M. (2024). Exploring the relationship between media use and resilience in the context of green communities. </w:t>
      </w:r>
      <w:r>
        <w:rPr>
          <w:i/>
          <w:iCs/>
          <w:sz w:val="24"/>
          <w:szCs w:val="24"/>
        </w:rPr>
        <w:t>IOP Conference Series: Earth and Environmental Science, 1404</w:t>
      </w:r>
      <w:r>
        <w:rPr>
          <w:sz w:val="24"/>
          <w:szCs w:val="24"/>
        </w:rPr>
        <w:t xml:space="preserve">(1), 012045. </w:t>
      </w:r>
      <w:hyperlink r:id="rId19">
        <w:r w:rsidR="00DE7FFB">
          <w:rPr>
            <w:color w:val="1155CC"/>
            <w:sz w:val="24"/>
            <w:szCs w:val="24"/>
            <w:u w:val="single"/>
          </w:rPr>
          <w:t>https://doi.org/10.1088/1755-1315/1404/1/012045</w:t>
        </w:r>
      </w:hyperlink>
    </w:p>
    <w:p w14:paraId="28DCB005" w14:textId="77777777" w:rsidR="00DE7FFB" w:rsidRDefault="001A3F31">
      <w:pPr>
        <w:spacing w:line="288" w:lineRule="auto"/>
        <w:ind w:firstLine="0"/>
        <w:rPr>
          <w:sz w:val="24"/>
          <w:szCs w:val="24"/>
          <w:highlight w:val="white"/>
        </w:rPr>
      </w:pPr>
      <w:r>
        <w:rPr>
          <w:sz w:val="24"/>
          <w:szCs w:val="24"/>
          <w:highlight w:val="white"/>
        </w:rPr>
        <w:t>Shipley, N. J., &amp; van Riper, C. J. (2022)</w:t>
      </w:r>
      <w:r>
        <w:rPr>
          <w:sz w:val="24"/>
          <w:szCs w:val="24"/>
        </w:rPr>
        <w:t xml:space="preserve">. Pride and guilt predict pro-environmental behavior: A meta-analysis of correlational and experimental evidence. </w:t>
      </w:r>
      <w:r>
        <w:rPr>
          <w:i/>
          <w:iCs/>
          <w:sz w:val="24"/>
          <w:szCs w:val="24"/>
        </w:rPr>
        <w:t>Journal of Environmental Psychology, 79</w:t>
      </w:r>
      <w:r>
        <w:rPr>
          <w:sz w:val="24"/>
          <w:szCs w:val="24"/>
        </w:rPr>
        <w:t xml:space="preserve">, Article 101753. </w:t>
      </w:r>
      <w:hyperlink r:id="rId20">
        <w:r w:rsidR="00DE7FFB">
          <w:rPr>
            <w:color w:val="1155CC"/>
            <w:sz w:val="24"/>
            <w:szCs w:val="24"/>
            <w:highlight w:val="white"/>
            <w:u w:val="single"/>
          </w:rPr>
          <w:t>https://doi.org/10.1016/j.jenvp.2021.101753</w:t>
        </w:r>
      </w:hyperlink>
    </w:p>
    <w:p w14:paraId="35596A30" w14:textId="0D67C6C9" w:rsidR="00DE7FFB" w:rsidRDefault="001A3F31">
      <w:pPr>
        <w:spacing w:line="288" w:lineRule="auto"/>
        <w:ind w:firstLine="0"/>
        <w:rPr>
          <w:color w:val="1155CC"/>
          <w:sz w:val="24"/>
          <w:szCs w:val="24"/>
          <w:u w:val="single"/>
        </w:rPr>
      </w:pPr>
      <w:r>
        <w:rPr>
          <w:sz w:val="24"/>
          <w:szCs w:val="24"/>
          <w:highlight w:val="white"/>
        </w:rPr>
        <w:t xml:space="preserve">Truelove, Heather Barnes; Carrico, Amanda R.; Weber, Elke U.; Raimi, Kaitlin Toner; Vandenbergh, Michael P. (2014). </w:t>
      </w:r>
      <w:r>
        <w:rPr>
          <w:sz w:val="24"/>
          <w:szCs w:val="24"/>
        </w:rPr>
        <w:t xml:space="preserve">Positive and negative spillover of pro-environmental </w:t>
      </w:r>
      <w:r>
        <w:rPr>
          <w:sz w:val="24"/>
          <w:szCs w:val="24"/>
        </w:rPr>
        <w:lastRenderedPageBreak/>
        <w:t>behavior: An integrative review and theoretical framework.</w:t>
      </w:r>
      <w:r>
        <w:rPr>
          <w:i/>
          <w:iCs/>
          <w:sz w:val="24"/>
          <w:szCs w:val="24"/>
        </w:rPr>
        <w:t xml:space="preserve"> Global Environmental Change, 29(), 127</w:t>
      </w:r>
      <w:r w:rsidR="00833C42">
        <w:rPr>
          <w:i/>
          <w:iCs/>
          <w:sz w:val="24"/>
          <w:szCs w:val="24"/>
        </w:rPr>
        <w:t>-</w:t>
      </w:r>
      <w:r>
        <w:rPr>
          <w:i/>
          <w:iCs/>
          <w:sz w:val="24"/>
          <w:szCs w:val="24"/>
        </w:rPr>
        <w:t xml:space="preserve">138. </w:t>
      </w:r>
      <w:hyperlink r:id="rId21">
        <w:r w:rsidR="00DE7FFB">
          <w:rPr>
            <w:color w:val="1155CC"/>
            <w:sz w:val="24"/>
            <w:szCs w:val="24"/>
            <w:u w:val="single"/>
          </w:rPr>
          <w:t>https://doi.org/10.1016/J.GLOENVCHA.2014.09.004</w:t>
        </w:r>
      </w:hyperlink>
    </w:p>
    <w:p w14:paraId="424B7A05" w14:textId="77777777" w:rsidR="00DE7FFB" w:rsidRDefault="001A3F31">
      <w:pPr>
        <w:widowControl w:val="0"/>
        <w:spacing w:line="288" w:lineRule="auto"/>
        <w:ind w:firstLine="0"/>
        <w:rPr>
          <w:color w:val="1155CC"/>
          <w:sz w:val="24"/>
          <w:szCs w:val="24"/>
          <w:u w:val="single"/>
        </w:rPr>
      </w:pPr>
      <w:r>
        <w:rPr>
          <w:sz w:val="24"/>
          <w:szCs w:val="24"/>
        </w:rPr>
        <w:t xml:space="preserve">Vitell, S. J., &amp; Ho, F. N. (1997, 05). Ethical Decision Making in Marketing: A Synthesis and Evaluation of Scales Measuring the Various Components of Decision Making in Ethical Situations. </w:t>
      </w:r>
      <w:r>
        <w:rPr>
          <w:i/>
          <w:iCs/>
          <w:sz w:val="24"/>
          <w:szCs w:val="24"/>
        </w:rPr>
        <w:t>Journal of Business Ethics</w:t>
      </w:r>
      <w:r>
        <w:rPr>
          <w:sz w:val="24"/>
          <w:szCs w:val="24"/>
        </w:rPr>
        <w:t>, 16, 699 - 717.</w:t>
      </w:r>
      <w:hyperlink r:id="rId22">
        <w:r w:rsidR="00DE7FFB">
          <w:rPr>
            <w:sz w:val="24"/>
            <w:szCs w:val="24"/>
          </w:rPr>
          <w:t xml:space="preserve"> </w:t>
        </w:r>
      </w:hyperlink>
      <w:hyperlink r:id="rId23">
        <w:r w:rsidR="00DE7FFB">
          <w:rPr>
            <w:color w:val="1155CC"/>
            <w:sz w:val="24"/>
            <w:szCs w:val="24"/>
            <w:u w:val="single"/>
          </w:rPr>
          <w:t>https://doi.org/10.1023/A:1017985121114</w:t>
        </w:r>
      </w:hyperlink>
      <w:r>
        <w:rPr>
          <w:color w:val="1155CC"/>
          <w:sz w:val="24"/>
          <w:szCs w:val="24"/>
          <w:u w:val="single"/>
        </w:rPr>
        <w:t xml:space="preserve"> </w:t>
      </w:r>
    </w:p>
    <w:p w14:paraId="6494EFB3" w14:textId="6141D147" w:rsidR="00DE7FFB" w:rsidRDefault="001A3F31">
      <w:pPr>
        <w:widowControl w:val="0"/>
        <w:ind w:firstLine="0"/>
        <w:jc w:val="left"/>
        <w:rPr>
          <w:color w:val="1155CC"/>
          <w:sz w:val="24"/>
          <w:szCs w:val="24"/>
          <w:u w:val="single"/>
        </w:rPr>
      </w:pPr>
      <w:r>
        <w:rPr>
          <w:sz w:val="24"/>
          <w:szCs w:val="24"/>
        </w:rPr>
        <w:t>Vermillion, L. J., Lassar, W. M., &amp; Winsor, R. D. (2002, 12). The Hunt</w:t>
      </w:r>
      <w:r w:rsidR="00833C42">
        <w:rPr>
          <w:sz w:val="24"/>
          <w:szCs w:val="24"/>
        </w:rPr>
        <w:t>-</w:t>
      </w:r>
      <w:r>
        <w:rPr>
          <w:sz w:val="24"/>
          <w:szCs w:val="24"/>
        </w:rPr>
        <w:t xml:space="preserve">Vitell General Theory of Marketing Ethics: Can it Enhance our Understanding of Principal-Agent Relationships in Channels of Distribution? </w:t>
      </w:r>
      <w:r>
        <w:rPr>
          <w:i/>
          <w:iCs/>
          <w:sz w:val="24"/>
          <w:szCs w:val="24"/>
        </w:rPr>
        <w:t>Journal of Business Ethics</w:t>
      </w:r>
      <w:r>
        <w:rPr>
          <w:sz w:val="24"/>
          <w:szCs w:val="24"/>
        </w:rPr>
        <w:t>, 41, 267 - 285.</w:t>
      </w:r>
      <w:hyperlink r:id="rId24">
        <w:r w:rsidR="00DE7FFB">
          <w:rPr>
            <w:sz w:val="24"/>
            <w:szCs w:val="24"/>
          </w:rPr>
          <w:t xml:space="preserve"> </w:t>
        </w:r>
      </w:hyperlink>
      <w:hyperlink r:id="rId25">
        <w:r w:rsidR="00DE7FFB">
          <w:rPr>
            <w:color w:val="1155CC"/>
            <w:sz w:val="24"/>
            <w:szCs w:val="24"/>
            <w:u w:val="single"/>
          </w:rPr>
          <w:t>https://doi.org/10.1023/A:1021284922440</w:t>
        </w:r>
      </w:hyperlink>
      <w:r>
        <w:rPr>
          <w:color w:val="1155CC"/>
          <w:sz w:val="24"/>
          <w:szCs w:val="24"/>
          <w:u w:val="single"/>
        </w:rPr>
        <w:t xml:space="preserve"> </w:t>
      </w:r>
    </w:p>
    <w:p w14:paraId="40BC96B8" w14:textId="77777777" w:rsidR="00DE7FFB" w:rsidRDefault="001A3F31">
      <w:pPr>
        <w:widowControl w:val="0"/>
        <w:spacing w:line="288" w:lineRule="auto"/>
        <w:ind w:firstLine="0"/>
        <w:rPr>
          <w:color w:val="1155CC"/>
          <w:sz w:val="24"/>
          <w:szCs w:val="24"/>
          <w:u w:val="single"/>
        </w:rPr>
      </w:pPr>
      <w:r>
        <w:rPr>
          <w:sz w:val="24"/>
          <w:szCs w:val="24"/>
        </w:rPr>
        <w:t xml:space="preserve">Wang, J., Wang, X., Xi, Y., &amp; He, Z. (2022, 05). Is Green Spread? The Spillover Effect of Community Green Interaction on Related Green Purchase Behavior. </w:t>
      </w:r>
      <w:r>
        <w:rPr>
          <w:i/>
          <w:iCs/>
          <w:sz w:val="24"/>
          <w:szCs w:val="24"/>
        </w:rPr>
        <w:t>International Journal of Environmental Research and Public Health</w:t>
      </w:r>
      <w:r>
        <w:rPr>
          <w:sz w:val="24"/>
          <w:szCs w:val="24"/>
        </w:rPr>
        <w:t xml:space="preserve">, 19(11), 6571. </w:t>
      </w:r>
      <w:r>
        <w:rPr>
          <w:color w:val="1155CC"/>
          <w:sz w:val="24"/>
          <w:szCs w:val="24"/>
          <w:u w:val="single"/>
        </w:rPr>
        <w:t>10.3390/ijerph19116571</w:t>
      </w:r>
    </w:p>
    <w:p w14:paraId="1DEEF1E1" w14:textId="77777777" w:rsidR="00DE7FFB" w:rsidRDefault="001A3F31">
      <w:pPr>
        <w:spacing w:line="288" w:lineRule="auto"/>
        <w:ind w:firstLine="0"/>
        <w:rPr>
          <w:color w:val="222222"/>
          <w:sz w:val="24"/>
          <w:szCs w:val="24"/>
          <w:highlight w:val="white"/>
        </w:rPr>
      </w:pPr>
      <w:r>
        <w:rPr>
          <w:color w:val="222222"/>
          <w:sz w:val="24"/>
          <w:szCs w:val="24"/>
          <w:highlight w:val="white"/>
        </w:rPr>
        <w:t>WanQ. Y. DuW. C. (2022). Social Capital, Environmental Knowledge, and Pro-Environmental Behavior.</w:t>
      </w:r>
      <w:r>
        <w:rPr>
          <w:i/>
          <w:iCs/>
          <w:color w:val="222222"/>
          <w:sz w:val="24"/>
          <w:szCs w:val="24"/>
          <w:highlight w:val="white"/>
        </w:rPr>
        <w:t>Int. J. Environ. Res. Public Health</w:t>
      </w:r>
      <w:r>
        <w:rPr>
          <w:color w:val="222222"/>
          <w:sz w:val="24"/>
          <w:szCs w:val="24"/>
          <w:highlight w:val="white"/>
        </w:rPr>
        <w:t xml:space="preserve">19:1443. </w:t>
      </w:r>
      <w:hyperlink r:id="rId26">
        <w:r w:rsidR="00DE7FFB">
          <w:rPr>
            <w:color w:val="1155CC"/>
            <w:sz w:val="24"/>
            <w:szCs w:val="24"/>
            <w:highlight w:val="white"/>
            <w:u w:val="single"/>
          </w:rPr>
          <w:t>https://doi.org/10.3390/ijerph19031443</w:t>
        </w:r>
      </w:hyperlink>
    </w:p>
    <w:p w14:paraId="72C200D4" w14:textId="77777777" w:rsidR="00DE7FFB" w:rsidRDefault="001A3F31">
      <w:pPr>
        <w:spacing w:line="288" w:lineRule="auto"/>
        <w:ind w:firstLine="0"/>
        <w:rPr>
          <w:color w:val="1155CC"/>
          <w:sz w:val="24"/>
          <w:szCs w:val="24"/>
          <w:u w:val="single"/>
        </w:rPr>
      </w:pPr>
      <w:r>
        <w:rPr>
          <w:sz w:val="24"/>
          <w:szCs w:val="24"/>
        </w:rPr>
        <w:t xml:space="preserve">Yu, C.-C., &amp; Lu, C. (2023). Reassessing the Impact of Fear Appeals in Sustainable Consumption Communication: An Investigation into Message Types and Message Foci. </w:t>
      </w:r>
      <w:r>
        <w:rPr>
          <w:i/>
          <w:iCs/>
          <w:sz w:val="24"/>
          <w:szCs w:val="24"/>
        </w:rPr>
        <w:t>Sustainability</w:t>
      </w:r>
      <w:r>
        <w:rPr>
          <w:sz w:val="24"/>
          <w:szCs w:val="24"/>
        </w:rPr>
        <w:t xml:space="preserve">, </w:t>
      </w:r>
      <w:r>
        <w:rPr>
          <w:i/>
          <w:iCs/>
          <w:sz w:val="24"/>
          <w:szCs w:val="24"/>
        </w:rPr>
        <w:t>15</w:t>
      </w:r>
      <w:r>
        <w:rPr>
          <w:sz w:val="24"/>
          <w:szCs w:val="24"/>
        </w:rPr>
        <w:t>(23), 16442.</w:t>
      </w:r>
      <w:r>
        <w:rPr>
          <w:color w:val="222222"/>
          <w:sz w:val="24"/>
          <w:szCs w:val="24"/>
          <w:highlight w:val="white"/>
        </w:rPr>
        <w:t xml:space="preserve"> </w:t>
      </w:r>
      <w:hyperlink r:id="rId27">
        <w:r w:rsidR="00DE7FFB">
          <w:rPr>
            <w:color w:val="1155CC"/>
            <w:sz w:val="24"/>
            <w:szCs w:val="24"/>
            <w:highlight w:val="white"/>
            <w:u w:val="single"/>
          </w:rPr>
          <w:t>https://doi.org/10.3390/su152316442</w:t>
        </w:r>
      </w:hyperlink>
    </w:p>
    <w:p w14:paraId="17A6B8C8" w14:textId="35067CD7" w:rsidR="00DE7FFB" w:rsidRDefault="001A3F31">
      <w:pPr>
        <w:spacing w:line="288" w:lineRule="auto"/>
        <w:ind w:firstLine="0"/>
        <w:rPr>
          <w:sz w:val="24"/>
          <w:szCs w:val="24"/>
        </w:rPr>
      </w:pPr>
      <w:r>
        <w:rPr>
          <w:sz w:val="24"/>
          <w:szCs w:val="24"/>
        </w:rPr>
        <w:t xml:space="preserve">Zafar, A. U., Shen, J., Shahzad, M., &amp; Islam, T. (2021). Relation of impulsive urges and sustainable purchase decisions in the personalized environment of social media. </w:t>
      </w:r>
      <w:r>
        <w:rPr>
          <w:i/>
          <w:iCs/>
          <w:sz w:val="24"/>
          <w:szCs w:val="24"/>
        </w:rPr>
        <w:t xml:space="preserve">Sustainable Production and Consumption, 25, </w:t>
      </w:r>
      <w:r>
        <w:rPr>
          <w:sz w:val="24"/>
          <w:szCs w:val="24"/>
        </w:rPr>
        <w:t>591</w:t>
      </w:r>
      <w:r w:rsidR="00833C42">
        <w:rPr>
          <w:sz w:val="24"/>
          <w:szCs w:val="24"/>
        </w:rPr>
        <w:t>-</w:t>
      </w:r>
      <w:r>
        <w:rPr>
          <w:sz w:val="24"/>
          <w:szCs w:val="24"/>
        </w:rPr>
        <w:t xml:space="preserve">603. </w:t>
      </w:r>
      <w:hyperlink r:id="rId28">
        <w:r w:rsidR="00DE7FFB">
          <w:rPr>
            <w:color w:val="1155CC"/>
            <w:sz w:val="24"/>
            <w:szCs w:val="24"/>
            <w:u w:val="single"/>
          </w:rPr>
          <w:t>https://doi.org/10.1016/j.spc.2020.11.020</w:t>
        </w:r>
      </w:hyperlink>
    </w:p>
    <w:p w14:paraId="720B9C8E" w14:textId="77777777" w:rsidR="00DE7FFB" w:rsidRDefault="00DE7FFB">
      <w:pPr>
        <w:ind w:firstLine="0"/>
        <w:rPr>
          <w:sz w:val="24"/>
          <w:szCs w:val="24"/>
        </w:rPr>
      </w:pPr>
    </w:p>
    <w:p w14:paraId="73AA7DAA" w14:textId="1A4C6381" w:rsidR="00933CA0" w:rsidRPr="00933CA0" w:rsidRDefault="00933CA0" w:rsidP="00933CA0">
      <w:pPr>
        <w:rPr>
          <w:sz w:val="24"/>
          <w:szCs w:val="24"/>
        </w:rPr>
      </w:pPr>
      <w:r w:rsidRPr="00933CA0">
        <w:rPr>
          <w:sz w:val="24"/>
          <w:szCs w:val="24"/>
        </w:rPr>
        <w:t xml:space="preserve">Ngày nhận bài: </w:t>
      </w:r>
      <w:r w:rsidR="001A3F31">
        <w:rPr>
          <w:sz w:val="24"/>
          <w:szCs w:val="24"/>
          <w:lang w:val="vi-VN"/>
        </w:rPr>
        <w:t>2</w:t>
      </w:r>
      <w:r w:rsidRPr="00933CA0">
        <w:rPr>
          <w:sz w:val="24"/>
          <w:szCs w:val="24"/>
        </w:rPr>
        <w:t>/</w:t>
      </w:r>
      <w:r w:rsidR="001A3F31">
        <w:rPr>
          <w:sz w:val="24"/>
          <w:szCs w:val="24"/>
          <w:lang w:val="vi-VN"/>
        </w:rPr>
        <w:t>2</w:t>
      </w:r>
      <w:r w:rsidRPr="00933CA0">
        <w:rPr>
          <w:sz w:val="24"/>
          <w:szCs w:val="24"/>
        </w:rPr>
        <w:t>/2026</w:t>
      </w:r>
    </w:p>
    <w:p w14:paraId="6EA3D505" w14:textId="1F64F9A0" w:rsidR="00933CA0" w:rsidRPr="00933CA0" w:rsidRDefault="00933CA0" w:rsidP="00933CA0">
      <w:pPr>
        <w:rPr>
          <w:sz w:val="24"/>
          <w:szCs w:val="24"/>
        </w:rPr>
      </w:pPr>
      <w:r w:rsidRPr="00933CA0">
        <w:rPr>
          <w:sz w:val="24"/>
          <w:szCs w:val="24"/>
        </w:rPr>
        <w:t xml:space="preserve">Ngày phản biện đánh giá và sửa chữa: </w:t>
      </w:r>
      <w:r w:rsidRPr="00790738">
        <w:rPr>
          <w:sz w:val="24"/>
          <w:szCs w:val="24"/>
        </w:rPr>
        <w:t>1</w:t>
      </w:r>
      <w:r w:rsidR="001A3F31">
        <w:rPr>
          <w:sz w:val="24"/>
          <w:szCs w:val="24"/>
          <w:lang w:val="vi-VN"/>
        </w:rPr>
        <w:t>0</w:t>
      </w:r>
      <w:r w:rsidRPr="00933CA0">
        <w:rPr>
          <w:sz w:val="24"/>
          <w:szCs w:val="24"/>
        </w:rPr>
        <w:t>/</w:t>
      </w:r>
      <w:r w:rsidR="001A3F31">
        <w:rPr>
          <w:sz w:val="24"/>
          <w:szCs w:val="24"/>
          <w:lang w:val="vi-VN"/>
        </w:rPr>
        <w:t>2</w:t>
      </w:r>
      <w:r w:rsidRPr="00933CA0">
        <w:rPr>
          <w:sz w:val="24"/>
          <w:szCs w:val="24"/>
        </w:rPr>
        <w:t>/2026</w:t>
      </w:r>
    </w:p>
    <w:p w14:paraId="4281F3DD" w14:textId="7FC92765" w:rsidR="00DE7FFB" w:rsidRPr="00790738" w:rsidRDefault="00933CA0" w:rsidP="00933CA0">
      <w:pPr>
        <w:rPr>
          <w:sz w:val="24"/>
          <w:szCs w:val="24"/>
        </w:rPr>
      </w:pPr>
      <w:r w:rsidRPr="00933CA0">
        <w:rPr>
          <w:sz w:val="24"/>
          <w:szCs w:val="24"/>
        </w:rPr>
        <w:t xml:space="preserve">Ngày chấp nhận đăng bài: </w:t>
      </w:r>
      <w:r w:rsidRPr="00790738">
        <w:rPr>
          <w:sz w:val="24"/>
          <w:szCs w:val="24"/>
        </w:rPr>
        <w:t>8</w:t>
      </w:r>
      <w:r w:rsidRPr="00933CA0">
        <w:rPr>
          <w:sz w:val="24"/>
          <w:szCs w:val="24"/>
        </w:rPr>
        <w:t>/3/2026</w:t>
      </w:r>
    </w:p>
    <w:p w14:paraId="35B9F2FC" w14:textId="77777777" w:rsidR="0021565E" w:rsidRPr="00790738" w:rsidRDefault="0021565E" w:rsidP="0021565E">
      <w:pPr>
        <w:rPr>
          <w:b/>
          <w:bCs/>
          <w:sz w:val="32"/>
          <w:szCs w:val="32"/>
        </w:rPr>
      </w:pPr>
    </w:p>
    <w:p w14:paraId="3DFBE433" w14:textId="0708B2B8" w:rsidR="00E23BB6" w:rsidRPr="00790738" w:rsidRDefault="003B7D7B">
      <w:pPr>
        <w:rPr>
          <w:lang w:val="en-US"/>
        </w:rPr>
      </w:pPr>
      <w:r w:rsidRPr="00790738">
        <w:rPr>
          <w:b/>
          <w:bCs/>
        </w:rPr>
        <w:t xml:space="preserve">Spillover </w:t>
      </w:r>
      <w:r w:rsidR="00D84279" w:rsidRPr="00D84279">
        <w:rPr>
          <w:b/>
          <w:bCs/>
        </w:rPr>
        <w:t>effects of online green behavior on real-world green consumption among youth</w:t>
      </w:r>
    </w:p>
    <w:p w14:paraId="1341B66B" w14:textId="41C87538" w:rsidR="00131B56" w:rsidRPr="00790738" w:rsidRDefault="00131B56" w:rsidP="00131B56">
      <w:pPr>
        <w:rPr>
          <w:sz w:val="24"/>
          <w:szCs w:val="24"/>
          <w:vertAlign w:val="superscript"/>
          <w:lang w:val="en-US"/>
        </w:rPr>
      </w:pPr>
      <w:r w:rsidRPr="00131B56">
        <w:rPr>
          <w:sz w:val="24"/>
          <w:szCs w:val="24"/>
        </w:rPr>
        <w:t>Hoang Phuong Dung</w:t>
      </w:r>
      <w:r w:rsidR="007E471F">
        <w:rPr>
          <w:sz w:val="24"/>
          <w:szCs w:val="24"/>
          <w:vertAlign w:val="superscript"/>
          <w:lang w:val="en-US"/>
        </w:rPr>
        <w:t>1</w:t>
      </w:r>
    </w:p>
    <w:p w14:paraId="5AFFD600" w14:textId="7B7C254A" w:rsidR="00131B56" w:rsidRPr="00790738" w:rsidRDefault="00131B56" w:rsidP="00131B56">
      <w:pPr>
        <w:rPr>
          <w:sz w:val="24"/>
          <w:szCs w:val="24"/>
          <w:vertAlign w:val="superscript"/>
          <w:lang w:val="en-US"/>
        </w:rPr>
      </w:pPr>
      <w:r w:rsidRPr="00131B56">
        <w:rPr>
          <w:sz w:val="24"/>
          <w:szCs w:val="24"/>
        </w:rPr>
        <w:t>Dinh Ngoc Diem Quyen</w:t>
      </w:r>
      <w:r w:rsidR="007E471F">
        <w:rPr>
          <w:sz w:val="24"/>
          <w:szCs w:val="24"/>
          <w:vertAlign w:val="superscript"/>
          <w:lang w:val="en-US"/>
        </w:rPr>
        <w:t>2</w:t>
      </w:r>
    </w:p>
    <w:p w14:paraId="23C1A182" w14:textId="6D16B669" w:rsidR="00131B56" w:rsidRPr="00790738" w:rsidRDefault="00131B56" w:rsidP="00131B56">
      <w:pPr>
        <w:rPr>
          <w:sz w:val="24"/>
          <w:szCs w:val="24"/>
          <w:vertAlign w:val="superscript"/>
          <w:lang w:val="en-US"/>
        </w:rPr>
      </w:pPr>
      <w:r w:rsidRPr="00131B56">
        <w:rPr>
          <w:sz w:val="24"/>
          <w:szCs w:val="24"/>
        </w:rPr>
        <w:t>Pham Thuy Quynh</w:t>
      </w:r>
      <w:r w:rsidR="007E471F">
        <w:rPr>
          <w:sz w:val="24"/>
          <w:szCs w:val="24"/>
          <w:vertAlign w:val="superscript"/>
          <w:lang w:val="en-US"/>
        </w:rPr>
        <w:t>2</w:t>
      </w:r>
    </w:p>
    <w:p w14:paraId="565DB418" w14:textId="673AA21A" w:rsidR="00131B56" w:rsidRPr="00790738" w:rsidRDefault="00131B56" w:rsidP="00131B56">
      <w:pPr>
        <w:rPr>
          <w:sz w:val="24"/>
          <w:szCs w:val="24"/>
          <w:vertAlign w:val="superscript"/>
          <w:lang w:val="en-US"/>
        </w:rPr>
      </w:pPr>
      <w:r w:rsidRPr="00131B56">
        <w:rPr>
          <w:sz w:val="24"/>
          <w:szCs w:val="24"/>
        </w:rPr>
        <w:t>Phan Ngoc Han</w:t>
      </w:r>
      <w:r w:rsidR="007E471F">
        <w:rPr>
          <w:sz w:val="24"/>
          <w:szCs w:val="24"/>
          <w:vertAlign w:val="superscript"/>
          <w:lang w:val="en-US"/>
        </w:rPr>
        <w:t>2</w:t>
      </w:r>
    </w:p>
    <w:p w14:paraId="63D2DB93" w14:textId="5CD35A7E" w:rsidR="00131B56" w:rsidRPr="00790738" w:rsidRDefault="00131B56" w:rsidP="00131B56">
      <w:pPr>
        <w:rPr>
          <w:sz w:val="24"/>
          <w:szCs w:val="24"/>
          <w:vertAlign w:val="superscript"/>
          <w:lang w:val="en-US"/>
        </w:rPr>
      </w:pPr>
      <w:r w:rsidRPr="00131B56">
        <w:rPr>
          <w:sz w:val="24"/>
          <w:szCs w:val="24"/>
        </w:rPr>
        <w:t>Nguyen Tien Thang</w:t>
      </w:r>
      <w:r w:rsidR="007E471F">
        <w:rPr>
          <w:sz w:val="24"/>
          <w:szCs w:val="24"/>
          <w:vertAlign w:val="superscript"/>
          <w:lang w:val="en-US"/>
        </w:rPr>
        <w:t>2</w:t>
      </w:r>
    </w:p>
    <w:p w14:paraId="2B3E94F5" w14:textId="31A82538" w:rsidR="00131B56" w:rsidRPr="00790738" w:rsidRDefault="00131B56" w:rsidP="00131B56">
      <w:pPr>
        <w:rPr>
          <w:sz w:val="24"/>
          <w:szCs w:val="24"/>
          <w:vertAlign w:val="superscript"/>
          <w:lang w:val="en-US"/>
        </w:rPr>
      </w:pPr>
      <w:r w:rsidRPr="00131B56">
        <w:rPr>
          <w:sz w:val="24"/>
          <w:szCs w:val="24"/>
        </w:rPr>
        <w:lastRenderedPageBreak/>
        <w:t>Nguyen Xuan Thinh</w:t>
      </w:r>
      <w:r w:rsidR="007E471F">
        <w:rPr>
          <w:sz w:val="24"/>
          <w:szCs w:val="24"/>
          <w:vertAlign w:val="superscript"/>
          <w:lang w:val="en-US"/>
        </w:rPr>
        <w:t>2</w:t>
      </w:r>
    </w:p>
    <w:p w14:paraId="1AE54CD4" w14:textId="15B9F24C" w:rsidR="00131B56" w:rsidRPr="00131B56" w:rsidRDefault="007E471F" w:rsidP="00131B56">
      <w:pPr>
        <w:rPr>
          <w:sz w:val="24"/>
          <w:szCs w:val="24"/>
        </w:rPr>
      </w:pPr>
      <w:r>
        <w:rPr>
          <w:sz w:val="24"/>
          <w:szCs w:val="24"/>
          <w:vertAlign w:val="superscript"/>
          <w:lang w:val="en-US"/>
        </w:rPr>
        <w:t>1</w:t>
      </w:r>
      <w:r w:rsidR="00131B56" w:rsidRPr="00131B56">
        <w:rPr>
          <w:sz w:val="24"/>
          <w:szCs w:val="24"/>
        </w:rPr>
        <w:t>Lecturer, National Economics University</w:t>
      </w:r>
    </w:p>
    <w:p w14:paraId="2CD6FB53" w14:textId="743308C9" w:rsidR="00E23BB6" w:rsidRDefault="007E471F" w:rsidP="00131B56">
      <w:pPr>
        <w:rPr>
          <w:sz w:val="24"/>
          <w:szCs w:val="24"/>
          <w:lang w:val="en-US"/>
        </w:rPr>
      </w:pPr>
      <w:r>
        <w:rPr>
          <w:sz w:val="24"/>
          <w:szCs w:val="24"/>
          <w:vertAlign w:val="superscript"/>
          <w:lang w:val="en-US"/>
        </w:rPr>
        <w:t>2</w:t>
      </w:r>
      <w:r w:rsidR="00131B56" w:rsidRPr="00131B56">
        <w:rPr>
          <w:sz w:val="24"/>
          <w:szCs w:val="24"/>
        </w:rPr>
        <w:t>Student, National Economics University</w:t>
      </w:r>
    </w:p>
    <w:p w14:paraId="3B3C0D72" w14:textId="77777777" w:rsidR="00131B56" w:rsidRDefault="00131B56" w:rsidP="00131B56">
      <w:pPr>
        <w:rPr>
          <w:sz w:val="24"/>
          <w:szCs w:val="24"/>
          <w:lang w:val="en-US"/>
        </w:rPr>
      </w:pPr>
    </w:p>
    <w:p w14:paraId="2E49CE29" w14:textId="5A9142A1" w:rsidR="00821D8C" w:rsidRDefault="00821D8C" w:rsidP="00131B56">
      <w:pPr>
        <w:rPr>
          <w:sz w:val="24"/>
          <w:szCs w:val="24"/>
          <w:lang w:val="en-US"/>
        </w:rPr>
      </w:pPr>
      <w:hyperlink r:id="rId29" w:history="1">
        <w:r w:rsidRPr="00E108ED">
          <w:rPr>
            <w:rStyle w:val="Hyperlink"/>
            <w:sz w:val="24"/>
            <w:szCs w:val="24"/>
            <w:lang w:val="en-US"/>
          </w:rPr>
          <w:t>lehthilananh93@gmail.com</w:t>
        </w:r>
      </w:hyperlink>
    </w:p>
    <w:p w14:paraId="6471CAF3" w14:textId="77777777" w:rsidR="00821D8C" w:rsidRPr="00790738" w:rsidRDefault="00821D8C" w:rsidP="00131B56">
      <w:pPr>
        <w:rPr>
          <w:sz w:val="24"/>
          <w:szCs w:val="24"/>
          <w:lang w:val="en-US"/>
        </w:rPr>
      </w:pPr>
    </w:p>
    <w:p w14:paraId="6189C587" w14:textId="0622982A" w:rsidR="00E23BB6" w:rsidRPr="00790738" w:rsidRDefault="00131B56" w:rsidP="00E23BB6">
      <w:pPr>
        <w:rPr>
          <w:b/>
          <w:bCs/>
          <w:sz w:val="24"/>
          <w:szCs w:val="24"/>
          <w:lang w:val="en-US"/>
        </w:rPr>
      </w:pPr>
      <w:r>
        <w:rPr>
          <w:sz w:val="24"/>
          <w:szCs w:val="24"/>
          <w:lang w:val="en-US"/>
        </w:rPr>
        <w:t xml:space="preserve">Abstract: </w:t>
      </w:r>
    </w:p>
    <w:p w14:paraId="33F566B2" w14:textId="4FF7E1FB" w:rsidR="007E471F" w:rsidRDefault="007E471F">
      <w:pPr>
        <w:rPr>
          <w:sz w:val="24"/>
          <w:szCs w:val="24"/>
          <w:lang w:val="en-US"/>
        </w:rPr>
      </w:pPr>
      <w:r w:rsidRPr="007E471F">
        <w:rPr>
          <w:sz w:val="24"/>
          <w:szCs w:val="24"/>
        </w:rPr>
        <w:t>This study investigates the spillover effects of green behavior in online communities on the real-world green consumption behavior of young people in Vietnam, drawing on the Hunt–Vitell model. Survey data from 427 social media users aged 18</w:t>
      </w:r>
      <w:r w:rsidR="003D504B">
        <w:rPr>
          <w:sz w:val="24"/>
          <w:szCs w:val="24"/>
          <w:lang w:val="en-US"/>
        </w:rPr>
        <w:t xml:space="preserve"> - </w:t>
      </w:r>
      <w:r w:rsidRPr="007E471F">
        <w:rPr>
          <w:sz w:val="24"/>
          <w:szCs w:val="24"/>
        </w:rPr>
        <w:t>35 were analyzed using partial least squares structural equation modeling (PLS-SEM). The findings indicate that both information interaction and interpersonal interaction positively influence normative ethical judgments, consequential ethical judgments, and environmental emotions. These factors, in turn, shape ethical evaluations and promote green consumption behavior in both private and public contexts. The study contributes to a deeper understanding of the role of online communities in fostering sustainable consumption practices.</w:t>
      </w:r>
    </w:p>
    <w:p w14:paraId="50906AB8" w14:textId="074317D1" w:rsidR="00E23BB6" w:rsidRPr="00790738" w:rsidRDefault="00E23BB6">
      <w:pPr>
        <w:rPr>
          <w:sz w:val="24"/>
          <w:szCs w:val="24"/>
          <w:lang w:val="en-US"/>
        </w:rPr>
      </w:pPr>
      <w:r w:rsidRPr="00E23BB6">
        <w:rPr>
          <w:sz w:val="24"/>
          <w:szCs w:val="24"/>
        </w:rPr>
        <w:t>Keywords: ripple effect, green behavior, online green community, green consumer behavior, young consumers.</w:t>
      </w:r>
    </w:p>
    <w:p w14:paraId="13F71EC0" w14:textId="77777777" w:rsidR="00DE7FFB" w:rsidRDefault="00DE7FFB">
      <w:pPr>
        <w:rPr>
          <w:sz w:val="24"/>
          <w:szCs w:val="24"/>
        </w:rPr>
      </w:pPr>
    </w:p>
    <w:sectPr w:rsidR="00DE7FF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D2BE87C-F65D-AA4B-B61A-ADBB00BEFE96}"/>
    <w:embedBold r:id="rId2" w:fontKey="{B9826929-B0CB-5E40-8E19-850D44DF4443}"/>
    <w:embedItalic r:id="rId3" w:fontKey="{331EBE84-2BBD-D84C-A199-D30A1BF37C4E}"/>
    <w:embedBoldItalic r:id="rId4" w:fontKey="{DA4101F5-EC1D-9448-B944-8C42D8110D4F}"/>
  </w:font>
  <w:font w:name="Arial">
    <w:panose1 w:val="020B0604020202020204"/>
    <w:charset w:val="00"/>
    <w:family w:val="swiss"/>
    <w:pitch w:val="variable"/>
    <w:sig w:usb0="E0002AFF" w:usb1="C0007843" w:usb2="00000009" w:usb3="00000000" w:csb0="000001FF" w:csb1="00000000"/>
    <w:embedRegular r:id="rId5" w:fontKey="{865DF72A-D435-E343-9446-C01A4C7FBD0F}"/>
  </w:font>
  <w:font w:name="Cambria Math">
    <w:panose1 w:val="02040503050406030204"/>
    <w:charset w:val="00"/>
    <w:family w:val="roman"/>
    <w:pitch w:val="variable"/>
    <w:sig w:usb0="E00002FF" w:usb1="420024FF" w:usb2="00000000" w:usb3="00000000" w:csb0="0000019F" w:csb1="00000000"/>
    <w:embedRegular r:id="rId6" w:fontKey="{400EE4A8-D2C7-BD44-AA28-E07F53358C4A}"/>
    <w:embedItalic r:id="rId7" w:fontKey="{546562AF-0AE3-EA4C-A1DA-A081753A72D2}"/>
  </w:font>
  <w:font w:name="Cardo">
    <w:charset w:val="00"/>
    <w:family w:val="auto"/>
    <w:pitch w:val="default"/>
    <w:embedRegular r:id="rId8" w:fontKey="{4BC18AB9-07F6-B748-82F8-A65D97501164}"/>
  </w:font>
  <w:font w:name="Calibri">
    <w:panose1 w:val="020F0502020204030204"/>
    <w:charset w:val="00"/>
    <w:family w:val="swiss"/>
    <w:pitch w:val="variable"/>
    <w:sig w:usb0="E4002EFF" w:usb1="C200247B" w:usb2="00000009" w:usb3="00000000" w:csb0="000001FF" w:csb1="00000000"/>
    <w:embedRegular r:id="rId9" w:fontKey="{84C48E90-4DE3-994E-B1B8-CEABE7D611C4}"/>
  </w:font>
  <w:font w:name="Cambria">
    <w:panose1 w:val="02040503050406030204"/>
    <w:charset w:val="00"/>
    <w:family w:val="roman"/>
    <w:pitch w:val="variable"/>
    <w:sig w:usb0="E00006FF" w:usb1="420024FF" w:usb2="02000000" w:usb3="00000000" w:csb0="0000019F" w:csb1="00000000"/>
    <w:embedRegular r:id="rId10" w:fontKey="{1670F02A-D567-F046-959B-48AE507021C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FFB"/>
    <w:rsid w:val="00131B56"/>
    <w:rsid w:val="001A3F31"/>
    <w:rsid w:val="0021565E"/>
    <w:rsid w:val="003B7D7B"/>
    <w:rsid w:val="003D504B"/>
    <w:rsid w:val="0046104E"/>
    <w:rsid w:val="00501969"/>
    <w:rsid w:val="00566472"/>
    <w:rsid w:val="005955D4"/>
    <w:rsid w:val="005C1D35"/>
    <w:rsid w:val="00790738"/>
    <w:rsid w:val="007E471F"/>
    <w:rsid w:val="00821D8C"/>
    <w:rsid w:val="00827FC0"/>
    <w:rsid w:val="00833C42"/>
    <w:rsid w:val="008E23D5"/>
    <w:rsid w:val="00933CA0"/>
    <w:rsid w:val="00A9111D"/>
    <w:rsid w:val="00B26733"/>
    <w:rsid w:val="00CC6CED"/>
    <w:rsid w:val="00D84279"/>
    <w:rsid w:val="00DE7FFB"/>
    <w:rsid w:val="00E23BB6"/>
    <w:rsid w:val="00F77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268C5"/>
  <w15:docId w15:val="{21F8CC05-D741-445F-8EA5-9BB494969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6"/>
        <w:szCs w:val="26"/>
        <w:lang w:val="vi" w:eastAsia="en-US" w:bidi="ar-SA"/>
      </w:rPr>
    </w:rPrDefault>
    <w:pPrDefault>
      <w:pPr>
        <w:spacing w:before="120" w:line="312" w:lineRule="auto"/>
        <w:ind w:firstLine="42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Revision">
    <w:name w:val="Revision"/>
    <w:hidden/>
    <w:uiPriority w:val="99"/>
    <w:semiHidden/>
    <w:rsid w:val="00566472"/>
    <w:pPr>
      <w:spacing w:before="0" w:line="240" w:lineRule="auto"/>
      <w:ind w:firstLine="0"/>
      <w:jc w:val="left"/>
    </w:pPr>
  </w:style>
  <w:style w:type="character" w:styleId="Hyperlink">
    <w:name w:val="Hyperlink"/>
    <w:basedOn w:val="DefaultParagraphFont"/>
    <w:uiPriority w:val="99"/>
    <w:unhideWhenUsed/>
    <w:rsid w:val="00821D8C"/>
    <w:rPr>
      <w:color w:val="0000FF" w:themeColor="hyperlink"/>
      <w:u w:val="single"/>
    </w:rPr>
  </w:style>
  <w:style w:type="character" w:styleId="UnresolvedMention">
    <w:name w:val="Unresolved Mention"/>
    <w:basedOn w:val="DefaultParagraphFont"/>
    <w:uiPriority w:val="99"/>
    <w:semiHidden/>
    <w:unhideWhenUsed/>
    <w:rsid w:val="00821D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i.org/10.1007/s12144-025-07431-9" TargetMode="External"/><Relationship Id="rId13" Type="http://schemas.openxmlformats.org/officeDocument/2006/relationships/hyperlink" Target="https://www.researchgate.net/profile/Elena-Kostadinova-2/publication/299681081_Sustainable_consumer_behaviour_a_literature_review/links/626bd27c0df856128f86805b/Sustainable-consumer-behaviour-a-literature-review.pdf" TargetMode="External"/><Relationship Id="rId18" Type="http://schemas.openxmlformats.org/officeDocument/2006/relationships/hyperlink" Target="https://doi.org/10.1111/0022-4537.00175?urlappend=%3Futm_source%3Dresearchgate.net%26utm_medium%3Darticle" TargetMode="External"/><Relationship Id="rId26" Type="http://schemas.openxmlformats.org/officeDocument/2006/relationships/hyperlink" Target="https://doi.org/10.3390/ijerph19031443" TargetMode="External"/><Relationship Id="rId3" Type="http://schemas.openxmlformats.org/officeDocument/2006/relationships/webSettings" Target="webSettings.xml"/><Relationship Id="rId21" Type="http://schemas.openxmlformats.org/officeDocument/2006/relationships/hyperlink" Target="https://doi.org/10.1016/J.GLOENVCHA.2014.09.004" TargetMode="External"/><Relationship Id="rId7" Type="http://schemas.openxmlformats.org/officeDocument/2006/relationships/hyperlink" Target="https://migrationletters.com/index.php/ml/article/view/9452" TargetMode="External"/><Relationship Id="rId12" Type="http://schemas.openxmlformats.org/officeDocument/2006/relationships/hyperlink" Target="https://doi.org/10.1177/0268580910392258?urlappend=%3Futm_source%3Dresearchgate.net%26utm_medium%3Darticle" TargetMode="External"/><Relationship Id="rId17" Type="http://schemas.openxmlformats.org/officeDocument/2006/relationships/hyperlink" Target="https://doi.org/10.1016/j.jenvp.2014.01.002" TargetMode="External"/><Relationship Id="rId25" Type="http://schemas.openxmlformats.org/officeDocument/2006/relationships/hyperlink" Target="https://doi.org/10.1023/A:1021284922440" TargetMode="External"/><Relationship Id="rId2" Type="http://schemas.openxmlformats.org/officeDocument/2006/relationships/settings" Target="settings.xml"/><Relationship Id="rId16" Type="http://schemas.openxmlformats.org/officeDocument/2006/relationships/hyperlink" Target="https://doi.org/10.1186/s43093-023-00283-4" TargetMode="External"/><Relationship Id="rId20" Type="http://schemas.openxmlformats.org/officeDocument/2006/relationships/hyperlink" Target="https://doi.org/10.1016/j.jenvp.2021.101753" TargetMode="External"/><Relationship Id="rId29" Type="http://schemas.openxmlformats.org/officeDocument/2006/relationships/hyperlink" Target="mailto:lehthilananh93@gmail.com" TargetMode="External"/><Relationship Id="rId1" Type="http://schemas.openxmlformats.org/officeDocument/2006/relationships/styles" Target="styles.xml"/><Relationship Id="rId6" Type="http://schemas.openxmlformats.org/officeDocument/2006/relationships/hyperlink" Target="https://doi.org/10.33168/JLISS.2024.1013" TargetMode="External"/><Relationship Id="rId11" Type="http://schemas.openxmlformats.org/officeDocument/2006/relationships/hyperlink" Target="https://doi.org/10.1080/0267257X.2023.2295273" TargetMode="External"/><Relationship Id="rId24" Type="http://schemas.openxmlformats.org/officeDocument/2006/relationships/hyperlink" Target="https://doi.org/10.1023/A:1021284922440" TargetMode="External"/><Relationship Id="rId5" Type="http://schemas.openxmlformats.org/officeDocument/2006/relationships/hyperlink" Target="https://doi.org/10.33168/JLISS.2024.1013" TargetMode="External"/><Relationship Id="rId15" Type="http://schemas.openxmlformats.org/officeDocument/2006/relationships/hyperlink" Target="https://doi.org/10.1080/13504622.2011.637157" TargetMode="External"/><Relationship Id="rId23" Type="http://schemas.openxmlformats.org/officeDocument/2006/relationships/hyperlink" Target="https://doi.org/10.1023/A:1017985121114" TargetMode="External"/><Relationship Id="rId28" Type="http://schemas.openxmlformats.org/officeDocument/2006/relationships/hyperlink" Target="https://doi.org/10.1016/j.spc.2020.11.020" TargetMode="External"/><Relationship Id="rId10" Type="http://schemas.openxmlformats.org/officeDocument/2006/relationships/hyperlink" Target="https://doi.org/10.1016/j.gloenvcha.2020.102061" TargetMode="External"/><Relationship Id="rId19" Type="http://schemas.openxmlformats.org/officeDocument/2006/relationships/hyperlink" Target="https://doi.org/10.1088/1755-1315/1404/1/012045" TargetMode="External"/><Relationship Id="rId31" Type="http://schemas.openxmlformats.org/officeDocument/2006/relationships/theme" Target="theme/theme1.xml"/><Relationship Id="rId4" Type="http://schemas.openxmlformats.org/officeDocument/2006/relationships/hyperlink" Target="mailto:lehthilananh93@gmail.com" TargetMode="External"/><Relationship Id="rId9" Type="http://schemas.openxmlformats.org/officeDocument/2006/relationships/hyperlink" Target="https://doi.org/10.1007/s12144-025-07431-9" TargetMode="External"/><Relationship Id="rId14" Type="http://schemas.openxmlformats.org/officeDocument/2006/relationships/hyperlink" Target="https://doi.org/10.24382/n16t-yz38" TargetMode="External"/><Relationship Id="rId22" Type="http://schemas.openxmlformats.org/officeDocument/2006/relationships/hyperlink" Target="https://doi.org/10.1023/A:1017985121114" TargetMode="External"/><Relationship Id="rId27" Type="http://schemas.openxmlformats.org/officeDocument/2006/relationships/hyperlink" Target="https://doi.org/10.3390/su152316442"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3630</Words>
  <Characters>20696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Anh Le thi lan</cp:lastModifiedBy>
  <cp:revision>2</cp:revision>
  <dcterms:created xsi:type="dcterms:W3CDTF">2026-05-15T13:39:00Z</dcterms:created>
  <dcterms:modified xsi:type="dcterms:W3CDTF">2026-05-15T13:39:00Z</dcterms:modified>
</cp:coreProperties>
</file>