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D134D" w14:textId="77777777" w:rsidR="00227AEF" w:rsidRDefault="00227AEF" w:rsidP="007A2CDB">
      <w:pPr>
        <w:widowControl w:val="0"/>
        <w:pBdr>
          <w:top w:val="nil"/>
          <w:left w:val="nil"/>
          <w:bottom w:val="nil"/>
          <w:right w:val="nil"/>
          <w:between w:val="nil"/>
        </w:pBdr>
        <w:spacing w:before="120" w:after="0" w:line="276" w:lineRule="auto"/>
      </w:pPr>
    </w:p>
    <w:p w14:paraId="230A590D"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Ảnh hưởng của hỗ trợ học tập từ trí tuệ nhân tạo (AI) đến động lực học tập của sinh viên các trường đại học tại Thành phố Hồ Chí Minh</w:t>
      </w:r>
    </w:p>
    <w:p w14:paraId="5F0706BC"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Cao Thị Kiều Vinh</w:t>
      </w:r>
    </w:p>
    <w:p w14:paraId="2B9A5149"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Trường Đại học Công Thương Thành Phố Hồ Chí Minh</w:t>
      </w:r>
    </w:p>
    <w:p w14:paraId="61D843ED" w14:textId="4E14A658" w:rsidR="004443D1" w:rsidRDefault="004443D1" w:rsidP="007A2CDB">
      <w:pPr>
        <w:spacing w:before="120" w:after="0" w:line="240" w:lineRule="auto"/>
        <w:jc w:val="center"/>
        <w:rPr>
          <w:rFonts w:ascii="Times New Roman" w:eastAsia="Times New Roman" w:hAnsi="Times New Roman" w:cs="Times New Roman"/>
        </w:rPr>
      </w:pPr>
      <w:r w:rsidRPr="004443D1">
        <w:rPr>
          <w:rFonts w:ascii="Times New Roman" w:eastAsia="Times New Roman" w:hAnsi="Times New Roman" w:cs="Times New Roman"/>
        </w:rPr>
        <w:t>Email: vinhctk@huit.edu.vn</w:t>
      </w:r>
      <w:bookmarkStart w:id="0" w:name="_GoBack"/>
      <w:bookmarkEnd w:id="0"/>
    </w:p>
    <w:p w14:paraId="10813AD3"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TÓM TẮT:</w:t>
      </w:r>
    </w:p>
    <w:p w14:paraId="48BA7729" w14:textId="77777777" w:rsidR="00227AEF" w:rsidRDefault="004443D1" w:rsidP="007A2CD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Nghiên cứu đánh giá tác động của sự hỗ trợ học tập từ trí tuệ nhân tạo tạo sinh (GenAI) đến động lực học tập của sinh viên đại học tại Thành phố Hồ Chí Minh. Dựa trên nền tảng Thuyết Nhận thức Xã hội (SCT) và Thuyết Tự quyế</w:t>
      </w:r>
      <w:r>
        <w:rPr>
          <w:rFonts w:ascii="Times New Roman" w:eastAsia="Times New Roman" w:hAnsi="Times New Roman" w:cs="Times New Roman"/>
        </w:rPr>
        <w:t>t (SDT), nghiên cứu đề xuất mô hình với 2 biến trung gian là hiệu quả học tập cảm nhận và niềm tin vào năng lực học tập. Dữ liệu được thu thập từ 323 sinh viên và phân tích bằng PLS-SEM. Kết quả cho thấy, hỗ trợ từ AI tác động tích cực đến hiệu quả học tập</w:t>
      </w:r>
      <w:r>
        <w:rPr>
          <w:rFonts w:ascii="Times New Roman" w:eastAsia="Times New Roman" w:hAnsi="Times New Roman" w:cs="Times New Roman"/>
        </w:rPr>
        <w:t>, niềm tin năng lực và động lực học tập. Đồng thời, 2 biến trung gian đóng vai trò quan trọng trong việc chuyển hóa hỗ trợ từ AI thành động lực nội tại của sinh viên.</w:t>
      </w:r>
    </w:p>
    <w:p w14:paraId="347A36D0" w14:textId="77777777" w:rsidR="00227AEF" w:rsidRDefault="004443D1" w:rsidP="007A2CD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Từ khóa: genAI, động lực học tập, sinh viên, năng lực học tập, hiệu quả học tập.</w:t>
      </w:r>
    </w:p>
    <w:p w14:paraId="06C15318" w14:textId="77777777" w:rsidR="007A2CDB" w:rsidRDefault="007A2CDB" w:rsidP="007A2CDB">
      <w:pPr>
        <w:spacing w:before="120" w:after="0" w:line="240" w:lineRule="auto"/>
        <w:jc w:val="both"/>
        <w:rPr>
          <w:rFonts w:ascii="Times New Roman" w:eastAsia="Times New Roman" w:hAnsi="Times New Roman" w:cs="Times New Roman"/>
        </w:rPr>
      </w:pPr>
    </w:p>
    <w:p w14:paraId="4F959803"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b/>
          <w:bCs/>
        </w:rPr>
        <w:t xml:space="preserve">1. Đặt </w:t>
      </w:r>
      <w:r>
        <w:rPr>
          <w:rFonts w:ascii="Times New Roman" w:eastAsia="Times New Roman" w:hAnsi="Times New Roman" w:cs="Times New Roman"/>
          <w:b/>
          <w:bCs/>
        </w:rPr>
        <w:t>vấn đề</w:t>
      </w:r>
    </w:p>
    <w:p w14:paraId="3EFF045D"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Sự phát triển nhanh chóng của trí tuệ nhân tạo (AI), đặc biệt là các mô hình AI tạo sinh như ChatGPT, đang tạo ra những thay đổi mang tính đột phá trong giáo dục đại học (Chan &amp; Hu, 2023). Các công cụ này làm thay đổi cách </w:t>
      </w:r>
      <w:r>
        <w:rPr>
          <w:rFonts w:ascii="Times New Roman" w:eastAsia="Times New Roman" w:hAnsi="Times New Roman" w:cs="Times New Roman"/>
        </w:rPr>
        <w:t>sinh viên tiếp cận tri thức thông qua khả năng mô phỏng hội thoại, cá nhân hóa học tập, cung cấp phản hồi tức thì và hỗ trợ các nhiệm vụ phức tạp (Dogaru et al., 2025; Zhai &amp; Nezakatgoo, 2025). Trên thực tế, AI ngày càng được sử dụng như một trợ lý học tập</w:t>
      </w:r>
      <w:r>
        <w:rPr>
          <w:rFonts w:ascii="Times New Roman" w:eastAsia="Times New Roman" w:hAnsi="Times New Roman" w:cs="Times New Roman"/>
        </w:rPr>
        <w:t xml:space="preserve"> trong tìm kiếm thông tin, giải thích nội dung và hỗ trợ viết bài (Alshamy et al., 2025).</w:t>
      </w:r>
    </w:p>
    <w:p w14:paraId="292E2595"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Sự phát triển nhanh chóng của trí tuệ nhân tạo (AI), đặc biệt là các mô hình tạo sinh như ChatGPT, đang tạo ra những thay đổi đáng kể trong giáo dục đại học (Chan &amp; Hu, 2023). Các công cụ này giúp si</w:t>
      </w:r>
      <w:r>
        <w:rPr>
          <w:rFonts w:ascii="Times New Roman" w:eastAsia="Times New Roman" w:hAnsi="Times New Roman" w:cs="Times New Roman"/>
        </w:rPr>
        <w:t xml:space="preserve">nh viên tiếp cận tri thức hiệu quả hơn nhờ khả năng mô phỏng hội thoại, cá nhân hóa học tập và cung cấp phản hồi tức thì (Dogaru et al., 2025; Zhai &amp; Nezakatgoo, 2025). Thực tế cho thấy AI ngày càng được sử dụng như một trợ lý học tập trong tìm kiếm thông </w:t>
      </w:r>
      <w:r>
        <w:rPr>
          <w:rFonts w:ascii="Times New Roman" w:eastAsia="Times New Roman" w:hAnsi="Times New Roman" w:cs="Times New Roman"/>
        </w:rPr>
        <w:t>tin và hỗ trợ học thuật (Alshamy et al., 2025).</w:t>
      </w:r>
    </w:p>
    <w:p w14:paraId="6A6495D3"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Tuy nhiên, bên cạnh lợi ích về hiệu quả và tiết kiệm thời gian (Guo et al., 2025), việc sử dụng AI cũng làm dấy lên lo ngại về sự phụ thuộc, “chuyển giao nhận thức” và suy giảm nỗ lực cá nhân</w:t>
      </w:r>
      <w:r>
        <w:rPr>
          <w:rFonts w:ascii="Times New Roman" w:eastAsia="Times New Roman" w:hAnsi="Times New Roman" w:cs="Times New Roman"/>
        </w:rPr>
        <w:t xml:space="preserve"> (Li et al., 2025), cũng như ảnh hưởng đến liêm chính học thuật và sáng tạo (Daha &amp; Altelwany, 2025). Do đó, việc làm rõ tác động của AI đến động lực học tập là cần thiết.</w:t>
      </w:r>
    </w:p>
    <w:p w14:paraId="0DABFEEF"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Dựa trên những khoảng trống đã phân tích, nghiên cứu này đ</w:t>
      </w:r>
      <w:r>
        <w:rPr>
          <w:rFonts w:ascii="Times New Roman" w:eastAsia="Times New Roman" w:hAnsi="Times New Roman" w:cs="Times New Roman"/>
        </w:rPr>
        <w:t>ược thực hiện với các mục tiêu cụ thể như sau:</w:t>
      </w:r>
    </w:p>
    <w:p w14:paraId="1A5FDDB6"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RO1: Phân tích tác động trực tiếp của sự hỗ trợ học tập từ AI đến hiệu quả học tập cảm nhận và Niềm tin vào năng lực học tập.</w:t>
      </w:r>
    </w:p>
    <w:p w14:paraId="6AC93C26"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RO2: Kiểm định vai trò trung gian của hiệu quả học tập cảm nhận trong mối quan hệ g</w:t>
      </w:r>
      <w:r>
        <w:rPr>
          <w:rFonts w:ascii="Times New Roman" w:eastAsia="Times New Roman" w:hAnsi="Times New Roman" w:cs="Times New Roman"/>
        </w:rPr>
        <w:t>iữa hỗ trợ học tập từ AI và động lực học tập.</w:t>
      </w:r>
    </w:p>
    <w:p w14:paraId="45155E03"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RO3: Kiểm định vai trò trung gian của niềm tin vào năng lực học tập trong mối quan hệ giữa hỗ trợ học tập từ AI và động lực học tập.</w:t>
      </w:r>
    </w:p>
    <w:p w14:paraId="5FC47B9E"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b/>
          <w:bCs/>
        </w:rPr>
        <w:t>2. Cơ sở lý thuyết và mô hình nghiên cứu</w:t>
      </w:r>
    </w:p>
    <w:p w14:paraId="0FC75722" w14:textId="77777777" w:rsidR="00227AEF" w:rsidRPr="004443D1" w:rsidRDefault="004443D1" w:rsidP="007A2CDB">
      <w:pPr>
        <w:spacing w:before="120" w:after="0" w:line="240" w:lineRule="auto"/>
        <w:ind w:firstLine="720"/>
        <w:jc w:val="both"/>
        <w:rPr>
          <w:rFonts w:ascii="Times New Roman" w:eastAsia="Times New Roman" w:hAnsi="Times New Roman" w:cs="Times New Roman"/>
          <w:i/>
          <w:iCs/>
        </w:rPr>
      </w:pPr>
      <w:r w:rsidRPr="004443D1">
        <w:rPr>
          <w:rFonts w:ascii="Times New Roman" w:eastAsia="Times New Roman" w:hAnsi="Times New Roman" w:cs="Times New Roman"/>
          <w:b/>
          <w:bCs/>
          <w:i/>
          <w:iCs/>
        </w:rPr>
        <w:t>2.1. Nền tảng lý thuyết</w:t>
      </w:r>
      <w:r w:rsidRPr="004443D1">
        <w:rPr>
          <w:rFonts w:ascii="Times New Roman" w:eastAsia="Times New Roman" w:hAnsi="Times New Roman" w:cs="Times New Roman"/>
          <w:i/>
          <w:iCs/>
        </w:rPr>
        <w:t xml:space="preserve"> </w:t>
      </w:r>
    </w:p>
    <w:p w14:paraId="6D667B0E"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Nghiên cứu </w:t>
      </w:r>
      <w:r>
        <w:rPr>
          <w:rFonts w:ascii="Times New Roman" w:eastAsia="Times New Roman" w:hAnsi="Times New Roman" w:cs="Times New Roman"/>
        </w:rPr>
        <w:t>này tích hợp Thuyết Nhận thức Xã hội (SCT) và Thuyết Tự quyết (SDT) nhằm giải thích cơ chế hình thành động lực học tập của sinh viên trong bối cảnh có sự hỗ trợ của AI. Theo SCT, niềm tin vào năng lực bản thân (self-efficacy) là yếu tố then chốt chi phối n</w:t>
      </w:r>
      <w:r>
        <w:rPr>
          <w:rFonts w:ascii="Times New Roman" w:eastAsia="Times New Roman" w:hAnsi="Times New Roman" w:cs="Times New Roman"/>
        </w:rPr>
        <w:t>hận thức, hành vi và sự kiên trì trong học tập (Bandura, 1986, 1997). Đồng thời, SDT cho thấy, động lực nội tại được thúc đẩy khi các nhu cầu về tự chủ, năng lực và gắn kết được đáp ứng (Deci &amp; Ryan, 2000). Trong giáo dục hiện đại, AI tạo sinh đóng vai trò</w:t>
      </w:r>
      <w:r>
        <w:rPr>
          <w:rFonts w:ascii="Times New Roman" w:eastAsia="Times New Roman" w:hAnsi="Times New Roman" w:cs="Times New Roman"/>
        </w:rPr>
        <w:t xml:space="preserve"> như công cụ hỗ trợ số, giúp cá nhân hóa việc học và thúc đẩy tự điều chỉnh học tập (Chiu, 2024; Dogaru et al., 2025). Sự kết hợp 2 lý thuyết này cho phép đánh giá toàn diện tác động của AI đến hiệu quả học tập, niềm tin năng lực và động lực của sinh viên.</w:t>
      </w:r>
    </w:p>
    <w:p w14:paraId="0F8BC1C6" w14:textId="77777777" w:rsidR="00227AEF" w:rsidRPr="004443D1" w:rsidRDefault="004443D1" w:rsidP="007A2CDB">
      <w:pPr>
        <w:spacing w:before="120" w:after="0" w:line="240" w:lineRule="auto"/>
        <w:ind w:firstLine="720"/>
        <w:jc w:val="both"/>
        <w:rPr>
          <w:rFonts w:ascii="Times New Roman" w:eastAsia="Times New Roman" w:hAnsi="Times New Roman" w:cs="Times New Roman"/>
          <w:i/>
          <w:iCs/>
        </w:rPr>
      </w:pPr>
      <w:r w:rsidRPr="004443D1">
        <w:rPr>
          <w:rFonts w:ascii="Times New Roman" w:eastAsia="Times New Roman" w:hAnsi="Times New Roman" w:cs="Times New Roman"/>
          <w:b/>
          <w:bCs/>
          <w:i/>
          <w:iCs/>
        </w:rPr>
        <w:t>2.2. Hỗ trợ học tập từ AI và hiệu quả học tập cảm nhận</w:t>
      </w:r>
      <w:r w:rsidRPr="004443D1">
        <w:rPr>
          <w:rFonts w:ascii="Times New Roman" w:eastAsia="Times New Roman" w:hAnsi="Times New Roman" w:cs="Times New Roman"/>
          <w:i/>
          <w:iCs/>
        </w:rPr>
        <w:t xml:space="preserve"> </w:t>
      </w:r>
    </w:p>
    <w:p w14:paraId="7F957BCD"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Sự hỗ trợ từ các công cụ AI tạo sinh như ChatGPT giúp sinh viên tiếp cận hướng dẫn nhanh, thông tin đa chiều và giải quyết hiệu quả các vấn đề học thuật (Dogaru et al., 2025; Hmoud et al., 2024). The</w:t>
      </w:r>
      <w:r>
        <w:rPr>
          <w:rFonts w:ascii="Times New Roman" w:eastAsia="Times New Roman" w:hAnsi="Times New Roman" w:cs="Times New Roman"/>
        </w:rPr>
        <w:t>o Mô hình Chấp nhận Công nghệ (TAM), khi AI được xem là dễ sử dụng và hữu ích giúp tiết kiệm thời gian, tóm tắt tài liệu và hoàn thành bài tập, từ đó, sinh viên sẽ đánh giá cao hiệu quả của nó (Alshamy et al., 2025). Đồng thời, chất lượng đầu ra của AI cũn</w:t>
      </w:r>
      <w:r>
        <w:rPr>
          <w:rFonts w:ascii="Times New Roman" w:eastAsia="Times New Roman" w:hAnsi="Times New Roman" w:cs="Times New Roman"/>
        </w:rPr>
        <w:t>g góp phần nâng cao năng suất và cải thiện nhận thức về kết quả học tập (Bai &amp; Wang, 2025).</w:t>
      </w:r>
    </w:p>
    <w:p w14:paraId="24BB747D"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H1: Hỗ trợ học tập từ AI tác động tích cực đến hiệu quả học tập cảm nhận của sinh viên.</w:t>
      </w:r>
    </w:p>
    <w:p w14:paraId="4670B38E" w14:textId="77777777" w:rsidR="00227AEF" w:rsidRPr="004443D1" w:rsidRDefault="004443D1" w:rsidP="007A2CDB">
      <w:pPr>
        <w:spacing w:before="120" w:after="0" w:line="240" w:lineRule="auto"/>
        <w:ind w:firstLine="720"/>
        <w:jc w:val="both"/>
        <w:rPr>
          <w:rFonts w:ascii="Times New Roman" w:eastAsia="Times New Roman" w:hAnsi="Times New Roman" w:cs="Times New Roman"/>
          <w:i/>
          <w:iCs/>
        </w:rPr>
      </w:pPr>
      <w:r w:rsidRPr="004443D1">
        <w:rPr>
          <w:rFonts w:ascii="Times New Roman" w:eastAsia="Times New Roman" w:hAnsi="Times New Roman" w:cs="Times New Roman"/>
          <w:b/>
          <w:bCs/>
          <w:i/>
          <w:iCs/>
        </w:rPr>
        <w:t>2.3. Hỗ trợ học tập từ AI và niềm tin vào năng lực học tập</w:t>
      </w:r>
      <w:r w:rsidRPr="004443D1">
        <w:rPr>
          <w:rFonts w:ascii="Times New Roman" w:eastAsia="Times New Roman" w:hAnsi="Times New Roman" w:cs="Times New Roman"/>
          <w:i/>
          <w:iCs/>
        </w:rPr>
        <w:t xml:space="preserve"> </w:t>
      </w:r>
    </w:p>
    <w:p w14:paraId="6CA527C0"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Niềm tin vào năn</w:t>
      </w:r>
      <w:r>
        <w:rPr>
          <w:rFonts w:ascii="Times New Roman" w:eastAsia="Times New Roman" w:hAnsi="Times New Roman" w:cs="Times New Roman"/>
        </w:rPr>
        <w:t>g lực học tập phản ánh sự tự tin của sinh viên vào khả năng hoàn thành các mục tiêu học tập (Daha &amp; Altelwany, 2025). Trong bối cảnh ứng dụng công nghệ, AI đóng vai trò như một “giàn giáo nhận thức”, cung cấp phản hồi, định hướng giải quyết vấn đề và hỗ tr</w:t>
      </w:r>
      <w:r>
        <w:rPr>
          <w:rFonts w:ascii="Times New Roman" w:eastAsia="Times New Roman" w:hAnsi="Times New Roman" w:cs="Times New Roman"/>
        </w:rPr>
        <w:t>ợ vượt qua khó khăn học tập (Alghamdi, 2025; Li et al., 2025). Việc tương tác với AI giúp sinh viên hoàn thành nhiệm vụ, giảm lo âu và tăng sự tự tin (Bai &amp; Wang, 2025; Huang &amp; Mizumoto, 2024). Những trải nghiệm tích cực này góp phần củng cố niềm tin vào n</w:t>
      </w:r>
      <w:r>
        <w:rPr>
          <w:rFonts w:ascii="Times New Roman" w:eastAsia="Times New Roman" w:hAnsi="Times New Roman" w:cs="Times New Roman"/>
        </w:rPr>
        <w:t>ăng lực học tập của sinh viên (Zhai &amp; Nezakatgoo, 2025).</w:t>
      </w:r>
    </w:p>
    <w:p w14:paraId="16F2D070"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H2: Hỗ trợ học tập từ AI tác động tích cực đến niềm tin vào năng lực học tập của sinh viên.</w:t>
      </w:r>
    </w:p>
    <w:p w14:paraId="7C330A83" w14:textId="77777777" w:rsidR="00227AEF" w:rsidRPr="004443D1" w:rsidRDefault="004443D1" w:rsidP="007A2CDB">
      <w:pPr>
        <w:spacing w:before="120" w:after="0" w:line="240" w:lineRule="auto"/>
        <w:ind w:firstLine="720"/>
        <w:jc w:val="both"/>
        <w:rPr>
          <w:rFonts w:ascii="Times New Roman" w:eastAsia="Times New Roman" w:hAnsi="Times New Roman" w:cs="Times New Roman"/>
          <w:b/>
          <w:bCs/>
          <w:i/>
          <w:iCs/>
        </w:rPr>
      </w:pPr>
      <w:r w:rsidRPr="004443D1">
        <w:rPr>
          <w:rFonts w:ascii="Times New Roman" w:eastAsia="Times New Roman" w:hAnsi="Times New Roman" w:cs="Times New Roman"/>
          <w:b/>
          <w:bCs/>
          <w:i/>
          <w:iCs/>
        </w:rPr>
        <w:t xml:space="preserve">2.4. Hiệu quả học tập cảm nhận và niềm tin vào năng lực học tập </w:t>
      </w:r>
    </w:p>
    <w:p w14:paraId="4D273BC6"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Trong môi trường học tập có ứng dụng công </w:t>
      </w:r>
      <w:r>
        <w:rPr>
          <w:rFonts w:ascii="Times New Roman" w:eastAsia="Times New Roman" w:hAnsi="Times New Roman" w:cs="Times New Roman"/>
        </w:rPr>
        <w:t>nghệ, hiệu quả học tập cảm nhận là yếu tố tâm lý quan trọng giúp hình thành niềm tin vào năng lực bản thân. Theo Thuyết Nhận thức Xã hội, “trải nghiệm làm chủ” từ những thành công thực tế là nền tảng cốt lõi của sự tự tin học thuật (Bandura, 1997). Khi sin</w:t>
      </w:r>
      <w:r>
        <w:rPr>
          <w:rFonts w:ascii="Times New Roman" w:eastAsia="Times New Roman" w:hAnsi="Times New Roman" w:cs="Times New Roman"/>
        </w:rPr>
        <w:t xml:space="preserve">h viên sử dụng AI và nhận thấy tính hữu ích trong giải quyết nhiệm vụ và nâng cao hiểu biết, họ tích lũy được các trải nghiệm tích cực này. Cơ chế phản hồi tức thì từ AI góp phần củng cố sự tự tin và niềm tin vào năng lực học tập (Bai &amp; Wang, 2025; Yilmaz </w:t>
      </w:r>
      <w:r>
        <w:rPr>
          <w:rFonts w:ascii="Times New Roman" w:eastAsia="Times New Roman" w:hAnsi="Times New Roman" w:cs="Times New Roman"/>
        </w:rPr>
        <w:t>&amp; Karaoglan Yilmaz, 2023).</w:t>
      </w:r>
    </w:p>
    <w:p w14:paraId="752D0241"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H3: Hiệu quả học tập cảm nhận tác động tích cực đến niềm tin vào năng lực học tập của sinh viên.</w:t>
      </w:r>
    </w:p>
    <w:p w14:paraId="5ABC63F5" w14:textId="77777777" w:rsidR="00227AEF" w:rsidRPr="004443D1" w:rsidRDefault="004443D1" w:rsidP="007A2CDB">
      <w:pPr>
        <w:spacing w:before="120" w:after="0" w:line="240" w:lineRule="auto"/>
        <w:ind w:firstLine="720"/>
        <w:jc w:val="both"/>
        <w:rPr>
          <w:rFonts w:ascii="Times New Roman" w:eastAsia="Times New Roman" w:hAnsi="Times New Roman" w:cs="Times New Roman"/>
          <w:i/>
          <w:iCs/>
        </w:rPr>
      </w:pPr>
      <w:r w:rsidRPr="004443D1">
        <w:rPr>
          <w:rFonts w:ascii="Times New Roman" w:eastAsia="Times New Roman" w:hAnsi="Times New Roman" w:cs="Times New Roman"/>
          <w:b/>
          <w:bCs/>
          <w:i/>
          <w:iCs/>
        </w:rPr>
        <w:t>2.5. Hiệu quả học tập cảm nhận và động lực học tập</w:t>
      </w:r>
      <w:r w:rsidRPr="004443D1">
        <w:rPr>
          <w:rFonts w:ascii="Times New Roman" w:eastAsia="Times New Roman" w:hAnsi="Times New Roman" w:cs="Times New Roman"/>
          <w:i/>
          <w:iCs/>
        </w:rPr>
        <w:t xml:space="preserve"> </w:t>
      </w:r>
    </w:p>
    <w:p w14:paraId="0853A106"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Khi sinh viên cảm nhận được sự tiến bộ và hiệu suất cao nhờ áp dụng phương pháp </w:t>
      </w:r>
      <w:r>
        <w:rPr>
          <w:rFonts w:ascii="Times New Roman" w:eastAsia="Times New Roman" w:hAnsi="Times New Roman" w:cs="Times New Roman"/>
        </w:rPr>
        <w:t>hoặc công cụ mới, động lực nội tại của họ sẽ được kích thích mạnh mẽ (Deci &amp; Ryan, 2000). Các nội dung và phản hồi chất lượng từ AI không chỉ đơn thuần giúp sinh viên hoàn thành bài vở, mà còn khơi gợi sự tò mò, hứng thú, tạo điều kiện để họ đào sâu khám p</w:t>
      </w:r>
      <w:r>
        <w:rPr>
          <w:rFonts w:ascii="Times New Roman" w:eastAsia="Times New Roman" w:hAnsi="Times New Roman" w:cs="Times New Roman"/>
        </w:rPr>
        <w:t>há tri thức (Bai &amp; Wang, 2025; Hmoud et al., 2024). Trong các mô hình chấp nhận công nghệ giáo dục, cảm nhận về tính hữu ích là chất xúc tác quan trọng nhất để duy trì động lực, bởi người học nhận ra công cụ thực sự mang lại giá trị gia tăng rõ rệt, thúc đ</w:t>
      </w:r>
      <w:r>
        <w:rPr>
          <w:rFonts w:ascii="Times New Roman" w:eastAsia="Times New Roman" w:hAnsi="Times New Roman" w:cs="Times New Roman"/>
        </w:rPr>
        <w:t>ẩy sự tham gia vào các hoạt động học thuật một cách tự nguyện (Alshamy et al., 2025; Ng et al., 2024).</w:t>
      </w:r>
    </w:p>
    <w:p w14:paraId="0B550FB1"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H4: Hiệu quả học tập cảm nhận tác động tích cực đến động lực học tập của sinh viên.</w:t>
      </w:r>
    </w:p>
    <w:p w14:paraId="5947A8BB" w14:textId="77777777" w:rsidR="00227AEF" w:rsidRPr="004443D1" w:rsidRDefault="004443D1" w:rsidP="007A2CDB">
      <w:pPr>
        <w:spacing w:before="120" w:after="0" w:line="240" w:lineRule="auto"/>
        <w:ind w:firstLine="720"/>
        <w:jc w:val="both"/>
        <w:rPr>
          <w:rFonts w:ascii="Times New Roman" w:eastAsia="Times New Roman" w:hAnsi="Times New Roman" w:cs="Times New Roman"/>
          <w:i/>
          <w:iCs/>
        </w:rPr>
      </w:pPr>
      <w:r w:rsidRPr="004443D1">
        <w:rPr>
          <w:rFonts w:ascii="Times New Roman" w:eastAsia="Times New Roman" w:hAnsi="Times New Roman" w:cs="Times New Roman"/>
          <w:b/>
          <w:bCs/>
          <w:i/>
          <w:iCs/>
        </w:rPr>
        <w:t>2.6. Niềm tin vào năng lực học tập và động lực học tập</w:t>
      </w:r>
      <w:r w:rsidRPr="004443D1">
        <w:rPr>
          <w:rFonts w:ascii="Times New Roman" w:eastAsia="Times New Roman" w:hAnsi="Times New Roman" w:cs="Times New Roman"/>
          <w:i/>
          <w:iCs/>
        </w:rPr>
        <w:t xml:space="preserve"> </w:t>
      </w:r>
    </w:p>
    <w:p w14:paraId="2D20E6F3"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Giữa niềm tin</w:t>
      </w:r>
      <w:r>
        <w:rPr>
          <w:rFonts w:ascii="Times New Roman" w:eastAsia="Times New Roman" w:hAnsi="Times New Roman" w:cs="Times New Roman"/>
        </w:rPr>
        <w:t xml:space="preserve"> vào năng lực bản thân và động lực học tập luôn tồn tại một mối quan hệ tương hỗ khăng khít. Những cá nhân có niềm tin năng lực học tập cao thường sẵn sàng đối mặt với thách thức, thiết lập các mục tiêu cao hơn và duy trì sự nỗ lực không ngừng (Daha &amp; Alte</w:t>
      </w:r>
      <w:r>
        <w:rPr>
          <w:rFonts w:ascii="Times New Roman" w:eastAsia="Times New Roman" w:hAnsi="Times New Roman" w:cs="Times New Roman"/>
        </w:rPr>
        <w:t>lwany, 2025). Các minh chứng thực nghiệm gần đây chỉ ra, trong bối cảnh sử dụng GenAI, sự tự tin của sinh viên vào khả năng của chính mình (chẳng hạn như năng lực viết, năng lực tư duy lập trình) là tiền đề trực tiếp kích thích động lực học tập tự quyết (s</w:t>
      </w:r>
      <w:r>
        <w:rPr>
          <w:rFonts w:ascii="Times New Roman" w:eastAsia="Times New Roman" w:hAnsi="Times New Roman" w:cs="Times New Roman"/>
        </w:rPr>
        <w:t>elf-determined motivation) và nâng cao sự gắn kết với bài học (Huang &amp; Mizumoto, 2024; Zhai &amp; Nezakatgoo, 2025). Sự tự tin này đóng vai trò trung gian, chuyển hóa các nguồn lực hỗ trợ thành hành động và nỗ lực thực tế.</w:t>
      </w:r>
    </w:p>
    <w:p w14:paraId="6248CA06"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H5: Niềm tin vào năng lực học tập tác</w:t>
      </w:r>
      <w:r>
        <w:rPr>
          <w:rFonts w:ascii="Times New Roman" w:eastAsia="Times New Roman" w:hAnsi="Times New Roman" w:cs="Times New Roman"/>
        </w:rPr>
        <w:t xml:space="preserve"> động tích cực đến động lực học tập của sinh viên.</w:t>
      </w:r>
    </w:p>
    <w:p w14:paraId="1D7B288A" w14:textId="77777777" w:rsidR="00227AEF" w:rsidRPr="004443D1" w:rsidRDefault="004443D1" w:rsidP="007A2CDB">
      <w:pPr>
        <w:spacing w:before="120" w:after="0" w:line="240" w:lineRule="auto"/>
        <w:ind w:firstLine="720"/>
        <w:jc w:val="both"/>
        <w:rPr>
          <w:rFonts w:ascii="Times New Roman" w:eastAsia="Times New Roman" w:hAnsi="Times New Roman" w:cs="Times New Roman"/>
          <w:i/>
          <w:iCs/>
        </w:rPr>
      </w:pPr>
      <w:r w:rsidRPr="004443D1">
        <w:rPr>
          <w:rFonts w:ascii="Times New Roman" w:eastAsia="Times New Roman" w:hAnsi="Times New Roman" w:cs="Times New Roman"/>
          <w:b/>
          <w:bCs/>
          <w:i/>
          <w:iCs/>
        </w:rPr>
        <w:t>2.7. Mô hình nghiên cứu đề xuất</w:t>
      </w:r>
      <w:r w:rsidRPr="004443D1">
        <w:rPr>
          <w:rFonts w:ascii="Times New Roman" w:eastAsia="Times New Roman" w:hAnsi="Times New Roman" w:cs="Times New Roman"/>
          <w:i/>
          <w:iCs/>
        </w:rPr>
        <w:t xml:space="preserve"> </w:t>
      </w:r>
    </w:p>
    <w:p w14:paraId="18CF003D" w14:textId="46A9DF84"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Tổng hợp từ cơ sở lý thuyết (SCT, SDT) và hệ thống giả thuyết được xây dựng, nghiên cứu này đề xuất một mô hình. Trong đó, biến độc lập Sự hỗ trợ học tập từ AI sẽ tác động </w:t>
      </w:r>
      <w:r>
        <w:rPr>
          <w:rFonts w:ascii="Times New Roman" w:eastAsia="Times New Roman" w:hAnsi="Times New Roman" w:cs="Times New Roman"/>
        </w:rPr>
        <w:t>đến biến phụ thuộc Động lực học tập thông qua 2 biến trung gian chạy song song là: (1) Hiệu quả học tập cảm nhận và (2) Niềm tin vào năng lực học tập.</w:t>
      </w:r>
      <w:r w:rsidR="007A2CDB">
        <w:rPr>
          <w:rFonts w:ascii="Times New Roman" w:eastAsia="Times New Roman" w:hAnsi="Times New Roman" w:cs="Times New Roman"/>
        </w:rPr>
        <w:t xml:space="preserve"> (Hình 1)</w:t>
      </w:r>
    </w:p>
    <w:p w14:paraId="5848F049" w14:textId="77777777" w:rsidR="00227AEF" w:rsidRDefault="004443D1" w:rsidP="007A2CD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noProof/>
          <w:lang w:val="en-US"/>
        </w:rPr>
        <mc:AlternateContent>
          <mc:Choice Requires="wpg">
            <w:drawing>
              <wp:inline distT="0" distB="0" distL="114300" distR="114300" wp14:anchorId="4BF928E4" wp14:editId="30A2A16C">
                <wp:extent cx="5886450" cy="2514600"/>
                <wp:effectExtent l="0" t="0" r="0" b="0"/>
                <wp:docPr id="1343055203" name="Group 1343055203"/>
                <wp:cNvGraphicFramePr/>
                <a:graphic xmlns:a="http://schemas.openxmlformats.org/drawingml/2006/main">
                  <a:graphicData uri="http://schemas.microsoft.com/office/word/2010/wordprocessingGroup">
                    <wpg:wgp>
                      <wpg:cNvGrpSpPr/>
                      <wpg:grpSpPr>
                        <a:xfrm>
                          <a:off x="0" y="0"/>
                          <a:ext cx="5886450" cy="2514600"/>
                          <a:chOff x="2402775" y="2522700"/>
                          <a:chExt cx="5886450" cy="2514600"/>
                        </a:xfrm>
                      </wpg:grpSpPr>
                      <wpg:grpSp>
                        <wpg:cNvPr id="1441152864" name="Group 1441152864"/>
                        <wpg:cNvGrpSpPr/>
                        <wpg:grpSpPr>
                          <a:xfrm>
                            <a:off x="2402775" y="2522700"/>
                            <a:ext cx="5886450" cy="2514600"/>
                            <a:chOff x="0" y="0"/>
                            <a:chExt cx="5886450" cy="2514600"/>
                          </a:xfrm>
                        </wpg:grpSpPr>
                        <wps:wsp>
                          <wps:cNvPr id="945977282" name="Rectangle 945977282"/>
                          <wps:cNvSpPr/>
                          <wps:spPr>
                            <a:xfrm>
                              <a:off x="0" y="0"/>
                              <a:ext cx="5886450" cy="2514600"/>
                            </a:xfrm>
                            <a:prstGeom prst="rect">
                              <a:avLst/>
                            </a:prstGeom>
                            <a:noFill/>
                            <a:ln>
                              <a:noFill/>
                            </a:ln>
                          </wps:spPr>
                          <wps:txbx>
                            <w:txbxContent>
                              <w:p w14:paraId="21062866" w14:textId="77777777" w:rsidR="00227AEF" w:rsidRDefault="00227AEF">
                                <w:pPr>
                                  <w:spacing w:after="0" w:line="240" w:lineRule="auto"/>
                                  <w:textDirection w:val="btLr"/>
                                </w:pPr>
                              </w:p>
                            </w:txbxContent>
                          </wps:txbx>
                          <wps:bodyPr spcFirstLastPara="1" wrap="square" lIns="91425" tIns="91425" rIns="91425" bIns="91425" anchor="ctr" anchorCtr="0">
                            <a:noAutofit/>
                          </wps:bodyPr>
                        </wps:wsp>
                        <wps:wsp>
                          <wps:cNvPr id="1344893131" name="Rectangle: Rounded Corners 1344893131"/>
                          <wps:cNvSpPr/>
                          <wps:spPr>
                            <a:xfrm>
                              <a:off x="184101" y="977900"/>
                              <a:ext cx="1549413" cy="673100"/>
                            </a:xfrm>
                            <a:prstGeom prst="roundRect">
                              <a:avLst>
                                <a:gd name="adj" fmla="val 16667"/>
                              </a:avLst>
                            </a:prstGeom>
                            <a:solidFill>
                              <a:srgbClr val="FFFFFF"/>
                            </a:solidFill>
                            <a:ln w="12700" cap="flat" cmpd="sng">
                              <a:solidFill>
                                <a:srgbClr val="000000"/>
                              </a:solidFill>
                              <a:prstDash val="solid"/>
                              <a:miter lim="8000"/>
                              <a:headEnd type="none" w="sm" len="sm"/>
                              <a:tailEnd type="none" w="sm" len="sm"/>
                            </a:ln>
                          </wps:spPr>
                          <wps:txbx>
                            <w:txbxContent>
                              <w:p w14:paraId="71249821" w14:textId="77777777" w:rsidR="00227AEF" w:rsidRDefault="004443D1">
                                <w:pPr>
                                  <w:spacing w:line="277" w:lineRule="auto"/>
                                  <w:jc w:val="center"/>
                                  <w:textDirection w:val="btLr"/>
                                </w:pPr>
                                <w:r>
                                  <w:rPr>
                                    <w:rFonts w:ascii="Times New Roman" w:eastAsia="Times New Roman" w:hAnsi="Times New Roman" w:cs="Times New Roman"/>
                                    <w:color w:val="000000"/>
                                  </w:rPr>
                                  <w:t>Hỗ trợ học tập từ AI (S_AI)</w:t>
                                </w:r>
                              </w:p>
                            </w:txbxContent>
                          </wps:txbx>
                          <wps:bodyPr spcFirstLastPara="1" wrap="square" lIns="88900" tIns="38100" rIns="88900" bIns="38100" anchor="ctr" anchorCtr="0">
                            <a:noAutofit/>
                          </wps:bodyPr>
                        </wps:wsp>
                        <wps:wsp>
                          <wps:cNvPr id="74346200" name="Rectangle: Rounded Corners 74346200"/>
                          <wps:cNvSpPr/>
                          <wps:spPr>
                            <a:xfrm>
                              <a:off x="2032017" y="82500"/>
                              <a:ext cx="1600213" cy="654100"/>
                            </a:xfrm>
                            <a:prstGeom prst="roundRect">
                              <a:avLst>
                                <a:gd name="adj" fmla="val 16667"/>
                              </a:avLst>
                            </a:prstGeom>
                            <a:solidFill>
                              <a:srgbClr val="FFFFFF"/>
                            </a:solidFill>
                            <a:ln w="12700" cap="flat" cmpd="sng">
                              <a:solidFill>
                                <a:srgbClr val="000000"/>
                              </a:solidFill>
                              <a:prstDash val="solid"/>
                              <a:miter lim="8000"/>
                              <a:headEnd type="none" w="sm" len="sm"/>
                              <a:tailEnd type="none" w="sm" len="sm"/>
                            </a:ln>
                          </wps:spPr>
                          <wps:txbx>
                            <w:txbxContent>
                              <w:p w14:paraId="5C6FCBDC" w14:textId="77777777" w:rsidR="00227AEF" w:rsidRDefault="004443D1">
                                <w:pPr>
                                  <w:spacing w:line="277" w:lineRule="auto"/>
                                  <w:jc w:val="center"/>
                                  <w:textDirection w:val="btLr"/>
                                </w:pPr>
                                <w:r>
                                  <w:rPr>
                                    <w:rFonts w:ascii="Times New Roman" w:eastAsia="Times New Roman" w:hAnsi="Times New Roman" w:cs="Times New Roman"/>
                                    <w:color w:val="000000"/>
                                  </w:rPr>
                                  <w:t>Hiệu quả học tập cảm nhận (PLE)</w:t>
                                </w:r>
                              </w:p>
                            </w:txbxContent>
                          </wps:txbx>
                          <wps:bodyPr spcFirstLastPara="1" wrap="square" lIns="88900" tIns="38100" rIns="88900" bIns="38100" anchor="ctr" anchorCtr="0">
                            <a:noAutofit/>
                          </wps:bodyPr>
                        </wps:wsp>
                        <wps:wsp>
                          <wps:cNvPr id="1423841908" name="Rectangle: Rounded Corners 1423841908"/>
                          <wps:cNvSpPr/>
                          <wps:spPr>
                            <a:xfrm>
                              <a:off x="2044717" y="1695400"/>
                              <a:ext cx="1600213" cy="692200"/>
                            </a:xfrm>
                            <a:prstGeom prst="roundRect">
                              <a:avLst>
                                <a:gd name="adj" fmla="val 16667"/>
                              </a:avLst>
                            </a:prstGeom>
                            <a:solidFill>
                              <a:srgbClr val="FFFFFF"/>
                            </a:solidFill>
                            <a:ln w="12700" cap="flat" cmpd="sng">
                              <a:solidFill>
                                <a:srgbClr val="000000"/>
                              </a:solidFill>
                              <a:prstDash val="solid"/>
                              <a:miter lim="8000"/>
                              <a:headEnd type="none" w="sm" len="sm"/>
                              <a:tailEnd type="none" w="sm" len="sm"/>
                            </a:ln>
                          </wps:spPr>
                          <wps:txbx>
                            <w:txbxContent>
                              <w:p w14:paraId="5B4365F3" w14:textId="77777777" w:rsidR="00227AEF" w:rsidRDefault="004443D1">
                                <w:pPr>
                                  <w:spacing w:line="277" w:lineRule="auto"/>
                                  <w:jc w:val="center"/>
                                  <w:textDirection w:val="btLr"/>
                                </w:pPr>
                                <w:r>
                                  <w:rPr>
                                    <w:rFonts w:ascii="Times New Roman" w:eastAsia="Times New Roman" w:hAnsi="Times New Roman" w:cs="Times New Roman"/>
                                    <w:color w:val="000000"/>
                                  </w:rPr>
                                  <w:t xml:space="preserve">Niềm tin vào năng lực học </w:t>
                                </w:r>
                                <w:r>
                                  <w:rPr>
                                    <w:rFonts w:ascii="Times New Roman" w:eastAsia="Times New Roman" w:hAnsi="Times New Roman" w:cs="Times New Roman"/>
                                    <w:color w:val="000000"/>
                                  </w:rPr>
                                  <w:t>tập (ASE)</w:t>
                                </w:r>
                              </w:p>
                            </w:txbxContent>
                          </wps:txbx>
                          <wps:bodyPr spcFirstLastPara="1" wrap="square" lIns="88900" tIns="38100" rIns="88900" bIns="38100" anchor="ctr" anchorCtr="0">
                            <a:noAutofit/>
                          </wps:bodyPr>
                        </wps:wsp>
                        <wps:wsp>
                          <wps:cNvPr id="424055398" name="Rectangle: Rounded Corners 424055398"/>
                          <wps:cNvSpPr/>
                          <wps:spPr>
                            <a:xfrm>
                              <a:off x="4152935" y="869900"/>
                              <a:ext cx="1562113" cy="590600"/>
                            </a:xfrm>
                            <a:prstGeom prst="roundRect">
                              <a:avLst>
                                <a:gd name="adj" fmla="val 16667"/>
                              </a:avLst>
                            </a:prstGeom>
                            <a:solidFill>
                              <a:srgbClr val="FFFFFF"/>
                            </a:solidFill>
                            <a:ln w="12700" cap="flat" cmpd="sng">
                              <a:solidFill>
                                <a:srgbClr val="000000"/>
                              </a:solidFill>
                              <a:prstDash val="solid"/>
                              <a:miter lim="8000"/>
                              <a:headEnd type="none" w="sm" len="sm"/>
                              <a:tailEnd type="none" w="sm" len="sm"/>
                            </a:ln>
                          </wps:spPr>
                          <wps:txbx>
                            <w:txbxContent>
                              <w:p w14:paraId="100337A7" w14:textId="77777777" w:rsidR="00227AEF" w:rsidRDefault="004443D1">
                                <w:pPr>
                                  <w:spacing w:line="277" w:lineRule="auto"/>
                                  <w:jc w:val="center"/>
                                  <w:textDirection w:val="btLr"/>
                                </w:pPr>
                                <w:r>
                                  <w:rPr>
                                    <w:rFonts w:ascii="Times New Roman" w:eastAsia="Times New Roman" w:hAnsi="Times New Roman" w:cs="Times New Roman"/>
                                    <w:color w:val="000000"/>
                                  </w:rPr>
                                  <w:t>Động lực học tập (LM)</w:t>
                                </w:r>
                              </w:p>
                            </w:txbxContent>
                          </wps:txbx>
                          <wps:bodyPr spcFirstLastPara="1" wrap="square" lIns="88900" tIns="38100" rIns="88900" bIns="38100" anchor="ctr" anchorCtr="0">
                            <a:noAutofit/>
                          </wps:bodyPr>
                        </wps:wsp>
                        <wps:wsp>
                          <wps:cNvPr id="1966261060" name="Freeform: Shape 1966261060"/>
                          <wps:cNvSpPr/>
                          <wps:spPr>
                            <a:xfrm rot="10800000" flipH="1">
                              <a:off x="1733514" y="409500"/>
                              <a:ext cx="298502" cy="904900"/>
                            </a:xfrm>
                            <a:custGeom>
                              <a:avLst/>
                              <a:gdLst/>
                              <a:ahLst/>
                              <a:cxnLst/>
                              <a:rect l="l" t="t" r="r" b="b"/>
                              <a:pathLst>
                                <a:path w="298502" h="904900" extrusionOk="0">
                                  <a:moveTo>
                                    <a:pt x="0" y="0"/>
                                  </a:moveTo>
                                  <a:lnTo>
                                    <a:pt x="298502" y="904900"/>
                                  </a:lnTo>
                                </a:path>
                              </a:pathLst>
                            </a:custGeom>
                            <a:solidFill>
                              <a:srgbClr val="FFFFFF"/>
                            </a:solidFill>
                            <a:ln w="9525" cap="flat" cmpd="sng">
                              <a:solidFill>
                                <a:srgbClr val="156082"/>
                              </a:solidFill>
                              <a:prstDash val="solid"/>
                              <a:miter lim="8000"/>
                              <a:headEnd type="none" w="sm" len="sm"/>
                              <a:tailEnd type="triangle" w="med" len="med"/>
                            </a:ln>
                          </wps:spPr>
                          <wps:bodyPr spcFirstLastPara="1" wrap="square" lIns="91425" tIns="91425" rIns="91425" bIns="91425" anchor="ctr" anchorCtr="0">
                            <a:noAutofit/>
                          </wps:bodyPr>
                        </wps:wsp>
                        <wps:wsp>
                          <wps:cNvPr id="984730294" name="Freeform: Shape 984730294"/>
                          <wps:cNvSpPr/>
                          <wps:spPr>
                            <a:xfrm>
                              <a:off x="1727214" y="1225500"/>
                              <a:ext cx="317502" cy="816000"/>
                            </a:xfrm>
                            <a:custGeom>
                              <a:avLst/>
                              <a:gdLst/>
                              <a:ahLst/>
                              <a:cxnLst/>
                              <a:rect l="l" t="t" r="r" b="b"/>
                              <a:pathLst>
                                <a:path w="317502" h="816000" extrusionOk="0">
                                  <a:moveTo>
                                    <a:pt x="0" y="0"/>
                                  </a:moveTo>
                                  <a:lnTo>
                                    <a:pt x="317502" y="816000"/>
                                  </a:lnTo>
                                </a:path>
                              </a:pathLst>
                            </a:custGeom>
                            <a:solidFill>
                              <a:srgbClr val="FFFFFF"/>
                            </a:solidFill>
                            <a:ln w="9525" cap="flat" cmpd="sng">
                              <a:solidFill>
                                <a:srgbClr val="156082"/>
                              </a:solidFill>
                              <a:prstDash val="solid"/>
                              <a:miter lim="8000"/>
                              <a:headEnd type="none" w="sm" len="sm"/>
                              <a:tailEnd type="triangle" w="med" len="med"/>
                            </a:ln>
                          </wps:spPr>
                          <wps:bodyPr spcFirstLastPara="1" wrap="square" lIns="91425" tIns="91425" rIns="91425" bIns="91425" anchor="ctr" anchorCtr="0">
                            <a:noAutofit/>
                          </wps:bodyPr>
                        </wps:wsp>
                        <wps:wsp>
                          <wps:cNvPr id="1122084268" name="Freeform: Shape 1122084268"/>
                          <wps:cNvSpPr/>
                          <wps:spPr>
                            <a:xfrm>
                              <a:off x="3632230" y="409500"/>
                              <a:ext cx="520704" cy="755700"/>
                            </a:xfrm>
                            <a:custGeom>
                              <a:avLst/>
                              <a:gdLst/>
                              <a:ahLst/>
                              <a:cxnLst/>
                              <a:rect l="l" t="t" r="r" b="b"/>
                              <a:pathLst>
                                <a:path w="520704" h="755700" extrusionOk="0">
                                  <a:moveTo>
                                    <a:pt x="0" y="0"/>
                                  </a:moveTo>
                                  <a:lnTo>
                                    <a:pt x="520704" y="755700"/>
                                  </a:lnTo>
                                </a:path>
                              </a:pathLst>
                            </a:custGeom>
                            <a:solidFill>
                              <a:srgbClr val="FFFFFF"/>
                            </a:solidFill>
                            <a:ln w="9525" cap="flat" cmpd="sng">
                              <a:solidFill>
                                <a:srgbClr val="156082"/>
                              </a:solidFill>
                              <a:prstDash val="solid"/>
                              <a:miter lim="8000"/>
                              <a:headEnd type="none" w="sm" len="sm"/>
                              <a:tailEnd type="triangle" w="med" len="med"/>
                            </a:ln>
                          </wps:spPr>
                          <wps:bodyPr spcFirstLastPara="1" wrap="square" lIns="91425" tIns="91425" rIns="91425" bIns="91425" anchor="ctr" anchorCtr="0">
                            <a:noAutofit/>
                          </wps:bodyPr>
                        </wps:wsp>
                        <wps:wsp>
                          <wps:cNvPr id="1397591766" name="Freeform: Shape 1397591766"/>
                          <wps:cNvSpPr/>
                          <wps:spPr>
                            <a:xfrm rot="10800000" flipH="1">
                              <a:off x="3644930" y="1165200"/>
                              <a:ext cx="508004" cy="876300"/>
                            </a:xfrm>
                            <a:custGeom>
                              <a:avLst/>
                              <a:gdLst/>
                              <a:ahLst/>
                              <a:cxnLst/>
                              <a:rect l="l" t="t" r="r" b="b"/>
                              <a:pathLst>
                                <a:path w="508004" h="876300" extrusionOk="0">
                                  <a:moveTo>
                                    <a:pt x="0" y="0"/>
                                  </a:moveTo>
                                  <a:lnTo>
                                    <a:pt x="508004" y="876300"/>
                                  </a:lnTo>
                                </a:path>
                              </a:pathLst>
                            </a:custGeom>
                            <a:solidFill>
                              <a:srgbClr val="FFFFFF"/>
                            </a:solidFill>
                            <a:ln w="9525" cap="flat" cmpd="sng">
                              <a:solidFill>
                                <a:srgbClr val="156082"/>
                              </a:solidFill>
                              <a:prstDash val="solid"/>
                              <a:miter lim="8000"/>
                              <a:headEnd type="none" w="sm" len="sm"/>
                              <a:tailEnd type="triangle" w="med" len="med"/>
                            </a:ln>
                          </wps:spPr>
                          <wps:bodyPr spcFirstLastPara="1" wrap="square" lIns="91425" tIns="91425" rIns="91425" bIns="91425" anchor="ctr" anchorCtr="0">
                            <a:noAutofit/>
                          </wps:bodyPr>
                        </wps:wsp>
                        <wps:wsp>
                          <wps:cNvPr id="1074246694" name="Freeform: Shape 1074246694"/>
                          <wps:cNvSpPr/>
                          <wps:spPr>
                            <a:xfrm>
                              <a:off x="2832124" y="736600"/>
                              <a:ext cx="12700" cy="958800"/>
                            </a:xfrm>
                            <a:custGeom>
                              <a:avLst/>
                              <a:gdLst/>
                              <a:ahLst/>
                              <a:cxnLst/>
                              <a:rect l="l" t="t" r="r" b="b"/>
                              <a:pathLst>
                                <a:path w="12700" h="958800" extrusionOk="0">
                                  <a:moveTo>
                                    <a:pt x="0" y="0"/>
                                  </a:moveTo>
                                  <a:lnTo>
                                    <a:pt x="12700" y="958800"/>
                                  </a:lnTo>
                                </a:path>
                              </a:pathLst>
                            </a:custGeom>
                            <a:solidFill>
                              <a:srgbClr val="FFFFFF"/>
                            </a:solidFill>
                            <a:ln w="9525" cap="flat" cmpd="sng">
                              <a:solidFill>
                                <a:srgbClr val="156082"/>
                              </a:solidFill>
                              <a:prstDash val="solid"/>
                              <a:miter lim="8000"/>
                              <a:headEnd type="none" w="sm" len="sm"/>
                              <a:tailEnd type="triangle" w="med" len="med"/>
                            </a:ln>
                          </wps:spPr>
                          <wps:bodyPr spcFirstLastPara="1" wrap="square" lIns="91425" tIns="91425" rIns="91425" bIns="91425" anchor="ctr" anchorCtr="0">
                            <a:noAutofit/>
                          </wps:bodyPr>
                        </wps:wsp>
                      </wpg:grpSp>
                    </wpg:wgp>
                  </a:graphicData>
                </a:graphic>
              </wp:inline>
            </w:drawing>
          </mc:Choice>
          <mc:Fallback>
            <w:pict>
              <v:group id="Group 1343055203" o:spid="_x0000_s1026" style="width:463.5pt;height:198pt;mso-position-horizontal-relative:char;mso-position-vertical-relative:line" coordorigin="24027,25227" coordsize="58864,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cxA5wUAAOMlAAAOAAAAZHJzL2Uyb0RvYy54bWzsWtty2zYQfe9M/wHD90YEeNdEznSSOO1M&#10;pskk6QfAJCWx5a0gZcl/n7MgSMqyFVmOm6RT+kEmwMXyLLAHi13y+YtdkbPrVDVZVS4s/sy2WFrG&#10;VZKVq4X156fLX0KLNa0sE5lXZbqwbtLGenHx80/Pt/U8FdW6ypNUMSgpm/m2Xljrtq3ns1kTr9NC&#10;Ns+qOi1xc1mpQrZoqtUsUXIL7UU+E7btz7aVSmpVxWnToPdVd9O60PqXyzRu3y2XTdqyfGEBW6t/&#10;lf69ot/ZxXM5XylZr7PYwJCPQFHIrMRDB1WvZCvZRmV3VBVZrKqmWrbP4qqYVctlFqfaBljD7QNr&#10;3qhqU2tbVvPtqh6mCVN7ME+PVhv/cf1esSzB2jmuY3uesB2LlbLAWunHs71+TNa2Xs0x5o2qP9bv&#10;lelYdS2yf7dUBf2HZWynp/lmmOZ017IYnV4Y+q6H1YhxT3jc9W2zEPEaq0XjhGuLIPAspiWECEaJ&#10;1ye0zHoQM8I6QBsagw293a7LuScA6cDusf98u4/iP2MOMEHj3MXrR9sNYjWj7zRf5zsf17JOtUs2&#10;5AdmDiPXi4JAhKKfwg8gnixXecrGW3oW9ajBdZp5Ay/6Wr8ZVlzOa9W0b9KqYHSxsBRgaFrK67dN&#10;CwAQ7UXoqWV1meU5+uU8L291QJB64EM9Rrpqd1c7Y8ZVldzA+qaOLzM8661s2vdSYe/gFttiP1lY&#10;zT8bqVKL5b+XmPSIuwL+3O431H7jar8hy3hdYZuKW2WxrvGy1dtWh/LXTVstM20R4erAGLhYbfLx&#10;b7Ds2BrcMHK4A5u7LWNY9zn7UG3KJE3Yy0qViA+0j/TC53gCD11uQz+oABeL+n2g5xH33Mjl2LJo&#10;L/EDh3cCX3AJgkUwR7+gKV0lxgKZ/GWxZZFjJa9lzrjv+wFFCWjUTnTHh5oqzxJyI1LTqNXVy1wx&#10;DF1Yl/rPDL4llpdsC0/R2xqLyVmWuWxhRFFjJ27KlQZ3a8gtzbb+u08zefcr2aw7BFoDicl5kbUI&#10;tHlWLKwQo7vOdSqT12XC2psa+32JCA3nBYACXpsinuNCD25llp+WO86ZLsCQrtFbH06dMKRlN9Rx&#10;Qlpi1lHH3OmoY+78N6gTuI7r4wDzAOIMomb6sO2e3kCF7eBAEWjehMLrF3ygDUKuGGjjgWLaIyba&#10;aOL+ULQRE23GgwaCqIOAENlIK05HnFH4POq4bmCow/3Ic79MnkgQjfGAiTw/HnmciTwjeVxkJZ7n&#10;RA/hzih7DnVcJFKR06VtoR/dc1rzBe/DjhfZJvGbmPPjMcedmDMyh0e+L3wOf+3DzqVKU6pKzZnO&#10;iNmexEnCMFUhN+U2ncMROtgyz+rfKHGkc7opnPDAcVAZ0ec3147uHOBEFHo20m1KeyLbNUzbI1K8&#10;6TJh0tlnv5TmdHkw+tb9Vbwr+0vKl6lSlutKGRISpJxIQFEpuyJ3QPIsWxrXX1Ky0CNZD0AYTplq&#10;QxXBd39T8Yeki+o6/VTpce1BYQigx7t5uS/V6z40spPCQMLTZWQ9MHTum348hzqVnUUe5euPSM64&#10;59uohGC+gOXW879FctaqTBdedCJXpInJ5OiqQ3RPWWOqZcB3QzdwbBGBct3B8pDhowDmkdLYB+Vh&#10;PBCBMDzmQnh3iOzwYCByyBEQD8+S+978rxK5RwIiGyBPR+ReN4h8y8iJyEerLBORT70eub8WzUEz&#10;O3SFPxxzD5m8J3EOlR3fEcJBvIYT3xeS8eoksLF9UEgOPM+8skAM6N+JfDMm90jAZAPk6Zjc6z40&#10;cmLyxOT9N7dnvZE8wmQnCryIB75/LCbzUeIkkx9y6nZ8140MxTn34eumUN7XTT06tBuOh4HvfL9o&#10;3SOhaN0BeUKOGyspWu8bOXF84vhTc9wOUGry/ePnbj5KnOQ45ZcmgRahI7gAVSlQOf7wiUHP5P7l&#10;G25H+CDh+xHZAKH0ucPxdDw2qg9NnGj8f6Lx+BkMChL0FQy+JNKlCfPVE32qtN/WUuO3WRefAQAA&#10;//8DAFBLAwQUAAYACAAAACEAQfkXwdwAAAAFAQAADwAAAGRycy9kb3ducmV2LnhtbEyPQUvDQBCF&#10;74L/YRnBm92kxWrTbEop6qkItoL0Nk2mSWh2NmS3SfrvHb3o5cHjDe99k65G26ieOl87NhBPIlDE&#10;uStqLg187l8fnkH5gFxg45gMXMnDKru9STEp3MAf1O9CqaSEfYIGqhDaRGufV2TRT1xLLNnJdRaD&#10;2K7URYeDlNtGT6Nori3WLAsVtrSpKD/vLtbA24DDeha/9NvzaXM97B/fv7YxGXN/N66XoAKN4e8Y&#10;fvAFHTJhOroLF141BuSR8KuSLaZPYo8GZot5BDpL9X/67BsAAP//AwBQSwECLQAUAAYACAAAACEA&#10;toM4kv4AAADhAQAAEwAAAAAAAAAAAAAAAAAAAAAAW0NvbnRlbnRfVHlwZXNdLnhtbFBLAQItABQA&#10;BgAIAAAAIQA4/SH/1gAAAJQBAAALAAAAAAAAAAAAAAAAAC8BAABfcmVscy8ucmVsc1BLAQItABQA&#10;BgAIAAAAIQCk3cxA5wUAAOMlAAAOAAAAAAAAAAAAAAAAAC4CAABkcnMvZTJvRG9jLnhtbFBLAQIt&#10;ABQABgAIAAAAIQBB+RfB3AAAAAUBAAAPAAAAAAAAAAAAAAAAAEEIAABkcnMvZG93bnJldi54bWxQ&#10;SwUGAAAAAAQABADzAAAASgkAAAAA&#10;">
                <v:group id="Group 1441152864" o:spid="_x0000_s1027" style="position:absolute;left:24027;top:25227;width:58865;height:25146" coordsize="58864,25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ACAMgAAADjAAAADwAAAGRycy9kb3ducmV2LnhtbERPX2vCMBB/H/gdwgl7&#10;m2lcFalGEXFjDzKYDsS3oznbYnMpTdbWb78MBj7e7/+tNoOtRUetrxxrUJMEBHHuTMWFhu/T28sC&#10;hA/IBmvHpOFOHjbr0dMKM+N6/qLuGAoRQ9hnqKEMocmk9HlJFv3ENcSRu7rWYohnW0jTYh/DbS2n&#10;STKXFiuODSU2tCspvx1/rIb3Hvvtq9p3h9t1d7+cZp/ngyKtn8fDdgki0BAe4n/3h4nz01Sp2XQx&#10;T+HvpwiAXP8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2AAgDIAAAA&#10;4wAAAA8AAAAAAAAAAAAAAAAAqgIAAGRycy9kb3ducmV2LnhtbFBLBQYAAAAABAAEAPoAAACfAwAA&#10;AAA=&#10;">
                  <v:rect id="Rectangle 945977282" o:spid="_x0000_s1028" style="position:absolute;width:58864;height:25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otckA&#10;AADiAAAADwAAAGRycy9kb3ducmV2LnhtbESPUU/CMBSF30n8D80l8Q06GgQ2KUSNJsoTDn/Adb2s&#10;C+vtXCvMf29NTHg8Oed8J2e9HVwrztSHxrOG2TQDQVx503Ct4ePwMlmBCBHZYOuZNPxQgO3mZrTG&#10;wvgLv9O5jLVIEA4FarAxdoWUobLkMEx9R5y8o+8dxiT7WpoeLwnuWqmybCEdNpwWLHb0ZKk6ld9O&#10;w37uST2r8FjWLrfD52H39oULrW/Hw8M9iEhDvIb/269GQz6/y5dLtVLwdyndAbn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cYotckAAADiAAAADwAAAAAAAAAAAAAAAACYAgAA&#10;ZHJzL2Rvd25yZXYueG1sUEsFBgAAAAAEAAQA9QAAAI4DAAAAAA==&#10;" filled="f" stroked="f">
                    <v:textbox inset="2.53958mm,2.53958mm,2.53958mm,2.53958mm">
                      <w:txbxContent>
                        <w:p w14:paraId="21062866" w14:textId="77777777" w:rsidR="00227AEF" w:rsidRDefault="00227AEF">
                          <w:pPr>
                            <w:spacing w:after="0" w:line="240" w:lineRule="auto"/>
                            <w:textDirection w:val="btLr"/>
                          </w:pPr>
                        </w:p>
                      </w:txbxContent>
                    </v:textbox>
                  </v:rect>
                  <v:roundrect id="Rectangle: Rounded Corners 1344893131" o:spid="_x0000_s1029" style="position:absolute;left:1841;top:9779;width:15494;height:6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378gA&#10;AADjAAAADwAAAGRycy9kb3ducmV2LnhtbERPvU7DMBDekXgH65DYqBNSaBrqVlVRJEYaYOh2io8k&#10;anxObNOEt8dISIz3/d9mN5teXMj5zrKCdJGAIK6t7rhR8P5W3uUgfEDW2FsmBd/kYbe9vtpgoe3E&#10;R7pUoRExhH2BCtoQhkJKX7dk0C/sQBy5T+sMhni6RmqHUww3vbxPkkdpsOPY0OJAh5bqc/VlFLiP&#10;6jBOq9PDfjyvyvI55OPr7JW6vZn3TyACzeFf/Od+0XF+tlzm6yzNUvj9KQI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ILfvyAAAAOMAAAAPAAAAAAAAAAAAAAAAAJgCAABk&#10;cnMvZG93bnJldi54bWxQSwUGAAAAAAQABAD1AAAAjQMAAAAA&#10;" strokeweight="1pt">
                    <v:stroke startarrowwidth="narrow" startarrowlength="short" endarrowwidth="narrow" endarrowlength="short" miterlimit="5243f" joinstyle="miter"/>
                    <v:textbox inset="7pt,3pt,7pt,3pt">
                      <w:txbxContent>
                        <w:p w14:paraId="71249821" w14:textId="77777777" w:rsidR="00227AEF" w:rsidRDefault="004443D1">
                          <w:pPr>
                            <w:spacing w:line="277" w:lineRule="auto"/>
                            <w:jc w:val="center"/>
                            <w:textDirection w:val="btLr"/>
                          </w:pPr>
                          <w:r>
                            <w:rPr>
                              <w:rFonts w:ascii="Times New Roman" w:eastAsia="Times New Roman" w:hAnsi="Times New Roman" w:cs="Times New Roman"/>
                              <w:color w:val="000000"/>
                            </w:rPr>
                            <w:t>Hỗ trợ học tập từ AI (S_AI)</w:t>
                          </w:r>
                        </w:p>
                      </w:txbxContent>
                    </v:textbox>
                  </v:roundrect>
                  <v:roundrect id="Rectangle: Rounded Corners 74346200" o:spid="_x0000_s1030" style="position:absolute;left:20320;top:825;width:16002;height:65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7SH8gA&#10;AADhAAAADwAAAGRycy9kb3ducmV2LnhtbESPQWvCQBSE70L/w/IKvemmrRpJXUWUQI81bQ+9PbKv&#10;STD7NtldTfrvu4LgcZiZb5j1djStuJDzjWUFz7MEBHFpdcOVgq/PfLoC4QOyxtYyKfgjD9vNw2SN&#10;mbYDH+lShEpECPsMFdQhdJmUvqzJoJ/Zjjh6v9YZDFG6SmqHQ4SbVr4kyVIabDgu1NjRvqbyVJyN&#10;Avdd7Psh/Vns+lOa54ew6j9Gr9TT47h7AxFoDPfwrf2uFaTz1/kyYuH6KL4Buf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LtIfyAAAAOEAAAAPAAAAAAAAAAAAAAAAAJgCAABk&#10;cnMvZG93bnJldi54bWxQSwUGAAAAAAQABAD1AAAAjQMAAAAA&#10;" strokeweight="1pt">
                    <v:stroke startarrowwidth="narrow" startarrowlength="short" endarrowwidth="narrow" endarrowlength="short" miterlimit="5243f" joinstyle="miter"/>
                    <v:textbox inset="7pt,3pt,7pt,3pt">
                      <w:txbxContent>
                        <w:p w14:paraId="5C6FCBDC" w14:textId="77777777" w:rsidR="00227AEF" w:rsidRDefault="004443D1">
                          <w:pPr>
                            <w:spacing w:line="277" w:lineRule="auto"/>
                            <w:jc w:val="center"/>
                            <w:textDirection w:val="btLr"/>
                          </w:pPr>
                          <w:r>
                            <w:rPr>
                              <w:rFonts w:ascii="Times New Roman" w:eastAsia="Times New Roman" w:hAnsi="Times New Roman" w:cs="Times New Roman"/>
                              <w:color w:val="000000"/>
                            </w:rPr>
                            <w:t>Hiệu quả học tập cảm nhận (PLE)</w:t>
                          </w:r>
                        </w:p>
                      </w:txbxContent>
                    </v:textbox>
                  </v:roundrect>
                  <v:roundrect id="Rectangle: Rounded Corners 1423841908" o:spid="_x0000_s1031" style="position:absolute;left:20447;top:16954;width:16002;height:69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3wMoA&#10;AADjAAAADwAAAGRycy9kb3ducmV2LnhtbESPQU/DMAyF70j8h8hI3Fi6MVgpy6ZpqBJHKHDgZjWm&#10;rdY4bRLW8u/xAYmj/Z7f+7zdz65XZwqx82xguchAEdfedtwYeH8rb3JQMSFb7D2TgR+KsN9dXmyx&#10;sH7iVzpXqVESwrFAA21KQ6F1rFtyGBd+IBbtyweHScbQaBtwknDX61WW3WuHHUtDiwMdW6pP1bcz&#10;ED6q4zhtPu8O42lTlk8pH1/maMz11Xx4BJVoTv/mv+tnK/jr1W2+Xj5kAi0/yQL07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c898DKAAAA4wAAAA8AAAAAAAAAAAAAAAAAmAIA&#10;AGRycy9kb3ducmV2LnhtbFBLBQYAAAAABAAEAPUAAACPAwAAAAA=&#10;" strokeweight="1pt">
                    <v:stroke startarrowwidth="narrow" startarrowlength="short" endarrowwidth="narrow" endarrowlength="short" miterlimit="5243f" joinstyle="miter"/>
                    <v:textbox inset="7pt,3pt,7pt,3pt">
                      <w:txbxContent>
                        <w:p w14:paraId="5B4365F3" w14:textId="77777777" w:rsidR="00227AEF" w:rsidRDefault="004443D1">
                          <w:pPr>
                            <w:spacing w:line="277" w:lineRule="auto"/>
                            <w:jc w:val="center"/>
                            <w:textDirection w:val="btLr"/>
                          </w:pPr>
                          <w:r>
                            <w:rPr>
                              <w:rFonts w:ascii="Times New Roman" w:eastAsia="Times New Roman" w:hAnsi="Times New Roman" w:cs="Times New Roman"/>
                              <w:color w:val="000000"/>
                            </w:rPr>
                            <w:t xml:space="preserve">Niềm tin vào năng lực học </w:t>
                          </w:r>
                          <w:r>
                            <w:rPr>
                              <w:rFonts w:ascii="Times New Roman" w:eastAsia="Times New Roman" w:hAnsi="Times New Roman" w:cs="Times New Roman"/>
                              <w:color w:val="000000"/>
                            </w:rPr>
                            <w:t>tập (ASE)</w:t>
                          </w:r>
                        </w:p>
                      </w:txbxContent>
                    </v:textbox>
                  </v:roundrect>
                  <v:roundrect id="Rectangle: Rounded Corners 424055398" o:spid="_x0000_s1032" style="position:absolute;left:41529;top:8699;width:15621;height: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eMcA&#10;AADiAAAADwAAAGRycy9kb3ducmV2LnhtbERPPW/CMBDdkfofrKvUrTilpNAUgxAoEmObtkO3U3xN&#10;IuJzYhsS/j0ekBif3vdqM5pWnMn5xrKCl2kCgri0uuFKwc93/rwE4QOyxtYyKbiQh836YbLCTNuB&#10;v+hchErEEPYZKqhD6DIpfVmTQT+1HXHk/q0zGCJ0ldQOhxhuWjlLkjdpsOHYUGNHu5rKY3EyCtxv&#10;seuHxV+67Y+LPN+HZf85eqWeHsftB4hAY7iLb+6DVjCfzZM0fX2Pm+OleAf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unHjHAAAA4gAAAA8AAAAAAAAAAAAAAAAAmAIAAGRy&#10;cy9kb3ducmV2LnhtbFBLBQYAAAAABAAEAPUAAACMAwAAAAA=&#10;" strokeweight="1pt">
                    <v:stroke startarrowwidth="narrow" startarrowlength="short" endarrowwidth="narrow" endarrowlength="short" miterlimit="5243f" joinstyle="miter"/>
                    <v:textbox inset="7pt,3pt,7pt,3pt">
                      <w:txbxContent>
                        <w:p w14:paraId="100337A7" w14:textId="77777777" w:rsidR="00227AEF" w:rsidRDefault="004443D1">
                          <w:pPr>
                            <w:spacing w:line="277" w:lineRule="auto"/>
                            <w:jc w:val="center"/>
                            <w:textDirection w:val="btLr"/>
                          </w:pPr>
                          <w:r>
                            <w:rPr>
                              <w:rFonts w:ascii="Times New Roman" w:eastAsia="Times New Roman" w:hAnsi="Times New Roman" w:cs="Times New Roman"/>
                              <w:color w:val="000000"/>
                            </w:rPr>
                            <w:t>Động lực học tập (LM)</w:t>
                          </w:r>
                        </w:p>
                      </w:txbxContent>
                    </v:textbox>
                  </v:roundrect>
                  <v:shape id="Freeform: Shape 1966261060" o:spid="_x0000_s1033" style="position:absolute;left:17335;top:4095;width:2985;height:9049;rotation:180;flip:x;visibility:visible;mso-wrap-style:square;v-text-anchor:middle" coordsize="298502,90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k8VcgA&#10;AADjAAAADwAAAGRycy9kb3ducmV2LnhtbESPQU/DMAyF70j8h8hI3Fi6IkWsLJsGCK0c6fYDrMa0&#10;1RqnNGlX/j0+IHG0/fze+7b7xfdqpjF2gS2sVxko4jq4jhsL59P7wxOomJAd9oHJwg9F2O9ub7ZY&#10;uHDlT5qr1Cgx4VighTalodA61i15jKswEMvtK4wek4xjo92IVzH3vc6zzGiPHUtCiwO9tlRfqslb&#10;eKxC/n2azfHoP0pdbrppenkja+/vlsMzqERL+hf/fZdO6m+Myc06M0IhTLIAv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qTxVyAAAAOMAAAAPAAAAAAAAAAAAAAAAAJgCAABk&#10;cnMvZG93bnJldi54bWxQSwUGAAAAAAQABAD1AAAAjQMAAAAA&#10;" path="m,l298502,904900e" strokecolor="#156082">
                    <v:stroke startarrowwidth="narrow" startarrowlength="short" endarrow="block" miterlimit="5243f" joinstyle="miter"/>
                    <v:path arrowok="t" o:extrusionok="f"/>
                  </v:shape>
                  <v:shape id="Freeform: Shape 984730294" o:spid="_x0000_s1034" style="position:absolute;left:17272;top:12255;width:3175;height:8160;visibility:visible;mso-wrap-style:square;v-text-anchor:middle" coordsize="317502,8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x5soA&#10;AADiAAAADwAAAGRycy9kb3ducmV2LnhtbESPQU/CQBSE7yb8h80j8SZbW1SoLKRBSbwWPcDtpfto&#10;G7pvy+5a6r93TUw4Tmbmm8xqM5pODOR8a1nB4ywBQVxZ3XKt4Otz97AA4QOyxs4yKfghD5v15G6F&#10;ubZXLmnYh1pECPscFTQh9LmUvmrIoJ/Znjh6J+sMhihdLbXDa4SbTqZJ8iwNthwXGuxp21B13n8b&#10;BcOlyPpD6cZjWj5Vb4fsvCv8u1L307F4BRFoDLfwf/tDK1gu5i9Zki7n8Hcp3gG5/g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CF8ebKAAAA4gAAAA8AAAAAAAAAAAAAAAAAmAIA&#10;AGRycy9kb3ducmV2LnhtbFBLBQYAAAAABAAEAPUAAACPAwAAAAA=&#10;" path="m,l317502,816000e" strokecolor="#156082">
                    <v:stroke startarrowwidth="narrow" startarrowlength="short" endarrow="block" miterlimit="5243f" joinstyle="miter"/>
                    <v:path arrowok="t" o:extrusionok="f"/>
                  </v:shape>
                  <v:shape id="Freeform: Shape 1122084268" o:spid="_x0000_s1035" style="position:absolute;left:36322;top:4095;width:5207;height:7557;visibility:visible;mso-wrap-style:square;v-text-anchor:middle" coordsize="520704,75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WQckA&#10;AADjAAAADwAAAGRycy9kb3ducmV2LnhtbESPQWvDMAyF74P+B6PCbqvTdJQ0rVvKILDrsvXQm4jV&#10;JDSWQ+wm2X79dBjsKL2n9z4dTrPr1EhDaD0bWK8SUMSVty3XBr4+i5cMVIjIFjvPZOCbApyOi6cD&#10;5tZP/EFjGWslIRxyNNDE2Odah6ohh2Hle2LRbn5wGGUcam0HnCTcdTpNkq122LI0NNjTW0PVvXw4&#10;A9l16gun9c9mc9uVd8wucbwUxjwv5/MeVKQ5/pv/rt+t4K/TNMle061Ay0+yAH3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IRWQckAAADjAAAADwAAAAAAAAAAAAAAAACYAgAA&#10;ZHJzL2Rvd25yZXYueG1sUEsFBgAAAAAEAAQA9QAAAI4DAAAAAA==&#10;" path="m,l520704,755700e" strokecolor="#156082">
                    <v:stroke startarrowwidth="narrow" startarrowlength="short" endarrow="block" miterlimit="5243f" joinstyle="miter"/>
                    <v:path arrowok="t" o:extrusionok="f"/>
                  </v:shape>
                  <v:shape id="Freeform: Shape 1397591766" o:spid="_x0000_s1036" style="position:absolute;left:36449;top:11652;width:5080;height:8763;rotation:180;flip:x;visibility:visible;mso-wrap-style:square;v-text-anchor:middle" coordsize="508004,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eBsgA&#10;AADjAAAADwAAAGRycy9kb3ducmV2LnhtbERPS2vCQBC+F/wPywi91Y0tjTV1FREEDwrVvq5DdpqE&#10;ZmfDzqppf31XEHqc7z2zRe9adaIgjWcD41EGirj0tuHKwNvr+u4JlERki61nMvBDAov54GaGhfVn&#10;3tPpECuVQlgKNFDH2BVaS1mTQxn5jjhxXz44jOkMlbYBzynctfo+y3LtsOHUUGNHq5rK78PRGdgG&#10;kbiXl4/V8Xe5wffP2K63O2Nuh/3yGVSkPv6Lr+6NTfMfppPH6XiS53D5KQG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UB4GyAAAAOMAAAAPAAAAAAAAAAAAAAAAAJgCAABk&#10;cnMvZG93bnJldi54bWxQSwUGAAAAAAQABAD1AAAAjQMAAAAA&#10;" path="m,l508004,876300e" strokecolor="#156082">
                    <v:stroke startarrowwidth="narrow" startarrowlength="short" endarrow="block" miterlimit="5243f" joinstyle="miter"/>
                    <v:path arrowok="t" o:extrusionok="f"/>
                  </v:shape>
                  <v:shape id="Freeform: Shape 1074246694" o:spid="_x0000_s1037" style="position:absolute;left:28321;top:7366;width:127;height:9588;visibility:visible;mso-wrap-style:square;v-text-anchor:middle" coordsize="12700,95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jFcsA&#10;AADjAAAADwAAAGRycy9kb3ducmV2LnhtbESPT2vCQBDF74LfYZmCF9FNJI02dRVR0nor/qHnITtN&#10;QrOzIbtq9NN3C4UeZ957v3mzXPemEVfqXG1ZQTyNQBAXVtdcKjif8skChPPIGhvLpOBODtar4WCJ&#10;mbY3PtD16EsRIOwyVFB532ZSuqIig25qW+KgfdnOoA9jV0rd4S3ATSNnUZRKgzWHCxW2tK2o+D5e&#10;TKC88fM8/nx8jHfv+SMt4/y0tbFSo6d+8wrCU+//zX/pvQ71o3kyS9L0JYHfn8IC5Oo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EYCMVywAAAOMAAAAPAAAAAAAAAAAAAAAAAJgC&#10;AABkcnMvZG93bnJldi54bWxQSwUGAAAAAAQABAD1AAAAkAMAAAAA&#10;" path="m,l12700,958800e" strokecolor="#156082">
                    <v:stroke startarrowwidth="narrow" startarrowlength="short" endarrow="block" miterlimit="5243f" joinstyle="miter"/>
                    <v:path arrowok="t" o:extrusionok="f"/>
                  </v:shape>
                </v:group>
                <w10:anchorlock/>
              </v:group>
            </w:pict>
          </mc:Fallback>
        </mc:AlternateContent>
      </w:r>
    </w:p>
    <w:p w14:paraId="01370F58" w14:textId="4273517B"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Hình 1</w:t>
      </w:r>
      <w:r w:rsidR="007A2CDB">
        <w:rPr>
          <w:rFonts w:ascii="Times New Roman" w:eastAsia="Times New Roman" w:hAnsi="Times New Roman" w:cs="Times New Roman"/>
          <w:b/>
          <w:bCs/>
        </w:rPr>
        <w:t>:</w:t>
      </w:r>
      <w:r>
        <w:rPr>
          <w:rFonts w:ascii="Times New Roman" w:eastAsia="Times New Roman" w:hAnsi="Times New Roman" w:cs="Times New Roman"/>
          <w:b/>
          <w:bCs/>
        </w:rPr>
        <w:t xml:space="preserve"> Mô hình nghiên cứu</w:t>
      </w:r>
    </w:p>
    <w:p w14:paraId="385448E2" w14:textId="77777777" w:rsidR="00227AEF" w:rsidRDefault="004443D1" w:rsidP="007A2CDB">
      <w:pPr>
        <w:spacing w:before="120"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Nguồn: Tác giả đề xuất</w:t>
      </w:r>
    </w:p>
    <w:p w14:paraId="147CDC7F"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b/>
          <w:bCs/>
        </w:rPr>
        <w:t>3. Phương pháp nghiên cứu</w:t>
      </w:r>
    </w:p>
    <w:p w14:paraId="1523C3A3"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Nghiên cứu sử dụng phương pháp định lượng với thiết kế khảo sát cắt ngang nhằm kiểm định mối quan hệ giữa hỗ trợ học tập từ AI, hiệu quả học tập</w:t>
      </w:r>
      <w:r>
        <w:rPr>
          <w:rFonts w:ascii="Times New Roman" w:eastAsia="Times New Roman" w:hAnsi="Times New Roman" w:cs="Times New Roman"/>
        </w:rPr>
        <w:t xml:space="preserve"> cảm nhận, niềm tin vào năng lực học tập và động lực học tập. Đối tượng khảo sát là sinh viên đại học tại Thành phố Hồ Chí Minh đã có trải nghiệm sử dụng các công cụ AI tạo sinh như ChatGPT hoặc Gemini. Bảng hỏi được xây dựng từ các thang đo đã kiểm định v</w:t>
      </w:r>
      <w:r>
        <w:rPr>
          <w:rFonts w:ascii="Times New Roman" w:eastAsia="Times New Roman" w:hAnsi="Times New Roman" w:cs="Times New Roman"/>
        </w:rPr>
        <w:t>à điều chỉnh phù hợp bối cảnh Việt Nam, sử dụng thang Likert 5 mức. Cụ thể, hỗ trợ học tập từ AI gồm 4 biến (Alshamy et al., 2025; Dogaru et al., 2025), hiệu quả học tập cảm nhận 4 biến (Bai &amp; Wang, 2025), niềm tin vào năng lực học tập 4 biến (Pasupuleti e</w:t>
      </w:r>
      <w:r>
        <w:rPr>
          <w:rFonts w:ascii="Times New Roman" w:eastAsia="Times New Roman" w:hAnsi="Times New Roman" w:cs="Times New Roman"/>
        </w:rPr>
        <w:t>t al., 2025) và động lực học tập 5 biến (Hmoud et al., 2024). Dữ liệu được thu thập bằng phương pháp chọn mẫu thuận tiện qua Google Forms, với 400 bảng khảo sát, sau khi làm sạch còn 323 quan sát hợp lệ, đáp ứng yêu cầu cỡ mẫu theo Hair et al. (2022).</w:t>
      </w:r>
    </w:p>
    <w:p w14:paraId="18151358"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Dữ l</w:t>
      </w:r>
      <w:r>
        <w:rPr>
          <w:rFonts w:ascii="Times New Roman" w:eastAsia="Times New Roman" w:hAnsi="Times New Roman" w:cs="Times New Roman"/>
        </w:rPr>
        <w:t>iệu được phân tích bằng PLS-SEM trên SmartPLS, phù hợp với mô hình có biến trung gian (Hair et al., 2022). Quy trình gồm 2 bước: (i) đánh giá mô hình đo lường với các tiêu chí outer loading ≥ 0.708, Cronbach’s Alpha và CR từ 0,70-0,95, AVE ≥ 0.50 và HTMT &lt;</w:t>
      </w:r>
      <w:r>
        <w:rPr>
          <w:rFonts w:ascii="Times New Roman" w:eastAsia="Times New Roman" w:hAnsi="Times New Roman" w:cs="Times New Roman"/>
        </w:rPr>
        <w:t xml:space="preserve"> 0,85/0,90; (ii) đánh giá mô hình cấu trúc thông qua Bootstrapping 5.000 mẫu để kiểm định hệ số đường dẫn (p &lt; 0,05), kiểm tra đa cộng tuyến (VIF &lt; 3,0), vai trò trung gian (CI 95% không chứa 0) và năng lực giải thích, dự báo qua R², f² và Q², Q</w:t>
      </w:r>
      <w:r>
        <w:rPr>
          <w:rFonts w:ascii="Times New Roman" w:eastAsia="Times New Roman" w:hAnsi="Times New Roman" w:cs="Times New Roman"/>
          <w:vertAlign w:val="superscript"/>
        </w:rPr>
        <w:t>2</w:t>
      </w:r>
      <w:r>
        <w:rPr>
          <w:rFonts w:ascii="Times New Roman" w:eastAsia="Times New Roman" w:hAnsi="Times New Roman" w:cs="Times New Roman"/>
        </w:rPr>
        <w:t>Predict (H</w:t>
      </w:r>
      <w:r>
        <w:rPr>
          <w:rFonts w:ascii="Times New Roman" w:eastAsia="Times New Roman" w:hAnsi="Times New Roman" w:cs="Times New Roman"/>
        </w:rPr>
        <w:t>air et al., 2022).</w:t>
      </w:r>
    </w:p>
    <w:p w14:paraId="7B93C340"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b/>
          <w:bCs/>
        </w:rPr>
        <w:t>4. Kết quả nghiên cứu</w:t>
      </w:r>
    </w:p>
    <w:p w14:paraId="6EB65580" w14:textId="77777777" w:rsidR="00227AEF" w:rsidRPr="004443D1" w:rsidRDefault="004443D1" w:rsidP="007A2CDB">
      <w:pPr>
        <w:spacing w:before="120" w:after="0" w:line="240" w:lineRule="auto"/>
        <w:ind w:firstLine="720"/>
        <w:jc w:val="both"/>
        <w:rPr>
          <w:rFonts w:ascii="Times New Roman" w:eastAsia="Times New Roman" w:hAnsi="Times New Roman" w:cs="Times New Roman"/>
          <w:b/>
          <w:bCs/>
          <w:i/>
          <w:iCs/>
        </w:rPr>
      </w:pPr>
      <w:r w:rsidRPr="004443D1">
        <w:rPr>
          <w:rFonts w:ascii="Times New Roman" w:eastAsia="Times New Roman" w:hAnsi="Times New Roman" w:cs="Times New Roman"/>
          <w:b/>
          <w:bCs/>
          <w:i/>
          <w:iCs/>
        </w:rPr>
        <w:t>4.1 Thông tin mẫu khảo sát</w:t>
      </w:r>
    </w:p>
    <w:p w14:paraId="63FAF507"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Trước khi phân tích mô hình, nghiên cứu tiến hành thống kê mô tả để khái quát đặc điểm mẫu và hành vi sử dụng công nghệ của đáp viên (Pasupuleti et al., 2025). Sau khi làm sạch dữ liệu</w:t>
      </w:r>
      <w:r>
        <w:rPr>
          <w:rFonts w:ascii="Times New Roman" w:eastAsia="Times New Roman" w:hAnsi="Times New Roman" w:cs="Times New Roman"/>
        </w:rPr>
        <w:t>, 323 bảng khảo sát hợp lệ được đưa vào phân tích. Về giới tính, mẫu tương đối cân bằng với 54% nữ và 46% nam. Về năm học, sinh viên năm 3 chiếm tỷ lệ cao nhất (34%), tiếp đến là năm 2 (29%), trong khi năm 1 và năm 4 lần lượt chiếm 20% và 17%, cho thấy nhó</w:t>
      </w:r>
      <w:r>
        <w:rPr>
          <w:rFonts w:ascii="Times New Roman" w:eastAsia="Times New Roman" w:hAnsi="Times New Roman" w:cs="Times New Roman"/>
        </w:rPr>
        <w:t>m giữa khóa học có mức độ tham gia cao.</w:t>
      </w:r>
    </w:p>
    <w:p w14:paraId="2D96EC2E"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Xét theo khối ngành, mẫu bao gồm 3 nhóm chính: Kinh tế (37%), Xã hội nhân văn (34%) và Kỹ thuật (29%), đảm bảo tính đa dạng và giảm thiểu thiên lệch. Đáng chú ý, tần suất sử dụng AI rất cao, với 88% sinh viên cho biế</w:t>
      </w:r>
      <w:r>
        <w:rPr>
          <w:rFonts w:ascii="Times New Roman" w:eastAsia="Times New Roman" w:hAnsi="Times New Roman" w:cs="Times New Roman"/>
        </w:rPr>
        <w:t>t sử dụng thường xuyên; trong đó 51% sử dụng ở mức “rất nhiều” và 37% ở mức “nhiều”. Điều này cho thấy AI đã trở thành công cụ phổ biến trong hoạt động học tập của sinh viên.</w:t>
      </w:r>
    </w:p>
    <w:p w14:paraId="11EF6400" w14:textId="5D09C2A3"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Để trực quan hóa các số liệu thống kê mô tả, cơ cấu của mẫu nghiên cứu được tổng </w:t>
      </w:r>
      <w:r>
        <w:rPr>
          <w:rFonts w:ascii="Times New Roman" w:eastAsia="Times New Roman" w:hAnsi="Times New Roman" w:cs="Times New Roman"/>
        </w:rPr>
        <w:t>hợp trong Bảng 1</w:t>
      </w:r>
      <w:r w:rsidR="007A2CDB">
        <w:rPr>
          <w:rFonts w:ascii="Times New Roman" w:eastAsia="Times New Roman" w:hAnsi="Times New Roman" w:cs="Times New Roman"/>
        </w:rPr>
        <w:t>.</w:t>
      </w:r>
      <w:r>
        <w:rPr>
          <w:rFonts w:ascii="Times New Roman" w:eastAsia="Times New Roman" w:hAnsi="Times New Roman" w:cs="Times New Roman"/>
        </w:rPr>
        <w:t xml:space="preserve"> </w:t>
      </w:r>
    </w:p>
    <w:p w14:paraId="27DC0BD3"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Bảng 1. Đặc điểm nhân khẩu học và hành vi sử dụng AI của mẫu khảo sát (N = 323)</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3"/>
        <w:gridCol w:w="2469"/>
        <w:gridCol w:w="1888"/>
        <w:gridCol w:w="2176"/>
      </w:tblGrid>
      <w:tr w:rsidR="00227AEF" w14:paraId="4FA3A186" w14:textId="77777777">
        <w:trPr>
          <w:trHeight w:val="283"/>
        </w:trPr>
        <w:tc>
          <w:tcPr>
            <w:tcW w:w="3043" w:type="dxa"/>
          </w:tcPr>
          <w:p w14:paraId="3FBE5D7E" w14:textId="77777777" w:rsidR="00227AEF" w:rsidRDefault="004443D1" w:rsidP="007A2CDB">
            <w:pPr>
              <w:spacing w:before="120"/>
              <w:jc w:val="center"/>
              <w:rPr>
                <w:rFonts w:ascii="Times New Roman" w:eastAsia="Times New Roman" w:hAnsi="Times New Roman" w:cs="Times New Roman"/>
                <w:b/>
                <w:bCs/>
              </w:rPr>
            </w:pPr>
            <w:r>
              <w:rPr>
                <w:rFonts w:ascii="Times New Roman" w:eastAsia="Times New Roman" w:hAnsi="Times New Roman" w:cs="Times New Roman"/>
                <w:b/>
                <w:bCs/>
              </w:rPr>
              <w:t>Đặc điểm</w:t>
            </w:r>
          </w:p>
        </w:tc>
        <w:tc>
          <w:tcPr>
            <w:tcW w:w="2469" w:type="dxa"/>
          </w:tcPr>
          <w:p w14:paraId="05157B53" w14:textId="77777777" w:rsidR="00227AEF" w:rsidRDefault="004443D1" w:rsidP="007A2CDB">
            <w:pPr>
              <w:spacing w:before="120"/>
              <w:jc w:val="center"/>
              <w:rPr>
                <w:rFonts w:ascii="Times New Roman" w:eastAsia="Times New Roman" w:hAnsi="Times New Roman" w:cs="Times New Roman"/>
                <w:b/>
                <w:bCs/>
              </w:rPr>
            </w:pPr>
            <w:r>
              <w:rPr>
                <w:rFonts w:ascii="Times New Roman" w:eastAsia="Times New Roman" w:hAnsi="Times New Roman" w:cs="Times New Roman"/>
                <w:b/>
                <w:bCs/>
              </w:rPr>
              <w:t>Phân loại</w:t>
            </w:r>
          </w:p>
        </w:tc>
        <w:tc>
          <w:tcPr>
            <w:tcW w:w="1888" w:type="dxa"/>
          </w:tcPr>
          <w:p w14:paraId="2428DCBF" w14:textId="77777777" w:rsidR="00227AEF" w:rsidRDefault="004443D1" w:rsidP="007A2CDB">
            <w:pPr>
              <w:spacing w:before="120"/>
              <w:jc w:val="center"/>
              <w:rPr>
                <w:rFonts w:ascii="Times New Roman" w:eastAsia="Times New Roman" w:hAnsi="Times New Roman" w:cs="Times New Roman"/>
                <w:b/>
                <w:bCs/>
              </w:rPr>
            </w:pPr>
            <w:r>
              <w:rPr>
                <w:rFonts w:ascii="Times New Roman" w:eastAsia="Times New Roman" w:hAnsi="Times New Roman" w:cs="Times New Roman"/>
                <w:b/>
                <w:bCs/>
              </w:rPr>
              <w:t>Tần số (n)</w:t>
            </w:r>
          </w:p>
        </w:tc>
        <w:tc>
          <w:tcPr>
            <w:tcW w:w="2176" w:type="dxa"/>
          </w:tcPr>
          <w:p w14:paraId="4EA94AB3" w14:textId="77777777" w:rsidR="00227AEF" w:rsidRDefault="004443D1" w:rsidP="007A2CDB">
            <w:pPr>
              <w:spacing w:before="120"/>
              <w:jc w:val="center"/>
              <w:rPr>
                <w:rFonts w:ascii="Times New Roman" w:eastAsia="Times New Roman" w:hAnsi="Times New Roman" w:cs="Times New Roman"/>
                <w:b/>
                <w:bCs/>
              </w:rPr>
            </w:pPr>
            <w:r>
              <w:rPr>
                <w:rFonts w:ascii="Times New Roman" w:eastAsia="Times New Roman" w:hAnsi="Times New Roman" w:cs="Times New Roman"/>
                <w:b/>
                <w:bCs/>
              </w:rPr>
              <w:t>Tỷ lệ (%)</w:t>
            </w:r>
          </w:p>
        </w:tc>
      </w:tr>
      <w:tr w:rsidR="00227AEF" w14:paraId="190D543C" w14:textId="77777777">
        <w:trPr>
          <w:trHeight w:val="283"/>
        </w:trPr>
        <w:tc>
          <w:tcPr>
            <w:tcW w:w="3043" w:type="dxa"/>
            <w:vMerge w:val="restart"/>
          </w:tcPr>
          <w:p w14:paraId="53786C1E"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b/>
                <w:bCs/>
              </w:rPr>
              <w:t>Giới tính</w:t>
            </w:r>
          </w:p>
        </w:tc>
        <w:tc>
          <w:tcPr>
            <w:tcW w:w="2469" w:type="dxa"/>
          </w:tcPr>
          <w:p w14:paraId="4DD89DF4"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Nam</w:t>
            </w:r>
          </w:p>
        </w:tc>
        <w:tc>
          <w:tcPr>
            <w:tcW w:w="1888" w:type="dxa"/>
          </w:tcPr>
          <w:p w14:paraId="0A30786E"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149</w:t>
            </w:r>
          </w:p>
        </w:tc>
        <w:tc>
          <w:tcPr>
            <w:tcW w:w="2176" w:type="dxa"/>
          </w:tcPr>
          <w:p w14:paraId="0088BED3"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46,0%</w:t>
            </w:r>
          </w:p>
        </w:tc>
      </w:tr>
      <w:tr w:rsidR="00227AEF" w14:paraId="2857D79D" w14:textId="77777777">
        <w:trPr>
          <w:trHeight w:val="283"/>
        </w:trPr>
        <w:tc>
          <w:tcPr>
            <w:tcW w:w="3043" w:type="dxa"/>
            <w:vMerge/>
          </w:tcPr>
          <w:p w14:paraId="2F654263" w14:textId="77777777" w:rsidR="00227AEF" w:rsidRDefault="00227AEF" w:rsidP="007A2CDB">
            <w:pPr>
              <w:widowControl w:val="0"/>
              <w:pBdr>
                <w:top w:val="nil"/>
                <w:left w:val="nil"/>
                <w:bottom w:val="nil"/>
                <w:right w:val="nil"/>
                <w:between w:val="nil"/>
              </w:pBdr>
              <w:spacing w:before="120" w:line="276" w:lineRule="auto"/>
              <w:rPr>
                <w:rFonts w:ascii="Times New Roman" w:eastAsia="Times New Roman" w:hAnsi="Times New Roman" w:cs="Times New Roman"/>
              </w:rPr>
            </w:pPr>
          </w:p>
        </w:tc>
        <w:tc>
          <w:tcPr>
            <w:tcW w:w="2469" w:type="dxa"/>
          </w:tcPr>
          <w:p w14:paraId="5AB0A4F8"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Nữ</w:t>
            </w:r>
          </w:p>
        </w:tc>
        <w:tc>
          <w:tcPr>
            <w:tcW w:w="1888" w:type="dxa"/>
          </w:tcPr>
          <w:p w14:paraId="45B5ADD9"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174</w:t>
            </w:r>
          </w:p>
        </w:tc>
        <w:tc>
          <w:tcPr>
            <w:tcW w:w="2176" w:type="dxa"/>
          </w:tcPr>
          <w:p w14:paraId="65DB47A1"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54,0%</w:t>
            </w:r>
          </w:p>
        </w:tc>
      </w:tr>
      <w:tr w:rsidR="00227AEF" w14:paraId="20171905" w14:textId="77777777">
        <w:trPr>
          <w:trHeight w:val="283"/>
        </w:trPr>
        <w:tc>
          <w:tcPr>
            <w:tcW w:w="3043" w:type="dxa"/>
            <w:vMerge w:val="restart"/>
          </w:tcPr>
          <w:p w14:paraId="4CF759A2"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b/>
                <w:bCs/>
              </w:rPr>
              <w:t>Năm học</w:t>
            </w:r>
          </w:p>
        </w:tc>
        <w:tc>
          <w:tcPr>
            <w:tcW w:w="2469" w:type="dxa"/>
          </w:tcPr>
          <w:p w14:paraId="48366D26"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Năm 1</w:t>
            </w:r>
          </w:p>
        </w:tc>
        <w:tc>
          <w:tcPr>
            <w:tcW w:w="1888" w:type="dxa"/>
          </w:tcPr>
          <w:p w14:paraId="6B0627B7"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65</w:t>
            </w:r>
          </w:p>
        </w:tc>
        <w:tc>
          <w:tcPr>
            <w:tcW w:w="2176" w:type="dxa"/>
          </w:tcPr>
          <w:p w14:paraId="662E7A4F"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20,0%</w:t>
            </w:r>
          </w:p>
        </w:tc>
      </w:tr>
      <w:tr w:rsidR="00227AEF" w14:paraId="14290EB3" w14:textId="77777777">
        <w:trPr>
          <w:trHeight w:val="283"/>
        </w:trPr>
        <w:tc>
          <w:tcPr>
            <w:tcW w:w="3043" w:type="dxa"/>
            <w:vMerge/>
          </w:tcPr>
          <w:p w14:paraId="31279302" w14:textId="77777777" w:rsidR="00227AEF" w:rsidRDefault="00227AEF" w:rsidP="007A2CDB">
            <w:pPr>
              <w:widowControl w:val="0"/>
              <w:pBdr>
                <w:top w:val="nil"/>
                <w:left w:val="nil"/>
                <w:bottom w:val="nil"/>
                <w:right w:val="nil"/>
                <w:between w:val="nil"/>
              </w:pBdr>
              <w:spacing w:before="120" w:line="276" w:lineRule="auto"/>
              <w:rPr>
                <w:rFonts w:ascii="Times New Roman" w:eastAsia="Times New Roman" w:hAnsi="Times New Roman" w:cs="Times New Roman"/>
              </w:rPr>
            </w:pPr>
          </w:p>
        </w:tc>
        <w:tc>
          <w:tcPr>
            <w:tcW w:w="2469" w:type="dxa"/>
          </w:tcPr>
          <w:p w14:paraId="563F846C"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Năm 2</w:t>
            </w:r>
          </w:p>
        </w:tc>
        <w:tc>
          <w:tcPr>
            <w:tcW w:w="1888" w:type="dxa"/>
          </w:tcPr>
          <w:p w14:paraId="5DC81520"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94</w:t>
            </w:r>
          </w:p>
        </w:tc>
        <w:tc>
          <w:tcPr>
            <w:tcW w:w="2176" w:type="dxa"/>
          </w:tcPr>
          <w:p w14:paraId="5FDF4A0F"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29,0%</w:t>
            </w:r>
          </w:p>
        </w:tc>
      </w:tr>
      <w:tr w:rsidR="00227AEF" w14:paraId="759B8126" w14:textId="77777777">
        <w:trPr>
          <w:trHeight w:val="283"/>
        </w:trPr>
        <w:tc>
          <w:tcPr>
            <w:tcW w:w="3043" w:type="dxa"/>
            <w:vMerge/>
          </w:tcPr>
          <w:p w14:paraId="06259610" w14:textId="77777777" w:rsidR="00227AEF" w:rsidRDefault="00227AEF" w:rsidP="007A2CDB">
            <w:pPr>
              <w:widowControl w:val="0"/>
              <w:pBdr>
                <w:top w:val="nil"/>
                <w:left w:val="nil"/>
                <w:bottom w:val="nil"/>
                <w:right w:val="nil"/>
                <w:between w:val="nil"/>
              </w:pBdr>
              <w:spacing w:before="120" w:line="276" w:lineRule="auto"/>
              <w:rPr>
                <w:rFonts w:ascii="Times New Roman" w:eastAsia="Times New Roman" w:hAnsi="Times New Roman" w:cs="Times New Roman"/>
              </w:rPr>
            </w:pPr>
          </w:p>
        </w:tc>
        <w:tc>
          <w:tcPr>
            <w:tcW w:w="2469" w:type="dxa"/>
          </w:tcPr>
          <w:p w14:paraId="6AFA9DA8"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Năm 3</w:t>
            </w:r>
          </w:p>
        </w:tc>
        <w:tc>
          <w:tcPr>
            <w:tcW w:w="1888" w:type="dxa"/>
          </w:tcPr>
          <w:p w14:paraId="2B7F1890"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110</w:t>
            </w:r>
          </w:p>
        </w:tc>
        <w:tc>
          <w:tcPr>
            <w:tcW w:w="2176" w:type="dxa"/>
          </w:tcPr>
          <w:p w14:paraId="45DE20C2"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34,0%</w:t>
            </w:r>
          </w:p>
        </w:tc>
      </w:tr>
      <w:tr w:rsidR="00227AEF" w14:paraId="493DB723" w14:textId="77777777">
        <w:trPr>
          <w:trHeight w:val="283"/>
        </w:trPr>
        <w:tc>
          <w:tcPr>
            <w:tcW w:w="3043" w:type="dxa"/>
            <w:vMerge/>
          </w:tcPr>
          <w:p w14:paraId="69B6845D" w14:textId="77777777" w:rsidR="00227AEF" w:rsidRDefault="00227AEF" w:rsidP="007A2CDB">
            <w:pPr>
              <w:widowControl w:val="0"/>
              <w:pBdr>
                <w:top w:val="nil"/>
                <w:left w:val="nil"/>
                <w:bottom w:val="nil"/>
                <w:right w:val="nil"/>
                <w:between w:val="nil"/>
              </w:pBdr>
              <w:spacing w:before="120" w:line="276" w:lineRule="auto"/>
              <w:rPr>
                <w:rFonts w:ascii="Times New Roman" w:eastAsia="Times New Roman" w:hAnsi="Times New Roman" w:cs="Times New Roman"/>
              </w:rPr>
            </w:pPr>
          </w:p>
        </w:tc>
        <w:tc>
          <w:tcPr>
            <w:tcW w:w="2469" w:type="dxa"/>
          </w:tcPr>
          <w:p w14:paraId="1A00E3D7"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Năm 4</w:t>
            </w:r>
          </w:p>
        </w:tc>
        <w:tc>
          <w:tcPr>
            <w:tcW w:w="1888" w:type="dxa"/>
          </w:tcPr>
          <w:p w14:paraId="2F3172D8"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54</w:t>
            </w:r>
          </w:p>
        </w:tc>
        <w:tc>
          <w:tcPr>
            <w:tcW w:w="2176" w:type="dxa"/>
          </w:tcPr>
          <w:p w14:paraId="170F83BD"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17,0%</w:t>
            </w:r>
          </w:p>
        </w:tc>
      </w:tr>
      <w:tr w:rsidR="00227AEF" w14:paraId="3E32D2F1" w14:textId="77777777">
        <w:trPr>
          <w:trHeight w:val="283"/>
        </w:trPr>
        <w:tc>
          <w:tcPr>
            <w:tcW w:w="3043" w:type="dxa"/>
            <w:vMerge w:val="restart"/>
          </w:tcPr>
          <w:p w14:paraId="5FA78C82"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b/>
                <w:bCs/>
              </w:rPr>
              <w:t>Khối ngành học</w:t>
            </w:r>
          </w:p>
        </w:tc>
        <w:tc>
          <w:tcPr>
            <w:tcW w:w="2469" w:type="dxa"/>
          </w:tcPr>
          <w:p w14:paraId="39C64C6A"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Kinh tế</w:t>
            </w:r>
          </w:p>
        </w:tc>
        <w:tc>
          <w:tcPr>
            <w:tcW w:w="1888" w:type="dxa"/>
          </w:tcPr>
          <w:p w14:paraId="076E5BA6"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120</w:t>
            </w:r>
          </w:p>
        </w:tc>
        <w:tc>
          <w:tcPr>
            <w:tcW w:w="2176" w:type="dxa"/>
          </w:tcPr>
          <w:p w14:paraId="2FBE9A51"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37,0%</w:t>
            </w:r>
          </w:p>
        </w:tc>
      </w:tr>
      <w:tr w:rsidR="00227AEF" w14:paraId="57729C52" w14:textId="77777777">
        <w:trPr>
          <w:trHeight w:val="283"/>
        </w:trPr>
        <w:tc>
          <w:tcPr>
            <w:tcW w:w="3043" w:type="dxa"/>
            <w:vMerge/>
          </w:tcPr>
          <w:p w14:paraId="3ED34643" w14:textId="77777777" w:rsidR="00227AEF" w:rsidRDefault="00227AEF" w:rsidP="007A2CDB">
            <w:pPr>
              <w:widowControl w:val="0"/>
              <w:pBdr>
                <w:top w:val="nil"/>
                <w:left w:val="nil"/>
                <w:bottom w:val="nil"/>
                <w:right w:val="nil"/>
                <w:between w:val="nil"/>
              </w:pBdr>
              <w:spacing w:before="120" w:line="276" w:lineRule="auto"/>
              <w:rPr>
                <w:rFonts w:ascii="Times New Roman" w:eastAsia="Times New Roman" w:hAnsi="Times New Roman" w:cs="Times New Roman"/>
              </w:rPr>
            </w:pPr>
          </w:p>
        </w:tc>
        <w:tc>
          <w:tcPr>
            <w:tcW w:w="2469" w:type="dxa"/>
          </w:tcPr>
          <w:p w14:paraId="4A3B4298"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Xã hội nhân văn</w:t>
            </w:r>
          </w:p>
        </w:tc>
        <w:tc>
          <w:tcPr>
            <w:tcW w:w="1888" w:type="dxa"/>
          </w:tcPr>
          <w:p w14:paraId="5E769B48"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110</w:t>
            </w:r>
          </w:p>
        </w:tc>
        <w:tc>
          <w:tcPr>
            <w:tcW w:w="2176" w:type="dxa"/>
          </w:tcPr>
          <w:p w14:paraId="072FFFBD"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34,0%</w:t>
            </w:r>
          </w:p>
        </w:tc>
      </w:tr>
      <w:tr w:rsidR="00227AEF" w14:paraId="03338D69" w14:textId="77777777">
        <w:trPr>
          <w:trHeight w:val="283"/>
        </w:trPr>
        <w:tc>
          <w:tcPr>
            <w:tcW w:w="3043" w:type="dxa"/>
            <w:vMerge/>
          </w:tcPr>
          <w:p w14:paraId="62E3EB80" w14:textId="77777777" w:rsidR="00227AEF" w:rsidRDefault="00227AEF" w:rsidP="007A2CDB">
            <w:pPr>
              <w:widowControl w:val="0"/>
              <w:pBdr>
                <w:top w:val="nil"/>
                <w:left w:val="nil"/>
                <w:bottom w:val="nil"/>
                <w:right w:val="nil"/>
                <w:between w:val="nil"/>
              </w:pBdr>
              <w:spacing w:before="120" w:line="276" w:lineRule="auto"/>
              <w:rPr>
                <w:rFonts w:ascii="Times New Roman" w:eastAsia="Times New Roman" w:hAnsi="Times New Roman" w:cs="Times New Roman"/>
              </w:rPr>
            </w:pPr>
          </w:p>
        </w:tc>
        <w:tc>
          <w:tcPr>
            <w:tcW w:w="2469" w:type="dxa"/>
          </w:tcPr>
          <w:p w14:paraId="5CCE750D"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Kỹ thuật</w:t>
            </w:r>
          </w:p>
        </w:tc>
        <w:tc>
          <w:tcPr>
            <w:tcW w:w="1888" w:type="dxa"/>
          </w:tcPr>
          <w:p w14:paraId="776D4E9C"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93</w:t>
            </w:r>
          </w:p>
        </w:tc>
        <w:tc>
          <w:tcPr>
            <w:tcW w:w="2176" w:type="dxa"/>
          </w:tcPr>
          <w:p w14:paraId="376D9D2D"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29,0%</w:t>
            </w:r>
          </w:p>
        </w:tc>
      </w:tr>
      <w:tr w:rsidR="00227AEF" w14:paraId="12264B86" w14:textId="77777777">
        <w:trPr>
          <w:trHeight w:val="283"/>
        </w:trPr>
        <w:tc>
          <w:tcPr>
            <w:tcW w:w="3043" w:type="dxa"/>
            <w:vMerge w:val="restart"/>
          </w:tcPr>
          <w:p w14:paraId="6BC4A240"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b/>
                <w:bCs/>
              </w:rPr>
              <w:t>Tần suất sử dụng AI</w:t>
            </w:r>
          </w:p>
        </w:tc>
        <w:tc>
          <w:tcPr>
            <w:tcW w:w="2469" w:type="dxa"/>
          </w:tcPr>
          <w:p w14:paraId="7191586D"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Ít</w:t>
            </w:r>
          </w:p>
        </w:tc>
        <w:tc>
          <w:tcPr>
            <w:tcW w:w="1888" w:type="dxa"/>
          </w:tcPr>
          <w:p w14:paraId="6FFA4302"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39</w:t>
            </w:r>
          </w:p>
        </w:tc>
        <w:tc>
          <w:tcPr>
            <w:tcW w:w="2176" w:type="dxa"/>
          </w:tcPr>
          <w:p w14:paraId="6EE995D7"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12,0%</w:t>
            </w:r>
          </w:p>
        </w:tc>
      </w:tr>
      <w:tr w:rsidR="00227AEF" w14:paraId="144567BA" w14:textId="77777777">
        <w:trPr>
          <w:trHeight w:val="283"/>
        </w:trPr>
        <w:tc>
          <w:tcPr>
            <w:tcW w:w="3043" w:type="dxa"/>
            <w:vMerge/>
          </w:tcPr>
          <w:p w14:paraId="622C153D" w14:textId="77777777" w:rsidR="00227AEF" w:rsidRDefault="00227AEF" w:rsidP="007A2CDB">
            <w:pPr>
              <w:widowControl w:val="0"/>
              <w:pBdr>
                <w:top w:val="nil"/>
                <w:left w:val="nil"/>
                <w:bottom w:val="nil"/>
                <w:right w:val="nil"/>
                <w:between w:val="nil"/>
              </w:pBdr>
              <w:spacing w:before="120" w:line="276" w:lineRule="auto"/>
              <w:rPr>
                <w:rFonts w:ascii="Times New Roman" w:eastAsia="Times New Roman" w:hAnsi="Times New Roman" w:cs="Times New Roman"/>
              </w:rPr>
            </w:pPr>
          </w:p>
        </w:tc>
        <w:tc>
          <w:tcPr>
            <w:tcW w:w="2469" w:type="dxa"/>
          </w:tcPr>
          <w:p w14:paraId="5037C2E4"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Nhiều</w:t>
            </w:r>
          </w:p>
        </w:tc>
        <w:tc>
          <w:tcPr>
            <w:tcW w:w="1888" w:type="dxa"/>
          </w:tcPr>
          <w:p w14:paraId="063C76BB"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119</w:t>
            </w:r>
          </w:p>
        </w:tc>
        <w:tc>
          <w:tcPr>
            <w:tcW w:w="2176" w:type="dxa"/>
          </w:tcPr>
          <w:p w14:paraId="58A38580"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37,0%</w:t>
            </w:r>
          </w:p>
        </w:tc>
      </w:tr>
      <w:tr w:rsidR="00227AEF" w14:paraId="2BFFD397" w14:textId="77777777">
        <w:trPr>
          <w:trHeight w:val="283"/>
        </w:trPr>
        <w:tc>
          <w:tcPr>
            <w:tcW w:w="3043" w:type="dxa"/>
            <w:vMerge/>
          </w:tcPr>
          <w:p w14:paraId="45A91772" w14:textId="77777777" w:rsidR="00227AEF" w:rsidRDefault="00227AEF" w:rsidP="007A2CDB">
            <w:pPr>
              <w:widowControl w:val="0"/>
              <w:pBdr>
                <w:top w:val="nil"/>
                <w:left w:val="nil"/>
                <w:bottom w:val="nil"/>
                <w:right w:val="nil"/>
                <w:between w:val="nil"/>
              </w:pBdr>
              <w:spacing w:before="120" w:line="276" w:lineRule="auto"/>
              <w:rPr>
                <w:rFonts w:ascii="Times New Roman" w:eastAsia="Times New Roman" w:hAnsi="Times New Roman" w:cs="Times New Roman"/>
              </w:rPr>
            </w:pPr>
          </w:p>
        </w:tc>
        <w:tc>
          <w:tcPr>
            <w:tcW w:w="2469" w:type="dxa"/>
          </w:tcPr>
          <w:p w14:paraId="02F55832" w14:textId="77777777" w:rsidR="00227AEF" w:rsidRDefault="004443D1" w:rsidP="007A2CDB">
            <w:pPr>
              <w:spacing w:before="120"/>
              <w:jc w:val="both"/>
              <w:rPr>
                <w:rFonts w:ascii="Times New Roman" w:eastAsia="Times New Roman" w:hAnsi="Times New Roman" w:cs="Times New Roman"/>
              </w:rPr>
            </w:pPr>
            <w:r>
              <w:rPr>
                <w:rFonts w:ascii="Times New Roman" w:eastAsia="Times New Roman" w:hAnsi="Times New Roman" w:cs="Times New Roman"/>
              </w:rPr>
              <w:t>Rất nhiều</w:t>
            </w:r>
          </w:p>
        </w:tc>
        <w:tc>
          <w:tcPr>
            <w:tcW w:w="1888" w:type="dxa"/>
          </w:tcPr>
          <w:p w14:paraId="1945193C"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165</w:t>
            </w:r>
          </w:p>
        </w:tc>
        <w:tc>
          <w:tcPr>
            <w:tcW w:w="2176" w:type="dxa"/>
          </w:tcPr>
          <w:p w14:paraId="0AE5C694" w14:textId="77777777" w:rsidR="00227AEF" w:rsidRDefault="004443D1" w:rsidP="007A2CDB">
            <w:pPr>
              <w:spacing w:before="120"/>
              <w:jc w:val="center"/>
              <w:rPr>
                <w:rFonts w:ascii="Times New Roman" w:eastAsia="Times New Roman" w:hAnsi="Times New Roman" w:cs="Times New Roman"/>
              </w:rPr>
            </w:pPr>
            <w:r>
              <w:rPr>
                <w:rFonts w:ascii="Times New Roman" w:eastAsia="Times New Roman" w:hAnsi="Times New Roman" w:cs="Times New Roman"/>
              </w:rPr>
              <w:t>51,0%</w:t>
            </w:r>
          </w:p>
        </w:tc>
      </w:tr>
    </w:tbl>
    <w:p w14:paraId="106507B3" w14:textId="77777777" w:rsidR="00227AEF" w:rsidRDefault="004443D1" w:rsidP="007A2CDB">
      <w:pPr>
        <w:spacing w:before="120"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Nguồn: Phân tích dữ liệu từ SPSS</w:t>
      </w:r>
    </w:p>
    <w:p w14:paraId="0EE50837" w14:textId="77777777" w:rsidR="00227AEF" w:rsidRDefault="004443D1" w:rsidP="007A2CDB">
      <w:pPr>
        <w:spacing w:before="120" w:after="0" w:line="240" w:lineRule="auto"/>
        <w:ind w:firstLine="720"/>
        <w:jc w:val="both"/>
        <w:rPr>
          <w:rFonts w:ascii="Times New Roman" w:eastAsia="Times New Roman" w:hAnsi="Times New Roman" w:cs="Times New Roman"/>
          <w:b/>
          <w:bCs/>
        </w:rPr>
      </w:pPr>
      <w:r>
        <w:rPr>
          <w:rFonts w:ascii="Times New Roman" w:eastAsia="Times New Roman" w:hAnsi="Times New Roman" w:cs="Times New Roman"/>
          <w:b/>
          <w:bCs/>
        </w:rPr>
        <w:t>4.2. Kiểm định mô hình đo lường PLS-SEM</w:t>
      </w:r>
    </w:p>
    <w:p w14:paraId="0378E393" w14:textId="0C9E563A"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Kết quả kiểm định </w:t>
      </w:r>
      <w:r>
        <w:rPr>
          <w:rFonts w:ascii="Times New Roman" w:eastAsia="Times New Roman" w:hAnsi="Times New Roman" w:cs="Times New Roman"/>
        </w:rPr>
        <w:t>mô hình đo lường cho thấy</w:t>
      </w:r>
      <w:r w:rsidR="007A2CDB">
        <w:rPr>
          <w:rFonts w:ascii="Times New Roman" w:eastAsia="Times New Roman" w:hAnsi="Times New Roman" w:cs="Times New Roman"/>
        </w:rPr>
        <w:t>,</w:t>
      </w:r>
      <w:r>
        <w:rPr>
          <w:rFonts w:ascii="Times New Roman" w:eastAsia="Times New Roman" w:hAnsi="Times New Roman" w:cs="Times New Roman"/>
        </w:rPr>
        <w:t xml:space="preserve"> các thang đo đều đạt độ tin cậy và giá trị hợp lệ tốt. Cụ thể, hệ số tải ngoài (outer loading) của tất cả các biến quan sát đều lớn hơn 0,897, vượt ngưỡng 0,708, chứng tỏ các biến đo lường có độ tin cậy cao. Độ tin cậy nhất quán </w:t>
      </w:r>
      <w:r>
        <w:rPr>
          <w:rFonts w:ascii="Times New Roman" w:eastAsia="Times New Roman" w:hAnsi="Times New Roman" w:cs="Times New Roman"/>
        </w:rPr>
        <w:t>nội tại cũng được đảm bảo khi Cronbach’s Alpha dao động từ 0,925 đến 0,958 và độ tin cậy tổng hợp (CR) đều lớn hơn 0,947. Giá trị hội tụ được xác nhận với AVE của các cấu trúc đều vượt 0,817, cao hơn mức yêu cầu 0,50. Đồng thời, giá trị phân biệt đạt yêu c</w:t>
      </w:r>
      <w:r>
        <w:rPr>
          <w:rFonts w:ascii="Times New Roman" w:eastAsia="Times New Roman" w:hAnsi="Times New Roman" w:cs="Times New Roman"/>
        </w:rPr>
        <w:t>ầu khi các hệ số tương quan giữa các biến tiềm ẩn đều thấp hơn ngưỡng cho phép, khẳng định các cấu trúc trong mô hình có sự phân biệt rõ ràng. Nhìn chung, mô hình đo lường đạt độ tin cậy và tính hợp lệ, đủ điều kiện để tiếp tục phân tích mô hình cấu trúc.</w:t>
      </w:r>
      <w:r w:rsidR="007A2CDB">
        <w:rPr>
          <w:rFonts w:ascii="Times New Roman" w:eastAsia="Times New Roman" w:hAnsi="Times New Roman" w:cs="Times New Roman"/>
        </w:rPr>
        <w:t xml:space="preserve"> (Bảng 2, Bảng 3)</w:t>
      </w:r>
    </w:p>
    <w:p w14:paraId="4FBF3DB7"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Bảng 2. Kết quả đánh giá tin cậy và hội tụ thang đo</w:t>
      </w:r>
    </w:p>
    <w:tbl>
      <w:tblPr>
        <w:tblStyle w:val="a0"/>
        <w:tblW w:w="9600" w:type="dxa"/>
        <w:tblInd w:w="-120" w:type="dxa"/>
        <w:tblLayout w:type="fixed"/>
        <w:tblLook w:val="0400" w:firstRow="0" w:lastRow="0" w:firstColumn="0" w:lastColumn="0" w:noHBand="0" w:noVBand="1"/>
      </w:tblPr>
      <w:tblGrid>
        <w:gridCol w:w="761"/>
        <w:gridCol w:w="1815"/>
        <w:gridCol w:w="2303"/>
        <w:gridCol w:w="2304"/>
        <w:gridCol w:w="2417"/>
      </w:tblGrid>
      <w:tr w:rsidR="00227AEF" w14:paraId="7E0B5F90" w14:textId="77777777">
        <w:trPr>
          <w:trHeight w:val="283"/>
        </w:trPr>
        <w:tc>
          <w:tcPr>
            <w:tcW w:w="76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AF81F9" w14:textId="77777777" w:rsidR="00227AEF" w:rsidRDefault="00227AEF" w:rsidP="007A2CDB">
            <w:pPr>
              <w:spacing w:before="120" w:after="0" w:line="240" w:lineRule="auto"/>
              <w:rPr>
                <w:rFonts w:ascii="Times New Roman" w:eastAsia="Times New Roman" w:hAnsi="Times New Roman" w:cs="Times New Roman"/>
              </w:rPr>
            </w:pP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1A2E42"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Cronbach's alpha</w:t>
            </w:r>
          </w:p>
        </w:tc>
        <w:tc>
          <w:tcPr>
            <w:tcW w:w="23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56D7D1B"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 (rho_a)</w:t>
            </w:r>
          </w:p>
        </w:tc>
        <w:tc>
          <w:tcPr>
            <w:tcW w:w="23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655A91"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 (rho_c)</w:t>
            </w:r>
          </w:p>
        </w:tc>
        <w:tc>
          <w:tcPr>
            <w:tcW w:w="2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F501390"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AVE</w:t>
            </w:r>
          </w:p>
        </w:tc>
      </w:tr>
      <w:tr w:rsidR="00227AEF" w14:paraId="5C4915D6" w14:textId="77777777">
        <w:trPr>
          <w:trHeight w:val="283"/>
        </w:trPr>
        <w:tc>
          <w:tcPr>
            <w:tcW w:w="76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55E18DE"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ASE </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5ECB25F"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0,939</w:t>
            </w:r>
          </w:p>
        </w:tc>
        <w:tc>
          <w:tcPr>
            <w:tcW w:w="23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483C96A"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0,940</w:t>
            </w:r>
          </w:p>
        </w:tc>
        <w:tc>
          <w:tcPr>
            <w:tcW w:w="23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D2DEB7"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0,956</w:t>
            </w:r>
          </w:p>
        </w:tc>
        <w:tc>
          <w:tcPr>
            <w:tcW w:w="2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B71261"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0,846</w:t>
            </w:r>
          </w:p>
        </w:tc>
      </w:tr>
      <w:tr w:rsidR="00227AEF" w14:paraId="660DA69C" w14:textId="77777777">
        <w:trPr>
          <w:trHeight w:val="283"/>
        </w:trPr>
        <w:tc>
          <w:tcPr>
            <w:tcW w:w="76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D7A3A8"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BLE </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AE59F8"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0,925</w:t>
            </w:r>
          </w:p>
        </w:tc>
        <w:tc>
          <w:tcPr>
            <w:tcW w:w="23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BE5556"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0,926</w:t>
            </w:r>
          </w:p>
        </w:tc>
        <w:tc>
          <w:tcPr>
            <w:tcW w:w="23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4DCA0B3"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0,947</w:t>
            </w:r>
          </w:p>
        </w:tc>
        <w:tc>
          <w:tcPr>
            <w:tcW w:w="2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F0DF8C6"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0,817</w:t>
            </w:r>
          </w:p>
        </w:tc>
      </w:tr>
      <w:tr w:rsidR="00227AEF" w14:paraId="624112B5" w14:textId="77777777">
        <w:trPr>
          <w:trHeight w:val="283"/>
        </w:trPr>
        <w:tc>
          <w:tcPr>
            <w:tcW w:w="76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4BD90FB"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LM </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6FACA5"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0,958</w:t>
            </w:r>
          </w:p>
        </w:tc>
        <w:tc>
          <w:tcPr>
            <w:tcW w:w="23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23F3060"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0,959</w:t>
            </w:r>
          </w:p>
        </w:tc>
        <w:tc>
          <w:tcPr>
            <w:tcW w:w="23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2FA513"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0,967</w:t>
            </w:r>
          </w:p>
        </w:tc>
        <w:tc>
          <w:tcPr>
            <w:tcW w:w="2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7DC8757"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0,856</w:t>
            </w:r>
          </w:p>
        </w:tc>
      </w:tr>
      <w:tr w:rsidR="00227AEF" w14:paraId="415B1F73" w14:textId="77777777">
        <w:trPr>
          <w:trHeight w:val="283"/>
        </w:trPr>
        <w:tc>
          <w:tcPr>
            <w:tcW w:w="76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5779E90"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S_AI </w:t>
            </w:r>
          </w:p>
        </w:tc>
        <w:tc>
          <w:tcPr>
            <w:tcW w:w="181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0B0156"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0,937</w:t>
            </w:r>
          </w:p>
        </w:tc>
        <w:tc>
          <w:tcPr>
            <w:tcW w:w="23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3F0003"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0,937</w:t>
            </w:r>
          </w:p>
        </w:tc>
        <w:tc>
          <w:tcPr>
            <w:tcW w:w="23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F0164F"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0,955</w:t>
            </w:r>
          </w:p>
        </w:tc>
        <w:tc>
          <w:tcPr>
            <w:tcW w:w="2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A949669"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0,841</w:t>
            </w:r>
          </w:p>
        </w:tc>
      </w:tr>
    </w:tbl>
    <w:p w14:paraId="5FD2486E" w14:textId="77777777" w:rsidR="00227AEF" w:rsidRDefault="004443D1" w:rsidP="007A2CDB">
      <w:pPr>
        <w:spacing w:before="120"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 xml:space="preserve">Nguồn: Phân tích dữ </w:t>
      </w:r>
      <w:r>
        <w:rPr>
          <w:rFonts w:ascii="Times New Roman" w:eastAsia="Times New Roman" w:hAnsi="Times New Roman" w:cs="Times New Roman"/>
          <w:i/>
          <w:iCs/>
        </w:rPr>
        <w:t>liệu từ SmartPLS 4</w:t>
      </w:r>
    </w:p>
    <w:p w14:paraId="21319302"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Bảng 3. Kết quả đánh giá phân biệt thang đo (HTMT)</w:t>
      </w:r>
    </w:p>
    <w:tbl>
      <w:tblPr>
        <w:tblStyle w:val="a1"/>
        <w:tblW w:w="9600" w:type="dxa"/>
        <w:tblInd w:w="-120" w:type="dxa"/>
        <w:tblLayout w:type="fixed"/>
        <w:tblLook w:val="0400" w:firstRow="0" w:lastRow="0" w:firstColumn="0" w:lastColumn="0" w:noHBand="0" w:noVBand="1"/>
      </w:tblPr>
      <w:tblGrid>
        <w:gridCol w:w="1891"/>
        <w:gridCol w:w="1939"/>
        <w:gridCol w:w="1939"/>
        <w:gridCol w:w="1939"/>
        <w:gridCol w:w="1892"/>
      </w:tblGrid>
      <w:tr w:rsidR="00227AEF" w14:paraId="67504CF9" w14:textId="77777777">
        <w:trPr>
          <w:trHeight w:val="283"/>
        </w:trPr>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5E16E8D" w14:textId="77777777" w:rsidR="00227AEF" w:rsidRDefault="00227AEF" w:rsidP="007A2CDB">
            <w:pPr>
              <w:spacing w:before="120" w:after="0" w:line="240" w:lineRule="auto"/>
              <w:rPr>
                <w:rFonts w:ascii="Times New Roman" w:eastAsia="Times New Roman" w:hAnsi="Times New Roman" w:cs="Times New Roman"/>
              </w:rPr>
            </w:pP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45ABAE4"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ASE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7C081FD"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BLE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F47937C"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LM </w:t>
            </w:r>
          </w:p>
        </w:tc>
        <w:tc>
          <w:tcPr>
            <w:tcW w:w="1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7F1EE51"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S_AI </w:t>
            </w:r>
          </w:p>
        </w:tc>
      </w:tr>
      <w:tr w:rsidR="00227AEF" w14:paraId="043DFAF6" w14:textId="77777777">
        <w:trPr>
          <w:trHeight w:val="283"/>
        </w:trPr>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EA5EB77"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ASE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E46E324" w14:textId="77777777" w:rsidR="00227AEF" w:rsidRDefault="00227AEF" w:rsidP="007A2CDB">
            <w:pPr>
              <w:spacing w:before="120" w:after="0" w:line="240" w:lineRule="auto"/>
              <w:rPr>
                <w:rFonts w:ascii="Times New Roman" w:eastAsia="Times New Roman" w:hAnsi="Times New Roman" w:cs="Times New Roman"/>
                <w:b/>
                <w:bCs/>
              </w:rPr>
            </w:pP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848450" w14:textId="77777777" w:rsidR="00227AEF" w:rsidRDefault="00227AEF" w:rsidP="007A2CDB">
            <w:pPr>
              <w:spacing w:before="120" w:after="0" w:line="240" w:lineRule="auto"/>
              <w:rPr>
                <w:rFonts w:ascii="Times New Roman" w:eastAsia="Times New Roman" w:hAnsi="Times New Roman" w:cs="Times New Roman"/>
              </w:rPr>
            </w:pP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D4DFA9" w14:textId="77777777" w:rsidR="00227AEF" w:rsidRDefault="00227AEF" w:rsidP="007A2CDB">
            <w:pPr>
              <w:spacing w:before="120" w:after="0" w:line="240" w:lineRule="auto"/>
              <w:rPr>
                <w:rFonts w:ascii="Times New Roman" w:eastAsia="Times New Roman" w:hAnsi="Times New Roman" w:cs="Times New Roman"/>
              </w:rPr>
            </w:pPr>
          </w:p>
        </w:tc>
        <w:tc>
          <w:tcPr>
            <w:tcW w:w="1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F950DC5" w14:textId="77777777" w:rsidR="00227AEF" w:rsidRDefault="00227AEF" w:rsidP="007A2CDB">
            <w:pPr>
              <w:spacing w:before="120" w:after="0" w:line="240" w:lineRule="auto"/>
              <w:rPr>
                <w:rFonts w:ascii="Times New Roman" w:eastAsia="Times New Roman" w:hAnsi="Times New Roman" w:cs="Times New Roman"/>
              </w:rPr>
            </w:pPr>
          </w:p>
        </w:tc>
      </w:tr>
      <w:tr w:rsidR="00227AEF" w14:paraId="132B5798" w14:textId="77777777">
        <w:trPr>
          <w:trHeight w:val="283"/>
        </w:trPr>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D17247"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BLE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19EF7F"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0,803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C05D5F1" w14:textId="77777777" w:rsidR="00227AEF" w:rsidRDefault="00227AEF" w:rsidP="007A2CDB">
            <w:pPr>
              <w:spacing w:before="120" w:after="0" w:line="240" w:lineRule="auto"/>
              <w:rPr>
                <w:rFonts w:ascii="Times New Roman" w:eastAsia="Times New Roman" w:hAnsi="Times New Roman" w:cs="Times New Roman"/>
              </w:rPr>
            </w:pP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ED73A9" w14:textId="77777777" w:rsidR="00227AEF" w:rsidRDefault="00227AEF" w:rsidP="007A2CDB">
            <w:pPr>
              <w:spacing w:before="120" w:after="0" w:line="240" w:lineRule="auto"/>
              <w:rPr>
                <w:rFonts w:ascii="Times New Roman" w:eastAsia="Times New Roman" w:hAnsi="Times New Roman" w:cs="Times New Roman"/>
              </w:rPr>
            </w:pPr>
          </w:p>
        </w:tc>
        <w:tc>
          <w:tcPr>
            <w:tcW w:w="1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7B16ED" w14:textId="77777777" w:rsidR="00227AEF" w:rsidRDefault="00227AEF" w:rsidP="007A2CDB">
            <w:pPr>
              <w:spacing w:before="120" w:after="0" w:line="240" w:lineRule="auto"/>
              <w:rPr>
                <w:rFonts w:ascii="Times New Roman" w:eastAsia="Times New Roman" w:hAnsi="Times New Roman" w:cs="Times New Roman"/>
              </w:rPr>
            </w:pPr>
          </w:p>
        </w:tc>
      </w:tr>
      <w:tr w:rsidR="00227AEF" w14:paraId="05F867E1" w14:textId="77777777">
        <w:trPr>
          <w:trHeight w:val="283"/>
        </w:trPr>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0CC1F5D"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LM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1DBEEA7"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0,535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D5F5B87"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0,626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472DBD" w14:textId="77777777" w:rsidR="00227AEF" w:rsidRDefault="00227AEF" w:rsidP="007A2CDB">
            <w:pPr>
              <w:spacing w:before="120" w:after="0" w:line="240" w:lineRule="auto"/>
              <w:rPr>
                <w:rFonts w:ascii="Times New Roman" w:eastAsia="Times New Roman" w:hAnsi="Times New Roman" w:cs="Times New Roman"/>
              </w:rPr>
            </w:pPr>
          </w:p>
        </w:tc>
        <w:tc>
          <w:tcPr>
            <w:tcW w:w="1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B265CD" w14:textId="77777777" w:rsidR="00227AEF" w:rsidRDefault="00227AEF" w:rsidP="007A2CDB">
            <w:pPr>
              <w:spacing w:before="120" w:after="0" w:line="240" w:lineRule="auto"/>
              <w:rPr>
                <w:rFonts w:ascii="Times New Roman" w:eastAsia="Times New Roman" w:hAnsi="Times New Roman" w:cs="Times New Roman"/>
              </w:rPr>
            </w:pPr>
          </w:p>
        </w:tc>
      </w:tr>
      <w:tr w:rsidR="00227AEF" w14:paraId="18472958" w14:textId="77777777">
        <w:trPr>
          <w:trHeight w:val="283"/>
        </w:trPr>
        <w:tc>
          <w:tcPr>
            <w:tcW w:w="18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B5E6B3"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S_AI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E603133"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0,563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B4C5901"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0,671 </w:t>
            </w:r>
          </w:p>
        </w:tc>
        <w:tc>
          <w:tcPr>
            <w:tcW w:w="19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AFF4F49"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0,368 </w:t>
            </w:r>
          </w:p>
        </w:tc>
        <w:tc>
          <w:tcPr>
            <w:tcW w:w="18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F9167C7" w14:textId="77777777" w:rsidR="00227AEF" w:rsidRDefault="00227AEF" w:rsidP="007A2CDB">
            <w:pPr>
              <w:spacing w:before="120" w:after="0" w:line="240" w:lineRule="auto"/>
              <w:rPr>
                <w:rFonts w:ascii="Times New Roman" w:eastAsia="Times New Roman" w:hAnsi="Times New Roman" w:cs="Times New Roman"/>
              </w:rPr>
            </w:pPr>
          </w:p>
        </w:tc>
      </w:tr>
    </w:tbl>
    <w:p w14:paraId="7D09C598" w14:textId="77777777" w:rsidR="00227AEF" w:rsidRDefault="004443D1" w:rsidP="007A2CDB">
      <w:pPr>
        <w:spacing w:before="120"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Nguồn: Phân tích dữ liệu từ SmartPLS 4</w:t>
      </w:r>
    </w:p>
    <w:p w14:paraId="7AEE53FF" w14:textId="77777777" w:rsidR="00227AEF" w:rsidRPr="004443D1" w:rsidRDefault="004443D1" w:rsidP="007A2CDB">
      <w:pPr>
        <w:spacing w:before="120" w:after="0" w:line="240" w:lineRule="auto"/>
        <w:ind w:firstLine="720"/>
        <w:jc w:val="both"/>
        <w:rPr>
          <w:rFonts w:ascii="Times New Roman" w:eastAsia="Times New Roman" w:hAnsi="Times New Roman" w:cs="Times New Roman"/>
          <w:b/>
          <w:bCs/>
          <w:i/>
          <w:iCs/>
        </w:rPr>
      </w:pPr>
      <w:r w:rsidRPr="004443D1">
        <w:rPr>
          <w:rFonts w:ascii="Times New Roman" w:eastAsia="Times New Roman" w:hAnsi="Times New Roman" w:cs="Times New Roman"/>
          <w:b/>
          <w:bCs/>
          <w:i/>
          <w:iCs/>
        </w:rPr>
        <w:lastRenderedPageBreak/>
        <w:t>4.3. Kiểm định mô hình cấu trúc PLS-SEM</w:t>
      </w:r>
    </w:p>
    <w:p w14:paraId="2419608A" w14:textId="4720CB18"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Kết quả </w:t>
      </w:r>
      <w:r>
        <w:rPr>
          <w:rFonts w:ascii="Times New Roman" w:eastAsia="Times New Roman" w:hAnsi="Times New Roman" w:cs="Times New Roman"/>
        </w:rPr>
        <w:t>phân tích mô hình cấu trúc cho thấy</w:t>
      </w:r>
      <w:r w:rsidR="007A2CDB">
        <w:rPr>
          <w:rFonts w:ascii="Times New Roman" w:eastAsia="Times New Roman" w:hAnsi="Times New Roman" w:cs="Times New Roman"/>
        </w:rPr>
        <w:t>,</w:t>
      </w:r>
      <w:r>
        <w:rPr>
          <w:rFonts w:ascii="Times New Roman" w:eastAsia="Times New Roman" w:hAnsi="Times New Roman" w:cs="Times New Roman"/>
        </w:rPr>
        <w:t xml:space="preserve"> các mối quan hệ trong mô hình đều đạt ý nghĩa thống kê. Cụ thể, hỗ trợ học tập từ AI có tác động tích cực đến hiệu quả học tập cảm nhận (β = 0,626; p &lt; 0,001) và niềm tin vào năng lực học tập (β = 0,528; p &lt; 0,001) . Đồ</w:t>
      </w:r>
      <w:r>
        <w:rPr>
          <w:rFonts w:ascii="Times New Roman" w:eastAsia="Times New Roman" w:hAnsi="Times New Roman" w:cs="Times New Roman"/>
        </w:rPr>
        <w:t>ng thời, hiệu quả học tập cảm nhận ảnh hưởng mạnh đến niềm tin vào năng lực học tập (β = 0,688; p &lt; 0,001) và động lực học tập (β = 0,581; p &lt; 0,001). Bên cạnh đó, niềm tin vào năng lực học tập cũng có tác động tích cực đến động lực học tập (β = 0,153; p =</w:t>
      </w:r>
      <w:r>
        <w:rPr>
          <w:rFonts w:ascii="Times New Roman" w:eastAsia="Times New Roman" w:hAnsi="Times New Roman" w:cs="Times New Roman"/>
        </w:rPr>
        <w:t xml:space="preserve"> 0,020). Ngoài ra, hỗ trợ từ AI còn ảnh hưởng gián tiếp đến động lực học tập (β = 0,378; p &lt; 0,001).</w:t>
      </w:r>
    </w:p>
    <w:p w14:paraId="7C994E31" w14:textId="5A3C87EF"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Về khả năng dự báo, các chỉ số Q² của ASE (0,476), BLE (0,317) và LM (0,303) đều lớn hơn 0, cho thấy mô hình có năng lực dự báo tốt. Đồng thời, kết quả </w:t>
      </w:r>
      <w:r>
        <w:rPr>
          <w:rFonts w:ascii="Times New Roman" w:eastAsia="Times New Roman" w:hAnsi="Times New Roman" w:cs="Times New Roman"/>
        </w:rPr>
        <w:t>kiểm tra đa cộng tuyến cho thấy các giá trị VIF đều thấp hơn ngưỡng cho phép, khẳng định không có hiện tượng đa cộng tuyến nghiêm trọng. Nhìn chung, mô hình cấu trúc đạt độ phù hợp và có ý nghĩa trong việc giải thích động lực học tập của sinh viên.</w:t>
      </w:r>
      <w:r w:rsidR="007A2CDB">
        <w:rPr>
          <w:rFonts w:ascii="Times New Roman" w:eastAsia="Times New Roman" w:hAnsi="Times New Roman" w:cs="Times New Roman"/>
        </w:rPr>
        <w:t xml:space="preserve"> (Bảng 4, Hình 2)</w:t>
      </w:r>
    </w:p>
    <w:p w14:paraId="2059B99F"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Bảng 4. Kết quả hệ số tác động β và P values</w:t>
      </w:r>
    </w:p>
    <w:tbl>
      <w:tblPr>
        <w:tblStyle w:val="a2"/>
        <w:tblW w:w="9600" w:type="dxa"/>
        <w:tblInd w:w="-120" w:type="dxa"/>
        <w:tblLayout w:type="fixed"/>
        <w:tblLook w:val="0400" w:firstRow="0" w:lastRow="0" w:firstColumn="0" w:lastColumn="0" w:noHBand="0" w:noVBand="1"/>
      </w:tblPr>
      <w:tblGrid>
        <w:gridCol w:w="1885"/>
        <w:gridCol w:w="1457"/>
        <w:gridCol w:w="1377"/>
        <w:gridCol w:w="2308"/>
        <w:gridCol w:w="1603"/>
        <w:gridCol w:w="970"/>
      </w:tblGrid>
      <w:tr w:rsidR="00227AEF" w14:paraId="40250161" w14:textId="77777777">
        <w:tc>
          <w:tcPr>
            <w:tcW w:w="18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D32BA24" w14:textId="77777777" w:rsidR="00227AEF" w:rsidRDefault="00227AEF" w:rsidP="007A2CDB">
            <w:pPr>
              <w:spacing w:before="120" w:after="0" w:line="240" w:lineRule="auto"/>
              <w:rPr>
                <w:rFonts w:ascii="Times New Roman" w:eastAsia="Times New Roman" w:hAnsi="Times New Roman" w:cs="Times New Roman"/>
              </w:rPr>
            </w:pPr>
          </w:p>
        </w:tc>
        <w:tc>
          <w:tcPr>
            <w:tcW w:w="14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E1BC575"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Hệ số β</w:t>
            </w:r>
          </w:p>
        </w:tc>
        <w:tc>
          <w:tcPr>
            <w:tcW w:w="13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A72CCD4"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Trung bình mẫu</w:t>
            </w:r>
          </w:p>
        </w:tc>
        <w:tc>
          <w:tcPr>
            <w:tcW w:w="23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128CB1E"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Độ lệch chuẩn (STDEV)</w:t>
            </w:r>
          </w:p>
        </w:tc>
        <w:tc>
          <w:tcPr>
            <w:tcW w:w="16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504F92B"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 statistics (|O/STDEV|)</w:t>
            </w:r>
          </w:p>
        </w:tc>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D7B418"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 values</w:t>
            </w:r>
          </w:p>
        </w:tc>
      </w:tr>
      <w:tr w:rsidR="00227AEF" w14:paraId="3715E220" w14:textId="77777777">
        <w:tc>
          <w:tcPr>
            <w:tcW w:w="18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B2C3D2"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ASE -&gt; LM </w:t>
            </w:r>
          </w:p>
        </w:tc>
        <w:tc>
          <w:tcPr>
            <w:tcW w:w="14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30F4A78"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0,153 </w:t>
            </w:r>
          </w:p>
        </w:tc>
        <w:tc>
          <w:tcPr>
            <w:tcW w:w="13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CA8CF1D"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0,155 </w:t>
            </w:r>
          </w:p>
        </w:tc>
        <w:tc>
          <w:tcPr>
            <w:tcW w:w="23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1E4634"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0,066 </w:t>
            </w:r>
          </w:p>
        </w:tc>
        <w:tc>
          <w:tcPr>
            <w:tcW w:w="16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B781B59"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2,325 </w:t>
            </w:r>
          </w:p>
        </w:tc>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9BDF2BB"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0,020 </w:t>
            </w:r>
          </w:p>
        </w:tc>
      </w:tr>
      <w:tr w:rsidR="00227AEF" w14:paraId="7BE73C86" w14:textId="77777777">
        <w:tc>
          <w:tcPr>
            <w:tcW w:w="18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D90B892"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BLE -&gt; ASE </w:t>
            </w:r>
          </w:p>
        </w:tc>
        <w:tc>
          <w:tcPr>
            <w:tcW w:w="14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40595CE"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0,688 </w:t>
            </w:r>
          </w:p>
        </w:tc>
        <w:tc>
          <w:tcPr>
            <w:tcW w:w="13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550AE5E"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0,687 </w:t>
            </w:r>
          </w:p>
        </w:tc>
        <w:tc>
          <w:tcPr>
            <w:tcW w:w="23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33E1E44"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0,039 </w:t>
            </w:r>
          </w:p>
        </w:tc>
        <w:tc>
          <w:tcPr>
            <w:tcW w:w="16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11C19E7"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17,425 </w:t>
            </w:r>
          </w:p>
        </w:tc>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E1A8EDB"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0,000 </w:t>
            </w:r>
          </w:p>
        </w:tc>
      </w:tr>
      <w:tr w:rsidR="00227AEF" w14:paraId="2A234E0D" w14:textId="77777777">
        <w:tc>
          <w:tcPr>
            <w:tcW w:w="18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09E021"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BLE -&gt; LM </w:t>
            </w:r>
          </w:p>
        </w:tc>
        <w:tc>
          <w:tcPr>
            <w:tcW w:w="14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2E85125"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0,475 </w:t>
            </w:r>
          </w:p>
        </w:tc>
        <w:tc>
          <w:tcPr>
            <w:tcW w:w="13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57DB55C"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0,474 </w:t>
            </w:r>
          </w:p>
        </w:tc>
        <w:tc>
          <w:tcPr>
            <w:tcW w:w="23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2A357C0"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0,064 </w:t>
            </w:r>
          </w:p>
        </w:tc>
        <w:tc>
          <w:tcPr>
            <w:tcW w:w="16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F6A259C"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7,410 </w:t>
            </w:r>
          </w:p>
        </w:tc>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631A8BE"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0,000 </w:t>
            </w:r>
          </w:p>
        </w:tc>
      </w:tr>
      <w:tr w:rsidR="00227AEF" w14:paraId="6B34A2E2" w14:textId="77777777">
        <w:tc>
          <w:tcPr>
            <w:tcW w:w="18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761813"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S_AI -&gt; ASE </w:t>
            </w:r>
          </w:p>
        </w:tc>
        <w:tc>
          <w:tcPr>
            <w:tcW w:w="14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8865216"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0,098 </w:t>
            </w:r>
          </w:p>
        </w:tc>
        <w:tc>
          <w:tcPr>
            <w:tcW w:w="13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408173E"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0,099 </w:t>
            </w:r>
          </w:p>
        </w:tc>
        <w:tc>
          <w:tcPr>
            <w:tcW w:w="23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5708C19"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0,043 </w:t>
            </w:r>
          </w:p>
        </w:tc>
        <w:tc>
          <w:tcPr>
            <w:tcW w:w="16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9BB8E78"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2,290 </w:t>
            </w:r>
          </w:p>
        </w:tc>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B55874F"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0,022 </w:t>
            </w:r>
          </w:p>
        </w:tc>
      </w:tr>
      <w:tr w:rsidR="00227AEF" w14:paraId="09AD76B2" w14:textId="77777777">
        <w:tc>
          <w:tcPr>
            <w:tcW w:w="18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D59B95A"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S_AI -&gt; BLE </w:t>
            </w:r>
          </w:p>
        </w:tc>
        <w:tc>
          <w:tcPr>
            <w:tcW w:w="14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6289845"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0,626 </w:t>
            </w:r>
          </w:p>
        </w:tc>
        <w:tc>
          <w:tcPr>
            <w:tcW w:w="13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668274"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0,626 </w:t>
            </w:r>
          </w:p>
        </w:tc>
        <w:tc>
          <w:tcPr>
            <w:tcW w:w="23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A791DA"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0,033 </w:t>
            </w:r>
          </w:p>
        </w:tc>
        <w:tc>
          <w:tcPr>
            <w:tcW w:w="16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933FD2"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18,857 </w:t>
            </w:r>
          </w:p>
        </w:tc>
        <w:tc>
          <w:tcPr>
            <w:tcW w:w="9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C043D39"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0,000 </w:t>
            </w:r>
          </w:p>
        </w:tc>
      </w:tr>
    </w:tbl>
    <w:p w14:paraId="5EAF4CF9" w14:textId="77777777" w:rsidR="00227AEF" w:rsidRDefault="004443D1" w:rsidP="007A2CDB">
      <w:pPr>
        <w:spacing w:before="120"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Nguồn: Phân tích dữ liệu từ phần mềm SmartPLS 4</w:t>
      </w:r>
    </w:p>
    <w:p w14:paraId="0628E326" w14:textId="77777777" w:rsidR="00227AEF" w:rsidRDefault="004443D1" w:rsidP="007A2CD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14:anchorId="6A1789F8" wp14:editId="2414D1DA">
            <wp:extent cx="5943600" cy="2686050"/>
            <wp:effectExtent l="0" t="0" r="0" b="0"/>
            <wp:docPr id="1343055204" name="image1.png" descr="A diagram of a netwo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network&#10;&#10;Description automatically generated"/>
                    <pic:cNvPicPr preferRelativeResize="0"/>
                  </pic:nvPicPr>
                  <pic:blipFill>
                    <a:blip r:embed="rId6"/>
                    <a:srcRect/>
                    <a:stretch>
                      <a:fillRect/>
                    </a:stretch>
                  </pic:blipFill>
                  <pic:spPr>
                    <a:xfrm>
                      <a:off x="0" y="0"/>
                      <a:ext cx="5943600" cy="2686050"/>
                    </a:xfrm>
                    <a:prstGeom prst="rect">
                      <a:avLst/>
                    </a:prstGeom>
                    <a:ln/>
                  </pic:spPr>
                </pic:pic>
              </a:graphicData>
            </a:graphic>
          </wp:inline>
        </w:drawing>
      </w:r>
    </w:p>
    <w:p w14:paraId="699ED17D" w14:textId="5A7CBE94"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Hình 2</w:t>
      </w:r>
      <w:r w:rsidR="007A2CDB">
        <w:rPr>
          <w:rFonts w:ascii="Times New Roman" w:eastAsia="Times New Roman" w:hAnsi="Times New Roman" w:cs="Times New Roman"/>
          <w:b/>
          <w:bCs/>
        </w:rPr>
        <w:t>:</w:t>
      </w:r>
      <w:r>
        <w:rPr>
          <w:rFonts w:ascii="Times New Roman" w:eastAsia="Times New Roman" w:hAnsi="Times New Roman" w:cs="Times New Roman"/>
          <w:b/>
          <w:bCs/>
        </w:rPr>
        <w:t xml:space="preserve"> Kết quả mô hình cấu trúc PLS-SEM</w:t>
      </w:r>
    </w:p>
    <w:p w14:paraId="0CD79A74" w14:textId="77777777" w:rsidR="00227AEF" w:rsidRDefault="004443D1" w:rsidP="007A2CDB">
      <w:pPr>
        <w:spacing w:before="120"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Nguồn: Từ SmartPLS 4</w:t>
      </w:r>
    </w:p>
    <w:p w14:paraId="464D1926" w14:textId="77777777" w:rsidR="00227AEF" w:rsidRPr="004443D1" w:rsidRDefault="004443D1" w:rsidP="007A2CDB">
      <w:pPr>
        <w:spacing w:before="120" w:after="0" w:line="240" w:lineRule="auto"/>
        <w:ind w:firstLine="720"/>
        <w:jc w:val="both"/>
        <w:rPr>
          <w:rFonts w:ascii="Times New Roman" w:eastAsia="Times New Roman" w:hAnsi="Times New Roman" w:cs="Times New Roman"/>
          <w:b/>
          <w:bCs/>
          <w:i/>
          <w:iCs/>
        </w:rPr>
      </w:pPr>
      <w:r w:rsidRPr="004443D1">
        <w:rPr>
          <w:rFonts w:ascii="Times New Roman" w:eastAsia="Times New Roman" w:hAnsi="Times New Roman" w:cs="Times New Roman"/>
          <w:b/>
          <w:bCs/>
          <w:i/>
          <w:iCs/>
        </w:rPr>
        <w:t xml:space="preserve">4.4. Kiểm định vai </w:t>
      </w:r>
      <w:r w:rsidRPr="004443D1">
        <w:rPr>
          <w:rFonts w:ascii="Times New Roman" w:eastAsia="Times New Roman" w:hAnsi="Times New Roman" w:cs="Times New Roman"/>
          <w:b/>
          <w:bCs/>
          <w:i/>
          <w:iCs/>
        </w:rPr>
        <w:t>trò trung gian</w:t>
      </w:r>
    </w:p>
    <w:p w14:paraId="16CAABD0" w14:textId="13A26389"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Kết quả kiểm định trung gian cho thấy</w:t>
      </w:r>
      <w:r w:rsidR="007A2CDB">
        <w:rPr>
          <w:rFonts w:ascii="Times New Roman" w:eastAsia="Times New Roman" w:hAnsi="Times New Roman" w:cs="Times New Roman"/>
        </w:rPr>
        <w:t>,</w:t>
      </w:r>
      <w:r>
        <w:rPr>
          <w:rFonts w:ascii="Times New Roman" w:eastAsia="Times New Roman" w:hAnsi="Times New Roman" w:cs="Times New Roman"/>
        </w:rPr>
        <w:t xml:space="preserve"> hiệu quả học tập cảm nhận và niềm tin vào năng lực học tập đóng vai trò trung gian quan trọng trong mô hình. Cụ thể, đường dẫn gián tiếp từ AI đến động lực học tập thông qua hiệu quả học tập cảm nhận có</w:t>
      </w:r>
      <w:r>
        <w:rPr>
          <w:rFonts w:ascii="Times New Roman" w:eastAsia="Times New Roman" w:hAnsi="Times New Roman" w:cs="Times New Roman"/>
        </w:rPr>
        <w:t xml:space="preserve"> ý nghĩa thống kê (β = 0,297; p &lt; 0,001), cũng như chuỗi trung gian 2 bước AI → BLE → ASE → LM (β = 0,066; p = 0,022). Đồng thời, mối quan hệ BLE → ASE → LM cũng có ý nghĩa (β = 0,105; p = 0,020), khẳng định vai trò trung gian của niềm tin vào năng lực học</w:t>
      </w:r>
      <w:r>
        <w:rPr>
          <w:rFonts w:ascii="Times New Roman" w:eastAsia="Times New Roman" w:hAnsi="Times New Roman" w:cs="Times New Roman"/>
        </w:rPr>
        <w:t xml:space="preserve"> tập.</w:t>
      </w:r>
    </w:p>
    <w:p w14:paraId="782DF857" w14:textId="665690E0"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Ngược lại, đường dẫn gián tiếp AI → ASE → LM không có ý nghĩa thống kê (β = 0,015; p = 0,141), cho thấy niềm tin vào năng lực học tập không đóng vai trò trung gian độc lập mà chủ yếu hoạt động thông qua hiệu quả học tập cảm nhận. Như vậy, kết quả khẳ</w:t>
      </w:r>
      <w:r>
        <w:rPr>
          <w:rFonts w:ascii="Times New Roman" w:eastAsia="Times New Roman" w:hAnsi="Times New Roman" w:cs="Times New Roman"/>
        </w:rPr>
        <w:t>ng định cơ chế trung gian chuỗi là chủ đạo, trong đó hiệu quả học tập cảm nhận đóng vai trò nền tảng, dẫn dắt sự hình thành niềm tin vào năng lực và từ đó thúc đẩy động lực học tập của sinh viên.</w:t>
      </w:r>
      <w:r w:rsidR="007A2CDB">
        <w:rPr>
          <w:rFonts w:ascii="Times New Roman" w:eastAsia="Times New Roman" w:hAnsi="Times New Roman" w:cs="Times New Roman"/>
        </w:rPr>
        <w:t xml:space="preserve"> (Bảng 5)</w:t>
      </w:r>
    </w:p>
    <w:p w14:paraId="169D2123"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Bảng 5. Kết quả kiểm định tác động gián tiếp và </w:t>
      </w:r>
      <w:r>
        <w:rPr>
          <w:rFonts w:ascii="Times New Roman" w:eastAsia="Times New Roman" w:hAnsi="Times New Roman" w:cs="Times New Roman"/>
          <w:b/>
          <w:bCs/>
        </w:rPr>
        <w:t>khoảng tin cậy Bootstrap (95%)</w:t>
      </w:r>
    </w:p>
    <w:tbl>
      <w:tblPr>
        <w:tblStyle w:val="a3"/>
        <w:tblW w:w="9600" w:type="dxa"/>
        <w:tblInd w:w="-120" w:type="dxa"/>
        <w:tblLayout w:type="fixed"/>
        <w:tblLook w:val="0400" w:firstRow="0" w:lastRow="0" w:firstColumn="0" w:lastColumn="0" w:noHBand="0" w:noVBand="1"/>
      </w:tblPr>
      <w:tblGrid>
        <w:gridCol w:w="3651"/>
        <w:gridCol w:w="1174"/>
        <w:gridCol w:w="2791"/>
        <w:gridCol w:w="921"/>
        <w:gridCol w:w="1063"/>
      </w:tblGrid>
      <w:tr w:rsidR="00227AEF" w14:paraId="3C86B3C6" w14:textId="77777777">
        <w:tc>
          <w:tcPr>
            <w:tcW w:w="36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0CF530" w14:textId="77777777" w:rsidR="00227AEF" w:rsidRDefault="00227AEF" w:rsidP="007A2CDB">
            <w:pPr>
              <w:spacing w:before="120" w:after="0" w:line="240" w:lineRule="auto"/>
              <w:rPr>
                <w:rFonts w:ascii="Times New Roman" w:eastAsia="Times New Roman" w:hAnsi="Times New Roman" w:cs="Times New Roman"/>
              </w:rPr>
            </w:pPr>
          </w:p>
        </w:tc>
        <w:tc>
          <w:tcPr>
            <w:tcW w:w="117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26F220"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Hệ số β</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A239E99"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Trung bình mẫu (M)</w:t>
            </w:r>
          </w:p>
        </w:tc>
        <w:tc>
          <w:tcPr>
            <w:tcW w:w="9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3883FDB"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w:t>
            </w:r>
          </w:p>
        </w:tc>
        <w:tc>
          <w:tcPr>
            <w:tcW w:w="10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067A18" w14:textId="77777777" w:rsidR="00227AEF" w:rsidRDefault="004443D1" w:rsidP="007A2CDB">
            <w:pPr>
              <w:spacing w:before="12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97,5%</w:t>
            </w:r>
          </w:p>
        </w:tc>
      </w:tr>
      <w:tr w:rsidR="00227AEF" w14:paraId="74D3479C" w14:textId="77777777">
        <w:tc>
          <w:tcPr>
            <w:tcW w:w="36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AB9098"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S_AI -&gt; BLE -&gt; ASE </w:t>
            </w:r>
          </w:p>
        </w:tc>
        <w:tc>
          <w:tcPr>
            <w:tcW w:w="117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ED6CCA4"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0,431</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759CFA"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0,430</w:t>
            </w:r>
          </w:p>
        </w:tc>
        <w:tc>
          <w:tcPr>
            <w:tcW w:w="9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13DDCA"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0,363</w:t>
            </w:r>
          </w:p>
        </w:tc>
        <w:tc>
          <w:tcPr>
            <w:tcW w:w="10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306659"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0,499</w:t>
            </w:r>
          </w:p>
        </w:tc>
      </w:tr>
      <w:tr w:rsidR="00227AEF" w14:paraId="77119F48" w14:textId="77777777">
        <w:tc>
          <w:tcPr>
            <w:tcW w:w="36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6F1F6F"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BLE -&gt; ASE -&gt; LM </w:t>
            </w:r>
          </w:p>
        </w:tc>
        <w:tc>
          <w:tcPr>
            <w:tcW w:w="117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A15D798"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0,105</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2FC95C6"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0,106</w:t>
            </w:r>
          </w:p>
        </w:tc>
        <w:tc>
          <w:tcPr>
            <w:tcW w:w="9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F0A7F35"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0,015</w:t>
            </w:r>
          </w:p>
        </w:tc>
        <w:tc>
          <w:tcPr>
            <w:tcW w:w="10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0BEE986"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0,194</w:t>
            </w:r>
          </w:p>
        </w:tc>
      </w:tr>
      <w:tr w:rsidR="00227AEF" w14:paraId="3A26800E" w14:textId="77777777">
        <w:tc>
          <w:tcPr>
            <w:tcW w:w="36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1872AE"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S_AI -&gt; BLE -&gt; LM </w:t>
            </w:r>
          </w:p>
        </w:tc>
        <w:tc>
          <w:tcPr>
            <w:tcW w:w="117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F48236"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0,297</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3414FA"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0,297</w:t>
            </w:r>
          </w:p>
        </w:tc>
        <w:tc>
          <w:tcPr>
            <w:tcW w:w="9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2159FFA"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0,214</w:t>
            </w:r>
          </w:p>
        </w:tc>
        <w:tc>
          <w:tcPr>
            <w:tcW w:w="10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2A6F589"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0,380</w:t>
            </w:r>
          </w:p>
        </w:tc>
      </w:tr>
      <w:tr w:rsidR="00227AEF" w14:paraId="0E3106AA" w14:textId="77777777">
        <w:tc>
          <w:tcPr>
            <w:tcW w:w="36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0B7984"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S_AI -&gt; ASE -&gt; LM </w:t>
            </w:r>
          </w:p>
        </w:tc>
        <w:tc>
          <w:tcPr>
            <w:tcW w:w="117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41B464"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0,015</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B2287D"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0,016</w:t>
            </w:r>
          </w:p>
        </w:tc>
        <w:tc>
          <w:tcPr>
            <w:tcW w:w="9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9C7F3D0"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0,000</w:t>
            </w:r>
          </w:p>
        </w:tc>
        <w:tc>
          <w:tcPr>
            <w:tcW w:w="10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E15971"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0,039</w:t>
            </w:r>
          </w:p>
        </w:tc>
      </w:tr>
      <w:tr w:rsidR="00227AEF" w14:paraId="7FC85769" w14:textId="77777777">
        <w:tc>
          <w:tcPr>
            <w:tcW w:w="36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D96D98"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S_AI -&gt;</w:t>
            </w:r>
            <w:r>
              <w:rPr>
                <w:rFonts w:ascii="Times New Roman" w:eastAsia="Times New Roman" w:hAnsi="Times New Roman" w:cs="Times New Roman"/>
                <w:b/>
                <w:bCs/>
              </w:rPr>
              <w:t xml:space="preserve"> BLE -&gt; ASE -&gt; LM </w:t>
            </w:r>
          </w:p>
        </w:tc>
        <w:tc>
          <w:tcPr>
            <w:tcW w:w="117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54E1EC8"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0,066</w:t>
            </w:r>
          </w:p>
        </w:tc>
        <w:tc>
          <w:tcPr>
            <w:tcW w:w="27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FFD232"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0,066</w:t>
            </w:r>
          </w:p>
        </w:tc>
        <w:tc>
          <w:tcPr>
            <w:tcW w:w="9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12FA59B"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0,010</w:t>
            </w:r>
          </w:p>
        </w:tc>
        <w:tc>
          <w:tcPr>
            <w:tcW w:w="10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BF0CBD4"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0,124</w:t>
            </w:r>
          </w:p>
        </w:tc>
      </w:tr>
    </w:tbl>
    <w:p w14:paraId="43CE42DB" w14:textId="77777777" w:rsidR="00227AEF" w:rsidRDefault="004443D1" w:rsidP="007A2CDB">
      <w:pPr>
        <w:spacing w:before="120"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Nguồn: Phân tích dữ liệu từ SmartPLS 4</w:t>
      </w:r>
    </w:p>
    <w:p w14:paraId="5AE79669"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b/>
          <w:bCs/>
        </w:rPr>
        <w:t>5. Thảo luận</w:t>
      </w:r>
    </w:p>
    <w:p w14:paraId="01822599" w14:textId="77777777" w:rsidR="00227AEF" w:rsidRPr="004443D1" w:rsidRDefault="004443D1" w:rsidP="007A2CDB">
      <w:pPr>
        <w:spacing w:before="120" w:after="0" w:line="240" w:lineRule="auto"/>
        <w:ind w:firstLine="720"/>
        <w:jc w:val="both"/>
        <w:rPr>
          <w:rFonts w:ascii="Times New Roman" w:eastAsia="Times New Roman" w:hAnsi="Times New Roman" w:cs="Times New Roman"/>
          <w:b/>
          <w:bCs/>
          <w:i/>
          <w:iCs/>
        </w:rPr>
      </w:pPr>
      <w:r w:rsidRPr="004443D1">
        <w:rPr>
          <w:rFonts w:ascii="Times New Roman" w:eastAsia="Times New Roman" w:hAnsi="Times New Roman" w:cs="Times New Roman"/>
          <w:b/>
          <w:bCs/>
          <w:i/>
          <w:iCs/>
        </w:rPr>
        <w:t>5.1. So sánh kết quả với các nghiên cứu trước</w:t>
      </w:r>
    </w:p>
    <w:p w14:paraId="78E8FDD3" w14:textId="4DD8F866" w:rsidR="00227AEF" w:rsidRDefault="004443D1" w:rsidP="007A2CDB">
      <w:pPr>
        <w:spacing w:before="120" w:after="0" w:line="240" w:lineRule="auto"/>
        <w:ind w:firstLine="720"/>
        <w:jc w:val="both"/>
        <w:rPr>
          <w:rFonts w:ascii="Times New Roman" w:eastAsia="Times New Roman" w:hAnsi="Times New Roman" w:cs="Times New Roman"/>
        </w:rPr>
      </w:pPr>
      <w:bookmarkStart w:id="1" w:name="_heading=h.lg48wglwvqph" w:colFirst="0" w:colLast="0"/>
      <w:bookmarkEnd w:id="1"/>
      <w:r>
        <w:rPr>
          <w:rFonts w:ascii="Times New Roman" w:eastAsia="Times New Roman" w:hAnsi="Times New Roman" w:cs="Times New Roman"/>
        </w:rPr>
        <w:t>Kết quả cho thấy</w:t>
      </w:r>
      <w:r w:rsidR="007A2CDB">
        <w:rPr>
          <w:rFonts w:ascii="Times New Roman" w:eastAsia="Times New Roman" w:hAnsi="Times New Roman" w:cs="Times New Roman"/>
        </w:rPr>
        <w:t>,</w:t>
      </w:r>
      <w:r>
        <w:rPr>
          <w:rFonts w:ascii="Times New Roman" w:eastAsia="Times New Roman" w:hAnsi="Times New Roman" w:cs="Times New Roman"/>
        </w:rPr>
        <w:t xml:space="preserve"> tất cả giả thuyết đều được chấp nhận, khẳng định vai trò của GenAI trong quá trình học tập của </w:t>
      </w:r>
      <w:r>
        <w:rPr>
          <w:rFonts w:ascii="Times New Roman" w:eastAsia="Times New Roman" w:hAnsi="Times New Roman" w:cs="Times New Roman"/>
        </w:rPr>
        <w:t>sinh viên và phù hợp với các nghiên cứu gần đây. Cụ thể, hỗ trợ từ AI giúp gia tăng hiệu quả học tập cảm nhận, phù hợp với Alshamy et al. (2025) và Bai và Wang (2025), khi sinh viên đánh giá cao tính hữu ích và chất lượng đầu ra của AI. Đồng thời, hiệu quả</w:t>
      </w:r>
      <w:r>
        <w:rPr>
          <w:rFonts w:ascii="Times New Roman" w:eastAsia="Times New Roman" w:hAnsi="Times New Roman" w:cs="Times New Roman"/>
        </w:rPr>
        <w:t xml:space="preserve"> học tập cảm nhận có tác động tích cực đến niềm tin vào năng lực học tập, tương đồng với Yilmaz và Karaoglan Yilmaz (2023).</w:t>
      </w:r>
    </w:p>
    <w:p w14:paraId="1D5E7E0B"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Bên cạnh đó, hỗ trợ từ AI cũng trực tiếp nâng cao sự tự tin học thuật, phù hợp với Alghamdi (2025). Cuối cùng, cả hiệu quả học tập c</w:t>
      </w:r>
      <w:r>
        <w:rPr>
          <w:rFonts w:ascii="Times New Roman" w:eastAsia="Times New Roman" w:hAnsi="Times New Roman" w:cs="Times New Roman"/>
        </w:rPr>
        <w:t>ảm nhận và niềm tin vào năng lực học tập đều đóng vai trò quan trọng trong việc thúc đẩy động lực học tập, nhất quán với Daha và Altelwany (2025), Hmoud et al. (2024) và Zhai và Nezakatgoo (2025).</w:t>
      </w:r>
    </w:p>
    <w:p w14:paraId="4D162AB6" w14:textId="77777777" w:rsidR="00227AEF" w:rsidRPr="004443D1" w:rsidRDefault="004443D1" w:rsidP="007A2CDB">
      <w:pPr>
        <w:spacing w:before="120" w:after="0" w:line="240" w:lineRule="auto"/>
        <w:ind w:firstLine="720"/>
        <w:jc w:val="both"/>
        <w:rPr>
          <w:rFonts w:ascii="Times New Roman" w:eastAsia="Times New Roman" w:hAnsi="Times New Roman" w:cs="Times New Roman"/>
          <w:b/>
          <w:bCs/>
          <w:i/>
          <w:iCs/>
        </w:rPr>
      </w:pPr>
      <w:r w:rsidRPr="004443D1">
        <w:rPr>
          <w:rFonts w:ascii="Times New Roman" w:eastAsia="Times New Roman" w:hAnsi="Times New Roman" w:cs="Times New Roman"/>
          <w:b/>
          <w:bCs/>
          <w:i/>
          <w:iCs/>
        </w:rPr>
        <w:t>5.2. Giải thích kết quả theo lý thuyết nền</w:t>
      </w:r>
    </w:p>
    <w:p w14:paraId="6671633A"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Mối quan hệ giữa</w:t>
      </w:r>
      <w:r>
        <w:rPr>
          <w:rFonts w:ascii="Times New Roman" w:eastAsia="Times New Roman" w:hAnsi="Times New Roman" w:cs="Times New Roman"/>
        </w:rPr>
        <w:t xml:space="preserve"> các biến trong mô hình có thể được lý giải thông qua Thuyết Nhận thức Xã hội (SCT) và Thuyết Tự quyết (SDT). Theo SCT, trải nghiệm làm chủ là nguồn quan trọng hình thành niềm tin vào năng lực bản thân (Bandura, 1986, 1997). Trong bối cảnh học tập, AI đóng</w:t>
      </w:r>
      <w:r>
        <w:rPr>
          <w:rFonts w:ascii="Times New Roman" w:eastAsia="Times New Roman" w:hAnsi="Times New Roman" w:cs="Times New Roman"/>
        </w:rPr>
        <w:t xml:space="preserve"> vai trò như “giàn giáo nhận thức”, cung cấp hướng dẫn và phản hồi tức thì giúp sinh viên giải quyết nhiệm vụ hiệu quả. Khi cảm nhận được kết quả tích cực, sinh viên tích lũy các trải nghiệm thành công, từ đó giảm lo âu và củng cố niềm tin vào năng lực học</w:t>
      </w:r>
      <w:r>
        <w:rPr>
          <w:rFonts w:ascii="Times New Roman" w:eastAsia="Times New Roman" w:hAnsi="Times New Roman" w:cs="Times New Roman"/>
        </w:rPr>
        <w:t xml:space="preserve"> tập.</w:t>
      </w:r>
    </w:p>
    <w:p w14:paraId="26F8A37B"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Theo SDT, động lực nội tại được thúc đẩy khi các nhu cầu về năng lực, tự chủ và gắn kết được đáp ứng (Deci &amp; Ryan, 2000). AI cho phép cá nhân hóa việc học, tăng quyền kiểm soát và đặc biệt là củng cố cảm nhận năng lực thông qua hiệu quả học tập và sự</w:t>
      </w:r>
      <w:r>
        <w:rPr>
          <w:rFonts w:ascii="Times New Roman" w:eastAsia="Times New Roman" w:hAnsi="Times New Roman" w:cs="Times New Roman"/>
        </w:rPr>
        <w:t xml:space="preserve"> tự tin. Khi các nhu cầu này được thỏa mãn, động lực học tập chuyển từ áp lực bên ngoài sang động lực tự quyết (Bai &amp; Wang, 2025; Hmoud et al., 2024).</w:t>
      </w:r>
    </w:p>
    <w:p w14:paraId="2BA45F61"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Tóm lại, AI không trực tiếp tạo ra động lực mà đóng vai trò chất xúc tác, thông qua việc nâng cao hiệu qu</w:t>
      </w:r>
      <w:r>
        <w:rPr>
          <w:rFonts w:ascii="Times New Roman" w:eastAsia="Times New Roman" w:hAnsi="Times New Roman" w:cs="Times New Roman"/>
        </w:rPr>
        <w:t>ả học tập và niềm tin vào năng lực, từ đó giúp sinh viên duy trì động lực học tập bền vững.</w:t>
      </w:r>
    </w:p>
    <w:p w14:paraId="5BEBE0D5" w14:textId="77777777" w:rsidR="00227AEF" w:rsidRDefault="004443D1" w:rsidP="007A2CDB">
      <w:pPr>
        <w:spacing w:before="120" w:after="0" w:line="240" w:lineRule="auto"/>
        <w:ind w:firstLine="720"/>
        <w:jc w:val="both"/>
        <w:rPr>
          <w:rFonts w:ascii="Times New Roman" w:eastAsia="Times New Roman" w:hAnsi="Times New Roman" w:cs="Times New Roman"/>
          <w:b/>
          <w:bCs/>
        </w:rPr>
      </w:pPr>
      <w:r>
        <w:rPr>
          <w:rFonts w:ascii="Times New Roman" w:eastAsia="Times New Roman" w:hAnsi="Times New Roman" w:cs="Times New Roman"/>
          <w:b/>
          <w:bCs/>
        </w:rPr>
        <w:t>6. Hàm ý quản trị</w:t>
      </w:r>
    </w:p>
    <w:p w14:paraId="031D27FF"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Dựa trên kết quả nghiên cứu, một số hàm ý thực tiễn được đề xuất nhằm tối ưu hóa việc ứng dụng GenAI trong giáo dục đại học. Đối với các trường đạ</w:t>
      </w:r>
      <w:r>
        <w:rPr>
          <w:rFonts w:ascii="Times New Roman" w:eastAsia="Times New Roman" w:hAnsi="Times New Roman" w:cs="Times New Roman"/>
        </w:rPr>
        <w:t>i học, cần xây dựng chính sách sử dụng AI rõ ràng và tích hợp chính thức vào chương trình đào tạo, đồng thời nâng cao năng lực AI cho giảng viên và sinh viên, cũng như đổi mới phương pháp đánh giá theo hướng chú trọng tư duy và quá trình học tập (Alshamy e</w:t>
      </w:r>
      <w:r>
        <w:rPr>
          <w:rFonts w:ascii="Times New Roman" w:eastAsia="Times New Roman" w:hAnsi="Times New Roman" w:cs="Times New Roman"/>
        </w:rPr>
        <w:t>t al., 2025; Chan &amp; Hu, 2023; Alghamdi, 2025).</w:t>
      </w:r>
    </w:p>
    <w:p w14:paraId="1094023C"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Đối với giảng viên, cần chuyển vai trò sang định hướng và hỗ trợ sinh viên sử dụng AI hiệu quả, thông qua thiết kế bài tập tích hợp công nghệ, rèn luyện kỹ năng đặt câu lệnh và tư duy siêu nhận thức, tránh tìn</w:t>
      </w:r>
      <w:r>
        <w:rPr>
          <w:rFonts w:ascii="Times New Roman" w:eastAsia="Times New Roman" w:hAnsi="Times New Roman" w:cs="Times New Roman"/>
        </w:rPr>
        <w:t>h trạng phụ thuộc vào AI (Bai &amp; Wang, 2025; Ng et al., 2024).</w:t>
      </w:r>
    </w:p>
    <w:p w14:paraId="19266BCD" w14:textId="77777777" w:rsidR="00227AEF" w:rsidRDefault="004443D1" w:rsidP="004443D1">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Đối với sinh viên, cần xem AI như công cụ hỗ trợ học tập, chủ động phát triển tư duy phản biện để đánh giá thông tin và sử dụng AI một cách hiệu quả, qua đó nâng cao năng lực và duy trì động lực</w:t>
      </w:r>
      <w:r>
        <w:rPr>
          <w:rFonts w:ascii="Times New Roman" w:eastAsia="Times New Roman" w:hAnsi="Times New Roman" w:cs="Times New Roman"/>
        </w:rPr>
        <w:t xml:space="preserve"> học tập bền vững (Dogaru et al., 2025; Zhai &amp; Nezakatgoo, 2025).</w:t>
      </w:r>
    </w:p>
    <w:p w14:paraId="72026432" w14:textId="77777777" w:rsidR="00227AEF" w:rsidRDefault="004443D1" w:rsidP="007A2CDB">
      <w:pPr>
        <w:spacing w:before="120" w:after="0" w:line="240" w:lineRule="auto"/>
        <w:ind w:firstLine="720"/>
        <w:jc w:val="both"/>
        <w:rPr>
          <w:rFonts w:ascii="Times New Roman" w:eastAsia="Times New Roman" w:hAnsi="Times New Roman" w:cs="Times New Roman"/>
          <w:b/>
          <w:bCs/>
        </w:rPr>
      </w:pPr>
      <w:r>
        <w:rPr>
          <w:rFonts w:ascii="Times New Roman" w:eastAsia="Times New Roman" w:hAnsi="Times New Roman" w:cs="Times New Roman"/>
          <w:b/>
          <w:bCs/>
        </w:rPr>
        <w:t>7. Kết luận và hướng nghiên cứu tiếp theo</w:t>
      </w:r>
    </w:p>
    <w:p w14:paraId="60CAD25D"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Nghiên cứu nhằm đánh giá tác động của GenAI đến động lực học tập của sinh viên thông qua 2 yếu tố trung gian là hiệu quả học tập cảm nhận và niềm ti</w:t>
      </w:r>
      <w:r>
        <w:rPr>
          <w:rFonts w:ascii="Times New Roman" w:eastAsia="Times New Roman" w:hAnsi="Times New Roman" w:cs="Times New Roman"/>
        </w:rPr>
        <w:t>n vào năng lực học tập. Kết quả từ 323 mẫu hợp lệ cho thấy tất cả giả thuyết đều được chấp nhận: AI giúp gia tăng hiệu quả học tập và sự tự tin, đồng thời 2 yếu tố này đóng vai trò trung gian chuyển hóa hỗ trợ từ AI thành động lực học tập. Về lý luận, nghi</w:t>
      </w:r>
      <w:r>
        <w:rPr>
          <w:rFonts w:ascii="Times New Roman" w:eastAsia="Times New Roman" w:hAnsi="Times New Roman" w:cs="Times New Roman"/>
        </w:rPr>
        <w:t>ên cứu bổ sung bằng chứng cho SCT và SDT trong bối cảnh số; về thực tiễn, cung cấp cơ sở cho các trường và giảng viên xây dựng chính sách và hướng dẫn sử dụng AI hiệu quả.</w:t>
      </w:r>
    </w:p>
    <w:p w14:paraId="5FF531E5" w14:textId="77777777" w:rsidR="00227AEF" w:rsidRDefault="004443D1" w:rsidP="007A2CDB">
      <w:pPr>
        <w:spacing w:before="120"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Tuy nhiên, nghiên cứu còn hạn chế về phương pháp chọn mẫu thuận tiện và dữ liệu cắt </w:t>
      </w:r>
      <w:r>
        <w:rPr>
          <w:rFonts w:ascii="Times New Roman" w:eastAsia="Times New Roman" w:hAnsi="Times New Roman" w:cs="Times New Roman"/>
        </w:rPr>
        <w:t>ngang, có thể ảnh hưởng đến khả năng khái quát hóa và suy luận nhân quả (Alshamy et al., 2025; Chan &amp; Hu, 2023). Do đó, các nghiên cứu tiếp theo nên mở rộng phạm vi mẫu, thực hiện so sánh liên quốc gia và áp dụng thiết kế dọc để theo dõi sự thay đổi hành v</w:t>
      </w:r>
      <w:r>
        <w:rPr>
          <w:rFonts w:ascii="Times New Roman" w:eastAsia="Times New Roman" w:hAnsi="Times New Roman" w:cs="Times New Roman"/>
        </w:rPr>
        <w:t xml:space="preserve">i và động lực học tập theo thời gian (Guo et al., 2025; Pasupuleti et al., 2025). Đồng thời, việc kết hợp dữ liệu hành vi thực tế và phương pháp thực nghiệm sẽ giúp nâng cao độ chính xác trong đánh giá tác động của AI (Bai &amp; Wang, 2025; Zhai &amp; Nezakatgoo, </w:t>
      </w:r>
      <w:r>
        <w:rPr>
          <w:rFonts w:ascii="Times New Roman" w:eastAsia="Times New Roman" w:hAnsi="Times New Roman" w:cs="Times New Roman"/>
        </w:rPr>
        <w:t>2025).</w:t>
      </w:r>
    </w:p>
    <w:p w14:paraId="5C87FE8C" w14:textId="77777777" w:rsidR="00227AEF" w:rsidRDefault="00227AEF" w:rsidP="007A2CDB">
      <w:pPr>
        <w:spacing w:before="120" w:after="0" w:line="240" w:lineRule="auto"/>
        <w:rPr>
          <w:b/>
          <w:bCs/>
        </w:rPr>
      </w:pPr>
    </w:p>
    <w:p w14:paraId="683D3153" w14:textId="77777777" w:rsidR="00227AEF" w:rsidRDefault="004443D1" w:rsidP="007A2CDB">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Tài liệu tham khảo:</w:t>
      </w:r>
    </w:p>
    <w:p w14:paraId="0E9A2FA5"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Alghamdi A. A. (2025). University students’ perceptions of generative AI for critical thinking and creativity: The influence of self-efficacy and disciplinary differences. </w:t>
      </w:r>
      <w:r>
        <w:rPr>
          <w:rFonts w:ascii="Times New Roman" w:eastAsia="Times New Roman" w:hAnsi="Times New Roman" w:cs="Times New Roman"/>
          <w:i/>
          <w:iCs/>
        </w:rPr>
        <w:t>Innovations in Education and Teaching International</w:t>
      </w:r>
      <w:r>
        <w:rPr>
          <w:rFonts w:ascii="Times New Roman" w:eastAsia="Times New Roman" w:hAnsi="Times New Roman" w:cs="Times New Roman"/>
        </w:rPr>
        <w:t>, 1-1</w:t>
      </w:r>
      <w:r>
        <w:rPr>
          <w:rFonts w:ascii="Times New Roman" w:eastAsia="Times New Roman" w:hAnsi="Times New Roman" w:cs="Times New Roman"/>
        </w:rPr>
        <w:t>7.</w:t>
      </w:r>
    </w:p>
    <w:p w14:paraId="4C229566"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lastRenderedPageBreak/>
        <w:t xml:space="preserve">Alshamy A., Al-Harthi A. S. A., &amp; Abdullah S. (2025). Perceptions of generative AI tools in higher education: Insights from students and academics at Sultan Qaboos University. </w:t>
      </w:r>
      <w:r>
        <w:rPr>
          <w:rFonts w:ascii="Times New Roman" w:eastAsia="Times New Roman" w:hAnsi="Times New Roman" w:cs="Times New Roman"/>
          <w:i/>
          <w:iCs/>
        </w:rPr>
        <w:t>Education Sciences</w:t>
      </w:r>
      <w:r>
        <w:rPr>
          <w:rFonts w:ascii="Times New Roman" w:eastAsia="Times New Roman" w:hAnsi="Times New Roman" w:cs="Times New Roman"/>
        </w:rPr>
        <w:t>, 15(4), 501.</w:t>
      </w:r>
    </w:p>
    <w:p w14:paraId="65CA3654"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Bai Y., &amp;</w:t>
      </w:r>
      <w:r>
        <w:rPr>
          <w:rFonts w:ascii="Times New Roman" w:eastAsia="Times New Roman" w:hAnsi="Times New Roman" w:cs="Times New Roman"/>
        </w:rPr>
        <w:t xml:space="preserve"> Wang S. (2025). Impact of generative AI interaction and output quality on university students’ learning outcomes: A technology-mediated and motivation-driven approach. </w:t>
      </w:r>
      <w:r>
        <w:rPr>
          <w:rFonts w:ascii="Times New Roman" w:eastAsia="Times New Roman" w:hAnsi="Times New Roman" w:cs="Times New Roman"/>
          <w:i/>
          <w:iCs/>
        </w:rPr>
        <w:t>Scientific Reports</w:t>
      </w:r>
      <w:r>
        <w:rPr>
          <w:rFonts w:ascii="Times New Roman" w:eastAsia="Times New Roman" w:hAnsi="Times New Roman" w:cs="Times New Roman"/>
        </w:rPr>
        <w:t>, 15(1), 24054.</w:t>
      </w:r>
    </w:p>
    <w:p w14:paraId="19933146"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Bandura A. (1986). </w:t>
      </w:r>
      <w:r>
        <w:rPr>
          <w:rFonts w:ascii="Times New Roman" w:eastAsia="Times New Roman" w:hAnsi="Times New Roman" w:cs="Times New Roman"/>
          <w:i/>
          <w:iCs/>
        </w:rPr>
        <w:t xml:space="preserve">Social foundations of thought and </w:t>
      </w:r>
      <w:r>
        <w:rPr>
          <w:rFonts w:ascii="Times New Roman" w:eastAsia="Times New Roman" w:hAnsi="Times New Roman" w:cs="Times New Roman"/>
          <w:i/>
          <w:iCs/>
        </w:rPr>
        <w:t>action: A social cognitive theory</w:t>
      </w:r>
      <w:r>
        <w:rPr>
          <w:rFonts w:ascii="Times New Roman" w:eastAsia="Times New Roman" w:hAnsi="Times New Roman" w:cs="Times New Roman"/>
        </w:rPr>
        <w:t>. Prentice-Hall.</w:t>
      </w:r>
    </w:p>
    <w:p w14:paraId="3ED60E77"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Bandura A. (1997). </w:t>
      </w:r>
      <w:r>
        <w:rPr>
          <w:rFonts w:ascii="Times New Roman" w:eastAsia="Times New Roman" w:hAnsi="Times New Roman" w:cs="Times New Roman"/>
          <w:i/>
          <w:iCs/>
        </w:rPr>
        <w:t>Self-efficacy: The exercise of control</w:t>
      </w:r>
      <w:r>
        <w:rPr>
          <w:rFonts w:ascii="Times New Roman" w:eastAsia="Times New Roman" w:hAnsi="Times New Roman" w:cs="Times New Roman"/>
        </w:rPr>
        <w:t>. W.H. Freeman.</w:t>
      </w:r>
    </w:p>
    <w:p w14:paraId="34F5C260"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Chan C. K. Y., &amp; Hu W. (2023). Students’ voices on generative AI: Perceptions, benefits, and challenges in higher education. </w:t>
      </w:r>
      <w:r>
        <w:rPr>
          <w:rFonts w:ascii="Times New Roman" w:eastAsia="Times New Roman" w:hAnsi="Times New Roman" w:cs="Times New Roman"/>
          <w:i/>
          <w:iCs/>
        </w:rPr>
        <w:t>Internat</w:t>
      </w:r>
      <w:r>
        <w:rPr>
          <w:rFonts w:ascii="Times New Roman" w:eastAsia="Times New Roman" w:hAnsi="Times New Roman" w:cs="Times New Roman"/>
          <w:i/>
          <w:iCs/>
        </w:rPr>
        <w:t>ional Journal of Educational Technology in Higher Education</w:t>
      </w:r>
      <w:r>
        <w:rPr>
          <w:rFonts w:ascii="Times New Roman" w:eastAsia="Times New Roman" w:hAnsi="Times New Roman" w:cs="Times New Roman"/>
        </w:rPr>
        <w:t>, 20(1), 43.</w:t>
      </w:r>
    </w:p>
    <w:p w14:paraId="532E99DE"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Chiu T. K. F. (2024). A classification tool to foster self-regulated learning with generative artificial intelligence by applying self-determination theory: A case of ChatGPT. </w:t>
      </w:r>
      <w:r>
        <w:rPr>
          <w:rFonts w:ascii="Times New Roman" w:eastAsia="Times New Roman" w:hAnsi="Times New Roman" w:cs="Times New Roman"/>
          <w:i/>
          <w:iCs/>
        </w:rPr>
        <w:t>Educational Technology Research and Development</w:t>
      </w:r>
      <w:r>
        <w:rPr>
          <w:rFonts w:ascii="Times New Roman" w:eastAsia="Times New Roman" w:hAnsi="Times New Roman" w:cs="Times New Roman"/>
        </w:rPr>
        <w:t>, 72, 2401-2416.</w:t>
      </w:r>
    </w:p>
    <w:p w14:paraId="3DD1ADF1"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Daha E. S., &amp; Altelwany A. A. (2025). Exploring the impact of using ChatGPT in light of goal orientations and academic self-efficacy. </w:t>
      </w:r>
      <w:r>
        <w:rPr>
          <w:rFonts w:ascii="Times New Roman" w:eastAsia="Times New Roman" w:hAnsi="Times New Roman" w:cs="Times New Roman"/>
          <w:i/>
          <w:iCs/>
        </w:rPr>
        <w:t>International Journal of Instruction</w:t>
      </w:r>
      <w:r>
        <w:rPr>
          <w:rFonts w:ascii="Times New Roman" w:eastAsia="Times New Roman" w:hAnsi="Times New Roman" w:cs="Times New Roman"/>
        </w:rPr>
        <w:t>, 18(2), 167-184.</w:t>
      </w:r>
    </w:p>
    <w:p w14:paraId="300ADDA7"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Deci</w:t>
      </w:r>
      <w:r>
        <w:rPr>
          <w:rFonts w:ascii="Times New Roman" w:eastAsia="Times New Roman" w:hAnsi="Times New Roman" w:cs="Times New Roman"/>
        </w:rPr>
        <w:t xml:space="preserve"> E. L., &amp; Ryan R. M. (2000). The “what” and “why” of goal pursuits: Human needs and the self-determination of behavior. </w:t>
      </w:r>
      <w:r>
        <w:rPr>
          <w:rFonts w:ascii="Times New Roman" w:eastAsia="Times New Roman" w:hAnsi="Times New Roman" w:cs="Times New Roman"/>
          <w:i/>
          <w:iCs/>
        </w:rPr>
        <w:t>Psychological Inquiry</w:t>
      </w:r>
      <w:r>
        <w:rPr>
          <w:rFonts w:ascii="Times New Roman" w:eastAsia="Times New Roman" w:hAnsi="Times New Roman" w:cs="Times New Roman"/>
        </w:rPr>
        <w:t>, 11(4), 227-268.</w:t>
      </w:r>
    </w:p>
    <w:p w14:paraId="2BE6271C"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Dogaru M., Pisică O., Popa C. Ș., Răgman A.-A., &amp; Tololoi I.-R. (2025). The perceived impact of a</w:t>
      </w:r>
      <w:r>
        <w:rPr>
          <w:rFonts w:ascii="Times New Roman" w:eastAsia="Times New Roman" w:hAnsi="Times New Roman" w:cs="Times New Roman"/>
        </w:rPr>
        <w:t xml:space="preserve">rtificial intelligence on academic learning. </w:t>
      </w:r>
      <w:r>
        <w:rPr>
          <w:rFonts w:ascii="Times New Roman" w:eastAsia="Times New Roman" w:hAnsi="Times New Roman" w:cs="Times New Roman"/>
          <w:i/>
          <w:iCs/>
        </w:rPr>
        <w:t>Frontiers in Artificial Intelligence</w:t>
      </w:r>
      <w:r>
        <w:rPr>
          <w:rFonts w:ascii="Times New Roman" w:eastAsia="Times New Roman" w:hAnsi="Times New Roman" w:cs="Times New Roman"/>
        </w:rPr>
        <w:t>, 8, 1611183.</w:t>
      </w:r>
    </w:p>
    <w:p w14:paraId="3777360A"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Guo F., Zhang L., Shi T., &amp; Coates H. (2025). Whether and when could generative AI improve college student learning engagement? </w:t>
      </w:r>
      <w:r>
        <w:rPr>
          <w:rFonts w:ascii="Times New Roman" w:eastAsia="Times New Roman" w:hAnsi="Times New Roman" w:cs="Times New Roman"/>
          <w:i/>
          <w:iCs/>
        </w:rPr>
        <w:t>Behavioral Sciences</w:t>
      </w:r>
      <w:r>
        <w:rPr>
          <w:rFonts w:ascii="Times New Roman" w:eastAsia="Times New Roman" w:hAnsi="Times New Roman" w:cs="Times New Roman"/>
        </w:rPr>
        <w:t>, 15(8), 1011.</w:t>
      </w:r>
    </w:p>
    <w:p w14:paraId="7360E171"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Hair J. F., Hult G. T. M., Ringle C. M., &amp; Sarstedt, M. (2022). </w:t>
      </w:r>
      <w:r>
        <w:rPr>
          <w:rFonts w:ascii="Times New Roman" w:eastAsia="Times New Roman" w:hAnsi="Times New Roman" w:cs="Times New Roman"/>
          <w:i/>
          <w:iCs/>
        </w:rPr>
        <w:t>A primer on partial least squares structural equation modeling (PLS-SEM)</w:t>
      </w:r>
      <w:r>
        <w:rPr>
          <w:rFonts w:ascii="Times New Roman" w:eastAsia="Times New Roman" w:hAnsi="Times New Roman" w:cs="Times New Roman"/>
        </w:rPr>
        <w:t xml:space="preserve"> (3rd ed.). Sage.</w:t>
      </w:r>
    </w:p>
    <w:p w14:paraId="66B594A6"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Hmoud M., Swaity H., Hamad N., Karram O., &amp; Daher W. (2024). Higher education students’ task motivati</w:t>
      </w:r>
      <w:r>
        <w:rPr>
          <w:rFonts w:ascii="Times New Roman" w:eastAsia="Times New Roman" w:hAnsi="Times New Roman" w:cs="Times New Roman"/>
        </w:rPr>
        <w:t xml:space="preserve">on in the generative artificial intelligence context: The case of ChatGPT. </w:t>
      </w:r>
      <w:r>
        <w:rPr>
          <w:rFonts w:ascii="Times New Roman" w:eastAsia="Times New Roman" w:hAnsi="Times New Roman" w:cs="Times New Roman"/>
          <w:i/>
          <w:iCs/>
        </w:rPr>
        <w:t>Information</w:t>
      </w:r>
      <w:r>
        <w:rPr>
          <w:rFonts w:ascii="Times New Roman" w:eastAsia="Times New Roman" w:hAnsi="Times New Roman" w:cs="Times New Roman"/>
        </w:rPr>
        <w:t>, 15(1), 33.</w:t>
      </w:r>
    </w:p>
    <w:p w14:paraId="5F149405"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Huang J., &amp; Mizumoto A. (2024). Examining the effect of generative AI on students’ motivation and writing self-efficacy. </w:t>
      </w:r>
      <w:r>
        <w:rPr>
          <w:rFonts w:ascii="Times New Roman" w:eastAsia="Times New Roman" w:hAnsi="Times New Roman" w:cs="Times New Roman"/>
          <w:i/>
          <w:iCs/>
        </w:rPr>
        <w:t>Digital Applied Linguistics</w:t>
      </w:r>
      <w:r>
        <w:rPr>
          <w:rFonts w:ascii="Times New Roman" w:eastAsia="Times New Roman" w:hAnsi="Times New Roman" w:cs="Times New Roman"/>
        </w:rPr>
        <w:t>, 1, 1023</w:t>
      </w:r>
      <w:r>
        <w:rPr>
          <w:rFonts w:ascii="Times New Roman" w:eastAsia="Times New Roman" w:hAnsi="Times New Roman" w:cs="Times New Roman"/>
        </w:rPr>
        <w:t>24.</w:t>
      </w:r>
    </w:p>
    <w:p w14:paraId="337F7D5A"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Li S., Liu J., &amp; Dong Q. (2025). Generative artificial intelligence-supported programming education: Effects on learning performance, self-efficacy and processes. </w:t>
      </w:r>
      <w:r>
        <w:rPr>
          <w:rFonts w:ascii="Times New Roman" w:eastAsia="Times New Roman" w:hAnsi="Times New Roman" w:cs="Times New Roman"/>
          <w:i/>
          <w:iCs/>
        </w:rPr>
        <w:t>Australasian Journal of Educational Technology</w:t>
      </w:r>
      <w:r>
        <w:rPr>
          <w:rFonts w:ascii="Times New Roman" w:eastAsia="Times New Roman" w:hAnsi="Times New Roman" w:cs="Times New Roman"/>
        </w:rPr>
        <w:t>, 41(3), 1-25.</w:t>
      </w:r>
    </w:p>
    <w:p w14:paraId="3CF8B100"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Ng D. T. K., Tan C. W., &amp; Le</w:t>
      </w:r>
      <w:r>
        <w:rPr>
          <w:rFonts w:ascii="Times New Roman" w:eastAsia="Times New Roman" w:hAnsi="Times New Roman" w:cs="Times New Roman"/>
        </w:rPr>
        <w:t xml:space="preserve">ung J. K. L. (2024). Empowering student self-regulated learning and science education through ChatGPT: A pioneering pilot study. </w:t>
      </w:r>
      <w:r>
        <w:rPr>
          <w:rFonts w:ascii="Times New Roman" w:eastAsia="Times New Roman" w:hAnsi="Times New Roman" w:cs="Times New Roman"/>
          <w:i/>
          <w:iCs/>
        </w:rPr>
        <w:t>British Journal of Educational Technology</w:t>
      </w:r>
      <w:r>
        <w:rPr>
          <w:rFonts w:ascii="Times New Roman" w:eastAsia="Times New Roman" w:hAnsi="Times New Roman" w:cs="Times New Roman"/>
        </w:rPr>
        <w:t>, 55(4), 1328-1353.</w:t>
      </w:r>
    </w:p>
    <w:p w14:paraId="2BAB1588"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Pasupuleti R. S., Jangam D. C., Bhimavarapu A., Gunnam V. R., Sikh</w:t>
      </w:r>
      <w:r>
        <w:rPr>
          <w:rFonts w:ascii="Times New Roman" w:eastAsia="Times New Roman" w:hAnsi="Times New Roman" w:cs="Times New Roman"/>
        </w:rPr>
        <w:t xml:space="preserve">akolli V. R., &amp; Thiyyagura D. (2025). The role of learning motivation factors in Deepseek generative AI adoption </w:t>
      </w:r>
      <w:r>
        <w:rPr>
          <w:rFonts w:ascii="Times New Roman" w:eastAsia="Times New Roman" w:hAnsi="Times New Roman" w:cs="Times New Roman"/>
        </w:rPr>
        <w:lastRenderedPageBreak/>
        <w:t xml:space="preserve">among higher education students in India. </w:t>
      </w:r>
      <w:r>
        <w:rPr>
          <w:rFonts w:ascii="Times New Roman" w:eastAsia="Times New Roman" w:hAnsi="Times New Roman" w:cs="Times New Roman"/>
          <w:i/>
          <w:iCs/>
        </w:rPr>
        <w:t>Electronic Journal of e-Learning</w:t>
      </w:r>
      <w:r>
        <w:rPr>
          <w:rFonts w:ascii="Times New Roman" w:eastAsia="Times New Roman" w:hAnsi="Times New Roman" w:cs="Times New Roman"/>
        </w:rPr>
        <w:t>, 23(4), 1-14.</w:t>
      </w:r>
    </w:p>
    <w:p w14:paraId="5D65D5A6"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Yilmaz R., &amp; Karaoglan Yilmaz F. G. (2023). The effect</w:t>
      </w:r>
      <w:r>
        <w:rPr>
          <w:rFonts w:ascii="Times New Roman" w:eastAsia="Times New Roman" w:hAnsi="Times New Roman" w:cs="Times New Roman"/>
        </w:rPr>
        <w:t xml:space="preserve"> of generative artificial intelligence (AI)-based tool use on students’ computational thinking skills, programming self-efficacy and motivation. </w:t>
      </w:r>
      <w:r>
        <w:rPr>
          <w:rFonts w:ascii="Times New Roman" w:eastAsia="Times New Roman" w:hAnsi="Times New Roman" w:cs="Times New Roman"/>
          <w:i/>
          <w:iCs/>
        </w:rPr>
        <w:t>Computers and Education: Artificial Intelligence</w:t>
      </w:r>
      <w:r>
        <w:rPr>
          <w:rFonts w:ascii="Times New Roman" w:eastAsia="Times New Roman" w:hAnsi="Times New Roman" w:cs="Times New Roman"/>
        </w:rPr>
        <w:t>, 4, 100147.</w:t>
      </w:r>
    </w:p>
    <w:p w14:paraId="26C239F1" w14:textId="77777777"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Zhai Y., &amp; Nezakatgoo B. (2025). Evaluating AI-pow</w:t>
      </w:r>
      <w:r>
        <w:rPr>
          <w:rFonts w:ascii="Times New Roman" w:eastAsia="Times New Roman" w:hAnsi="Times New Roman" w:cs="Times New Roman"/>
        </w:rPr>
        <w:t xml:space="preserve">ered applications for enhancing undergraduate students’ metacognitive strategies, self-determined motivation, and social learning in English language education. </w:t>
      </w:r>
      <w:r>
        <w:rPr>
          <w:rFonts w:ascii="Times New Roman" w:eastAsia="Times New Roman" w:hAnsi="Times New Roman" w:cs="Times New Roman"/>
          <w:i/>
          <w:iCs/>
        </w:rPr>
        <w:t>Scientific Reports</w:t>
      </w:r>
      <w:r>
        <w:rPr>
          <w:rFonts w:ascii="Times New Roman" w:eastAsia="Times New Roman" w:hAnsi="Times New Roman" w:cs="Times New Roman"/>
        </w:rPr>
        <w:t>, 15, 35199.</w:t>
      </w:r>
    </w:p>
    <w:p w14:paraId="043596F7" w14:textId="77777777" w:rsidR="00227AEF" w:rsidRDefault="00227AEF" w:rsidP="007A2CDB">
      <w:pPr>
        <w:spacing w:before="120" w:after="0" w:line="240" w:lineRule="auto"/>
        <w:ind w:left="851" w:hanging="851"/>
        <w:jc w:val="both"/>
        <w:rPr>
          <w:rFonts w:ascii="Times New Roman" w:eastAsia="Times New Roman" w:hAnsi="Times New Roman" w:cs="Times New Roman"/>
        </w:rPr>
      </w:pPr>
    </w:p>
    <w:p w14:paraId="7DFA452E" w14:textId="77777777" w:rsidR="007F21E0" w:rsidRPr="00CF29A0" w:rsidRDefault="007F21E0" w:rsidP="007F21E0">
      <w:pPr>
        <w:spacing w:before="120"/>
        <w:rPr>
          <w:color w:val="000000"/>
        </w:rPr>
      </w:pPr>
      <w:r w:rsidRPr="00CF29A0">
        <w:rPr>
          <w:color w:val="000000"/>
        </w:rPr>
        <w:t>Ngày nhận bài: 15/01/2026</w:t>
      </w:r>
    </w:p>
    <w:p w14:paraId="053CF35F" w14:textId="0E842E67" w:rsidR="007F21E0" w:rsidRPr="00CF29A0" w:rsidRDefault="007F21E0" w:rsidP="007F21E0">
      <w:pPr>
        <w:spacing w:before="120"/>
        <w:rPr>
          <w:color w:val="000000"/>
        </w:rPr>
      </w:pPr>
      <w:r w:rsidRPr="00CF29A0">
        <w:rPr>
          <w:color w:val="000000"/>
        </w:rPr>
        <w:t xml:space="preserve">Ngày phản biện đánh giá và sửa chữa: </w:t>
      </w:r>
      <w:r>
        <w:rPr>
          <w:color w:val="000000"/>
        </w:rPr>
        <w:t>4</w:t>
      </w:r>
      <w:r w:rsidRPr="00CF29A0">
        <w:rPr>
          <w:color w:val="000000"/>
        </w:rPr>
        <w:t>/02/2026</w:t>
      </w:r>
    </w:p>
    <w:p w14:paraId="0E512828" w14:textId="7C012D6E" w:rsidR="007F21E0" w:rsidRDefault="007F21E0" w:rsidP="007F21E0">
      <w:pPr>
        <w:spacing w:after="0" w:line="360" w:lineRule="auto"/>
        <w:outlineLvl w:val="1"/>
        <w:rPr>
          <w:rFonts w:ascii="Times New Roman" w:hAnsi="Times New Roman"/>
          <w:sz w:val="28"/>
          <w:szCs w:val="28"/>
          <w:lang w:val="en-US"/>
        </w:rPr>
      </w:pPr>
      <w:r w:rsidRPr="00CF29A0">
        <w:rPr>
          <w:color w:val="000000"/>
        </w:rPr>
        <w:t>Ngày chấp nhận đăng bài: 2</w:t>
      </w:r>
      <w:r>
        <w:rPr>
          <w:color w:val="000000"/>
        </w:rPr>
        <w:t>7</w:t>
      </w:r>
      <w:r w:rsidRPr="00CF29A0">
        <w:rPr>
          <w:color w:val="000000"/>
        </w:rPr>
        <w:t>/02/2026</w:t>
      </w:r>
    </w:p>
    <w:p w14:paraId="16ED2EFD" w14:textId="77777777" w:rsidR="00227AEF" w:rsidRDefault="00227AEF" w:rsidP="007A2CDB">
      <w:pPr>
        <w:spacing w:before="120" w:after="0" w:line="240" w:lineRule="auto"/>
        <w:ind w:left="851" w:hanging="851"/>
        <w:jc w:val="both"/>
        <w:rPr>
          <w:rFonts w:ascii="Times New Roman" w:eastAsia="Times New Roman" w:hAnsi="Times New Roman" w:cs="Times New Roman"/>
        </w:rPr>
      </w:pPr>
    </w:p>
    <w:p w14:paraId="24306EA9" w14:textId="757C3D41" w:rsidR="00227AEF" w:rsidRDefault="00933A84"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Impact of GenAI supported learning</w:t>
      </w:r>
      <w:r w:rsidR="000738CF">
        <w:rPr>
          <w:rFonts w:ascii="Times New Roman" w:eastAsia="Times New Roman" w:hAnsi="Times New Roman" w:cs="Times New Roman"/>
        </w:rPr>
        <w:t xml:space="preserve"> tools</w:t>
      </w:r>
      <w:r>
        <w:rPr>
          <w:rFonts w:ascii="Times New Roman" w:eastAsia="Times New Roman" w:hAnsi="Times New Roman" w:cs="Times New Roman"/>
        </w:rPr>
        <w:t xml:space="preserve"> on university students’ learning motivation in </w:t>
      </w:r>
      <w:r w:rsidR="0063377D">
        <w:rPr>
          <w:rFonts w:ascii="Times New Roman" w:eastAsia="Times New Roman" w:hAnsi="Times New Roman" w:cs="Times New Roman"/>
        </w:rPr>
        <w:t>H</w:t>
      </w:r>
      <w:r>
        <w:rPr>
          <w:rFonts w:ascii="Times New Roman" w:eastAsia="Times New Roman" w:hAnsi="Times New Roman" w:cs="Times New Roman"/>
        </w:rPr>
        <w:t xml:space="preserve">o </w:t>
      </w:r>
      <w:r w:rsidR="0063377D">
        <w:rPr>
          <w:rFonts w:ascii="Times New Roman" w:eastAsia="Times New Roman" w:hAnsi="Times New Roman" w:cs="Times New Roman"/>
        </w:rPr>
        <w:t>C</w:t>
      </w:r>
      <w:r>
        <w:rPr>
          <w:rFonts w:ascii="Times New Roman" w:eastAsia="Times New Roman" w:hAnsi="Times New Roman" w:cs="Times New Roman"/>
        </w:rPr>
        <w:t xml:space="preserve">hi </w:t>
      </w:r>
      <w:r w:rsidR="0063377D">
        <w:rPr>
          <w:rFonts w:ascii="Times New Roman" w:eastAsia="Times New Roman" w:hAnsi="Times New Roman" w:cs="Times New Roman"/>
        </w:rPr>
        <w:t>M</w:t>
      </w:r>
      <w:r>
        <w:rPr>
          <w:rFonts w:ascii="Times New Roman" w:eastAsia="Times New Roman" w:hAnsi="Times New Roman" w:cs="Times New Roman"/>
        </w:rPr>
        <w:t xml:space="preserve">inh </w:t>
      </w:r>
      <w:r w:rsidR="0063377D">
        <w:rPr>
          <w:rFonts w:ascii="Times New Roman" w:eastAsia="Times New Roman" w:hAnsi="Times New Roman" w:cs="Times New Roman"/>
        </w:rPr>
        <w:t>C</w:t>
      </w:r>
      <w:r>
        <w:rPr>
          <w:rFonts w:ascii="Times New Roman" w:eastAsia="Times New Roman" w:hAnsi="Times New Roman" w:cs="Times New Roman"/>
        </w:rPr>
        <w:t xml:space="preserve">ity </w:t>
      </w:r>
    </w:p>
    <w:p w14:paraId="71121F8F"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Cao Thi Kieu Vinh</w:t>
      </w:r>
    </w:p>
    <w:p w14:paraId="5F51ACCE" w14:textId="77777777" w:rsidR="00227AEF" w:rsidRDefault="004443D1" w:rsidP="007A2CD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Ho Chi Minh City University of Industry and </w:t>
      </w:r>
      <w:r>
        <w:rPr>
          <w:rFonts w:ascii="Times New Roman" w:eastAsia="Times New Roman" w:hAnsi="Times New Roman" w:cs="Times New Roman"/>
        </w:rPr>
        <w:t>Trade</w:t>
      </w:r>
    </w:p>
    <w:p w14:paraId="6FEA51B4" w14:textId="77777777" w:rsidR="00227AEF" w:rsidRDefault="004443D1" w:rsidP="007A2CDB">
      <w:pPr>
        <w:spacing w:before="120" w:after="0" w:line="240" w:lineRule="auto"/>
        <w:rPr>
          <w:rFonts w:ascii="Times New Roman" w:eastAsia="Times New Roman" w:hAnsi="Times New Roman" w:cs="Times New Roman"/>
        </w:rPr>
      </w:pPr>
      <w:r>
        <w:rPr>
          <w:rFonts w:ascii="Times New Roman" w:eastAsia="Times New Roman" w:hAnsi="Times New Roman" w:cs="Times New Roman"/>
          <w:b/>
          <w:bCs/>
        </w:rPr>
        <w:t>ABSTRACT:</w:t>
      </w:r>
    </w:p>
    <w:p w14:paraId="0B4D677F" w14:textId="77777777" w:rsidR="00227AEF" w:rsidRDefault="004443D1" w:rsidP="007A2CD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study examines the impact of generative artificial intelligence (GenAI)-supported learning on university students’ learning motivation in Ho Chi Minh City. Grounded in Social Cognitive Theory (SCT) and </w:t>
      </w:r>
      <w:r>
        <w:rPr>
          <w:rFonts w:ascii="Times New Roman" w:eastAsia="Times New Roman" w:hAnsi="Times New Roman" w:cs="Times New Roman"/>
        </w:rPr>
        <w:t>Self-Determination Theory (SDT), the proposed model incorporates perceived learning effectiveness and academic self-efficacy as mediating variables. Data were collected from 323 students and analyzed using PLS-SEM. The findings reveal that AI support posit</w:t>
      </w:r>
      <w:r>
        <w:rPr>
          <w:rFonts w:ascii="Times New Roman" w:eastAsia="Times New Roman" w:hAnsi="Times New Roman" w:cs="Times New Roman"/>
        </w:rPr>
        <w:t>ively influences perceived learning effectiveness, self-efficacy, and learning motivation. Additionally, both mediators play a significant role in transforming AI support into intrinsic learning motivation. The study contributes to the literature by provid</w:t>
      </w:r>
      <w:r>
        <w:rPr>
          <w:rFonts w:ascii="Times New Roman" w:eastAsia="Times New Roman" w:hAnsi="Times New Roman" w:cs="Times New Roman"/>
        </w:rPr>
        <w:t>ing empirical evidence on the psychological mechanisms through which AI enhances student motivation in higher education contexts.</w:t>
      </w:r>
    </w:p>
    <w:p w14:paraId="3388256A" w14:textId="11B21B6F" w:rsidR="00227AEF" w:rsidRDefault="004443D1" w:rsidP="007A2CDB">
      <w:pPr>
        <w:spacing w:before="120"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Keywords: generative artificial intelligence, university students,</w:t>
      </w:r>
      <w:r w:rsidR="00DA789A">
        <w:rPr>
          <w:rFonts w:ascii="Times New Roman" w:eastAsia="Times New Roman" w:hAnsi="Times New Roman" w:cs="Times New Roman"/>
        </w:rPr>
        <w:t xml:space="preserve"> learning capacity,</w:t>
      </w:r>
      <w:r w:rsidR="00E479E9">
        <w:rPr>
          <w:rFonts w:ascii="Times New Roman" w:eastAsia="Times New Roman" w:hAnsi="Times New Roman" w:cs="Times New Roman"/>
        </w:rPr>
        <w:t xml:space="preserve"> </w:t>
      </w:r>
      <w:r>
        <w:rPr>
          <w:rFonts w:ascii="Times New Roman" w:eastAsia="Times New Roman" w:hAnsi="Times New Roman" w:cs="Times New Roman"/>
        </w:rPr>
        <w:t>learning motivation.</w:t>
      </w:r>
    </w:p>
    <w:p w14:paraId="642087A9" w14:textId="77777777" w:rsidR="00337E9B" w:rsidRDefault="00337E9B" w:rsidP="007A2CDB">
      <w:pPr>
        <w:spacing w:before="120" w:after="0" w:line="240" w:lineRule="auto"/>
        <w:ind w:left="851" w:hanging="851"/>
        <w:jc w:val="both"/>
        <w:rPr>
          <w:rFonts w:ascii="Times New Roman" w:eastAsia="Times New Roman" w:hAnsi="Times New Roman" w:cs="Times New Roman"/>
        </w:rPr>
      </w:pPr>
    </w:p>
    <w:p w14:paraId="7FB7065C" w14:textId="77777777" w:rsidR="00337E9B" w:rsidRDefault="00337E9B" w:rsidP="007A2CDB">
      <w:pPr>
        <w:spacing w:before="120" w:after="0" w:line="240" w:lineRule="auto"/>
        <w:ind w:left="851" w:hanging="851"/>
        <w:jc w:val="both"/>
        <w:rPr>
          <w:rFonts w:ascii="Times New Roman" w:eastAsia="Times New Roman" w:hAnsi="Times New Roman" w:cs="Times New Roman"/>
        </w:rPr>
      </w:pPr>
    </w:p>
    <w:p w14:paraId="091028C8" w14:textId="77777777" w:rsidR="00227AEF" w:rsidRDefault="00227AEF" w:rsidP="007A2CDB">
      <w:pPr>
        <w:spacing w:before="120" w:after="0" w:line="240" w:lineRule="auto"/>
        <w:jc w:val="both"/>
        <w:rPr>
          <w:rFonts w:ascii="Times New Roman" w:eastAsia="Times New Roman" w:hAnsi="Times New Roman" w:cs="Times New Roman"/>
        </w:rPr>
      </w:pPr>
    </w:p>
    <w:sectPr w:rsidR="00227A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charset w:val="00"/>
    <w:family w:val="swiss"/>
    <w:pitch w:val="variable"/>
    <w:sig w:usb0="20000287" w:usb1="00000003" w:usb2="00000000" w:usb3="00000000" w:csb0="0000019F" w:csb1="00000000"/>
    <w:embedRegular r:id="rId1" w:fontKey="{3E68FEE3-72CA-4C55-8825-F228ED5CCE03}"/>
    <w:embedBold r:id="rId2" w:fontKey="{95DFB648-0FB7-48EB-B7A0-FBF01CCCF0DB}"/>
    <w:embedItalic r:id="rId3" w:fontKey="{7F80C1E8-44FF-4F57-88A3-40E6ED618C0D}"/>
  </w:font>
  <w:font w:name="Play">
    <w:altName w:val="Arial"/>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embedRegular r:id="rId4" w:fontKey="{34C69FA3-B641-4843-81A8-C6EB82BB7467}"/>
  </w:font>
  <w:font w:name="Tahoma">
    <w:panose1 w:val="020B0604030504040204"/>
    <w:charset w:val="00"/>
    <w:family w:val="swiss"/>
    <w:pitch w:val="variable"/>
    <w:sig w:usb0="E1002EFF" w:usb1="C000605B" w:usb2="00000029" w:usb3="00000000" w:csb0="000101FF" w:csb1="00000000"/>
    <w:embedRegular r:id="rId5" w:fontKey="{035AE2D0-93B4-46B4-9BC6-DF78E8491A85}"/>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othidieuthuy ngothidieuthuy">
    <w15:presenceInfo w15:providerId="Windows Live" w15:userId="b52535cc6664a60a"/>
  </w15:person>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doNotDisplayPageBoundaries/>
  <w:embedTrueType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EF"/>
    <w:rsid w:val="000738CF"/>
    <w:rsid w:val="00083136"/>
    <w:rsid w:val="000F519C"/>
    <w:rsid w:val="00196726"/>
    <w:rsid w:val="00227AEF"/>
    <w:rsid w:val="00337E9B"/>
    <w:rsid w:val="004443D1"/>
    <w:rsid w:val="005C1D35"/>
    <w:rsid w:val="0063377D"/>
    <w:rsid w:val="006F7D58"/>
    <w:rsid w:val="007A2CDB"/>
    <w:rsid w:val="007F21E0"/>
    <w:rsid w:val="00933A84"/>
    <w:rsid w:val="00C041CF"/>
    <w:rsid w:val="00DA789A"/>
    <w:rsid w:val="00E479E9"/>
    <w:rsid w:val="00E901E0"/>
    <w:rsid w:val="00F8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83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583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633"/>
    <w:rPr>
      <w:rFonts w:eastAsiaTheme="majorEastAsia" w:cstheme="majorBidi"/>
      <w:color w:val="272727" w:themeColor="text1" w:themeTint="D8"/>
    </w:rPr>
  </w:style>
  <w:style w:type="character" w:customStyle="1" w:styleId="TitleChar">
    <w:name w:val="Title Char"/>
    <w:basedOn w:val="DefaultParagraphFont"/>
    <w:link w:val="Title"/>
    <w:uiPriority w:val="10"/>
    <w:rsid w:val="0058363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83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633"/>
    <w:pPr>
      <w:spacing w:before="160"/>
      <w:jc w:val="center"/>
    </w:pPr>
    <w:rPr>
      <w:i/>
      <w:iCs/>
      <w:color w:val="404040" w:themeColor="text1" w:themeTint="BF"/>
    </w:rPr>
  </w:style>
  <w:style w:type="character" w:customStyle="1" w:styleId="QuoteChar">
    <w:name w:val="Quote Char"/>
    <w:basedOn w:val="DefaultParagraphFont"/>
    <w:link w:val="Quote"/>
    <w:uiPriority w:val="29"/>
    <w:rsid w:val="00583633"/>
    <w:rPr>
      <w:i/>
      <w:iCs/>
      <w:color w:val="404040" w:themeColor="text1" w:themeTint="BF"/>
    </w:rPr>
  </w:style>
  <w:style w:type="paragraph" w:styleId="ListParagraph">
    <w:name w:val="List Paragraph"/>
    <w:basedOn w:val="Normal"/>
    <w:uiPriority w:val="34"/>
    <w:qFormat/>
    <w:rsid w:val="00583633"/>
    <w:pPr>
      <w:ind w:left="720"/>
      <w:contextualSpacing/>
    </w:pPr>
  </w:style>
  <w:style w:type="character" w:styleId="IntenseEmphasis">
    <w:name w:val="Intense Emphasis"/>
    <w:basedOn w:val="DefaultParagraphFont"/>
    <w:uiPriority w:val="21"/>
    <w:qFormat/>
    <w:rsid w:val="00583633"/>
    <w:rPr>
      <w:i/>
      <w:iCs/>
      <w:color w:val="0F4761" w:themeColor="accent1" w:themeShade="BF"/>
    </w:rPr>
  </w:style>
  <w:style w:type="paragraph" w:styleId="IntenseQuote">
    <w:name w:val="Intense Quote"/>
    <w:basedOn w:val="Normal"/>
    <w:next w:val="Normal"/>
    <w:link w:val="IntenseQuoteChar"/>
    <w:uiPriority w:val="30"/>
    <w:qFormat/>
    <w:rsid w:val="00583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633"/>
    <w:rPr>
      <w:i/>
      <w:iCs/>
      <w:color w:val="0F4761" w:themeColor="accent1" w:themeShade="BF"/>
    </w:rPr>
  </w:style>
  <w:style w:type="character" w:styleId="IntenseReference">
    <w:name w:val="Intense Reference"/>
    <w:basedOn w:val="DefaultParagraphFont"/>
    <w:uiPriority w:val="32"/>
    <w:qFormat/>
    <w:rsid w:val="00583633"/>
    <w:rPr>
      <w:b/>
      <w:bCs/>
      <w:smallCaps/>
      <w:color w:val="0F4761" w:themeColor="accent1" w:themeShade="BF"/>
      <w:spacing w:val="5"/>
    </w:rPr>
  </w:style>
  <w:style w:type="table" w:styleId="TableGrid">
    <w:name w:val="Table Grid"/>
    <w:basedOn w:val="TableNormal"/>
    <w:uiPriority w:val="39"/>
    <w:rsid w:val="00A4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C63"/>
    <w:rPr>
      <w:rFonts w:ascii="Tahoma" w:hAnsi="Tahoma" w:cs="Tahoma"/>
      <w:sz w:val="16"/>
      <w:szCs w:val="16"/>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character" w:styleId="Hyperlink">
    <w:name w:val="Hyperlink"/>
    <w:basedOn w:val="DefaultParagraphFont"/>
    <w:uiPriority w:val="99"/>
    <w:unhideWhenUsed/>
    <w:rsid w:val="007A2CDB"/>
    <w:rPr>
      <w:color w:val="467886" w:themeColor="hyperlink"/>
      <w:u w:val="single"/>
    </w:rPr>
  </w:style>
  <w:style w:type="character" w:customStyle="1" w:styleId="UnresolvedMention">
    <w:name w:val="Unresolved Mention"/>
    <w:basedOn w:val="DefaultParagraphFont"/>
    <w:uiPriority w:val="99"/>
    <w:semiHidden/>
    <w:unhideWhenUsed/>
    <w:rsid w:val="007A2CDB"/>
    <w:rPr>
      <w:color w:val="605E5C"/>
      <w:shd w:val="clear" w:color="auto" w:fill="E1DFDD"/>
    </w:rPr>
  </w:style>
  <w:style w:type="paragraph" w:styleId="Revision">
    <w:name w:val="Revision"/>
    <w:hidden/>
    <w:uiPriority w:val="99"/>
    <w:semiHidden/>
    <w:rsid w:val="007A2C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83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583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633"/>
    <w:rPr>
      <w:rFonts w:eastAsiaTheme="majorEastAsia" w:cstheme="majorBidi"/>
      <w:color w:val="272727" w:themeColor="text1" w:themeTint="D8"/>
    </w:rPr>
  </w:style>
  <w:style w:type="character" w:customStyle="1" w:styleId="TitleChar">
    <w:name w:val="Title Char"/>
    <w:basedOn w:val="DefaultParagraphFont"/>
    <w:link w:val="Title"/>
    <w:uiPriority w:val="10"/>
    <w:rsid w:val="0058363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83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633"/>
    <w:pPr>
      <w:spacing w:before="160"/>
      <w:jc w:val="center"/>
    </w:pPr>
    <w:rPr>
      <w:i/>
      <w:iCs/>
      <w:color w:val="404040" w:themeColor="text1" w:themeTint="BF"/>
    </w:rPr>
  </w:style>
  <w:style w:type="character" w:customStyle="1" w:styleId="QuoteChar">
    <w:name w:val="Quote Char"/>
    <w:basedOn w:val="DefaultParagraphFont"/>
    <w:link w:val="Quote"/>
    <w:uiPriority w:val="29"/>
    <w:rsid w:val="00583633"/>
    <w:rPr>
      <w:i/>
      <w:iCs/>
      <w:color w:val="404040" w:themeColor="text1" w:themeTint="BF"/>
    </w:rPr>
  </w:style>
  <w:style w:type="paragraph" w:styleId="ListParagraph">
    <w:name w:val="List Paragraph"/>
    <w:basedOn w:val="Normal"/>
    <w:uiPriority w:val="34"/>
    <w:qFormat/>
    <w:rsid w:val="00583633"/>
    <w:pPr>
      <w:ind w:left="720"/>
      <w:contextualSpacing/>
    </w:pPr>
  </w:style>
  <w:style w:type="character" w:styleId="IntenseEmphasis">
    <w:name w:val="Intense Emphasis"/>
    <w:basedOn w:val="DefaultParagraphFont"/>
    <w:uiPriority w:val="21"/>
    <w:qFormat/>
    <w:rsid w:val="00583633"/>
    <w:rPr>
      <w:i/>
      <w:iCs/>
      <w:color w:val="0F4761" w:themeColor="accent1" w:themeShade="BF"/>
    </w:rPr>
  </w:style>
  <w:style w:type="paragraph" w:styleId="IntenseQuote">
    <w:name w:val="Intense Quote"/>
    <w:basedOn w:val="Normal"/>
    <w:next w:val="Normal"/>
    <w:link w:val="IntenseQuoteChar"/>
    <w:uiPriority w:val="30"/>
    <w:qFormat/>
    <w:rsid w:val="00583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633"/>
    <w:rPr>
      <w:i/>
      <w:iCs/>
      <w:color w:val="0F4761" w:themeColor="accent1" w:themeShade="BF"/>
    </w:rPr>
  </w:style>
  <w:style w:type="character" w:styleId="IntenseReference">
    <w:name w:val="Intense Reference"/>
    <w:basedOn w:val="DefaultParagraphFont"/>
    <w:uiPriority w:val="32"/>
    <w:qFormat/>
    <w:rsid w:val="00583633"/>
    <w:rPr>
      <w:b/>
      <w:bCs/>
      <w:smallCaps/>
      <w:color w:val="0F4761" w:themeColor="accent1" w:themeShade="BF"/>
      <w:spacing w:val="5"/>
    </w:rPr>
  </w:style>
  <w:style w:type="table" w:styleId="TableGrid">
    <w:name w:val="Table Grid"/>
    <w:basedOn w:val="TableNormal"/>
    <w:uiPriority w:val="39"/>
    <w:rsid w:val="00A4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C63"/>
    <w:rPr>
      <w:rFonts w:ascii="Tahoma" w:hAnsi="Tahoma" w:cs="Tahoma"/>
      <w:sz w:val="16"/>
      <w:szCs w:val="16"/>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character" w:styleId="Hyperlink">
    <w:name w:val="Hyperlink"/>
    <w:basedOn w:val="DefaultParagraphFont"/>
    <w:uiPriority w:val="99"/>
    <w:unhideWhenUsed/>
    <w:rsid w:val="007A2CDB"/>
    <w:rPr>
      <w:color w:val="467886" w:themeColor="hyperlink"/>
      <w:u w:val="single"/>
    </w:rPr>
  </w:style>
  <w:style w:type="character" w:customStyle="1" w:styleId="UnresolvedMention">
    <w:name w:val="Unresolved Mention"/>
    <w:basedOn w:val="DefaultParagraphFont"/>
    <w:uiPriority w:val="99"/>
    <w:semiHidden/>
    <w:unhideWhenUsed/>
    <w:rsid w:val="007A2CDB"/>
    <w:rPr>
      <w:color w:val="605E5C"/>
      <w:shd w:val="clear" w:color="auto" w:fill="E1DFDD"/>
    </w:rPr>
  </w:style>
  <w:style w:type="paragraph" w:styleId="Revision">
    <w:name w:val="Revision"/>
    <w:hidden/>
    <w:uiPriority w:val="99"/>
    <w:semiHidden/>
    <w:rsid w:val="007A2C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19ajwArmw6V/vsdvwia5dEIBrg==">CgMxLjAyDmgubGc0OHdnbHd2cXBoOAByITFpV3JpSG1ad2NFdXRObjhWcFNuQWktVVFDUDBYNm9fVQ==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Tam</dc:creator>
  <cp:lastModifiedBy>admin12</cp:lastModifiedBy>
  <cp:revision>15</cp:revision>
  <dcterms:created xsi:type="dcterms:W3CDTF">2026-03-23T03:43:00Z</dcterms:created>
  <dcterms:modified xsi:type="dcterms:W3CDTF">2026-04-21T05:00:00Z</dcterms:modified>
</cp:coreProperties>
</file>