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FAE4" w14:textId="54F8C390" w:rsidR="00504452" w:rsidRDefault="00231A0D" w:rsidP="00771F8E">
      <w:pPr>
        <w:spacing w:before="120"/>
        <w:jc w:val="both"/>
        <w:rPr>
          <w:rFonts w:ascii="Times New Roman" w:hAnsi="Times New Roman" w:cs="Times New Roman"/>
          <w:b/>
          <w:bCs/>
          <w:color w:val="000000"/>
          <w:sz w:val="28"/>
          <w:szCs w:val="28"/>
          <w:lang w:val="vi-VN"/>
        </w:rPr>
      </w:pPr>
      <w:r w:rsidRPr="00B5714C">
        <w:rPr>
          <w:rFonts w:ascii="Times New Roman" w:hAnsi="Times New Roman" w:cs="Times New Roman"/>
          <w:b/>
          <w:bCs/>
          <w:color w:val="000000"/>
          <w:sz w:val="28"/>
          <w:szCs w:val="28"/>
        </w:rPr>
        <w:t>Tác</w:t>
      </w:r>
      <w:r w:rsidRPr="00B5714C">
        <w:rPr>
          <w:rFonts w:ascii="Times New Roman" w:hAnsi="Times New Roman" w:cs="Times New Roman"/>
          <w:b/>
          <w:bCs/>
          <w:color w:val="000000"/>
          <w:sz w:val="28"/>
          <w:szCs w:val="28"/>
          <w:lang w:val="vi-VN"/>
        </w:rPr>
        <w:t xml:space="preserve"> động của cộng đồng kinh tế </w:t>
      </w:r>
      <w:r w:rsidR="00CF350F" w:rsidRPr="00B5714C">
        <w:rPr>
          <w:rFonts w:ascii="Times New Roman" w:hAnsi="Times New Roman" w:cs="Times New Roman"/>
          <w:b/>
          <w:bCs/>
          <w:color w:val="000000"/>
          <w:sz w:val="28"/>
          <w:szCs w:val="28"/>
          <w:lang w:val="vi-VN"/>
        </w:rPr>
        <w:t>ASEAN</w:t>
      </w:r>
      <w:r w:rsidRPr="00B5714C">
        <w:rPr>
          <w:rFonts w:ascii="Times New Roman" w:hAnsi="Times New Roman" w:cs="Times New Roman"/>
          <w:b/>
          <w:bCs/>
          <w:color w:val="000000"/>
          <w:sz w:val="28"/>
          <w:szCs w:val="28"/>
          <w:lang w:val="vi-VN"/>
        </w:rPr>
        <w:t xml:space="preserve"> đến thương mại hàng h</w:t>
      </w:r>
      <w:r w:rsidR="00771F8E">
        <w:rPr>
          <w:rFonts w:ascii="Times New Roman" w:hAnsi="Times New Roman" w:cs="Times New Roman"/>
          <w:b/>
          <w:bCs/>
          <w:color w:val="000000"/>
          <w:sz w:val="28"/>
          <w:szCs w:val="28"/>
        </w:rPr>
        <w:t>óa</w:t>
      </w:r>
      <w:r w:rsidRPr="00B5714C">
        <w:rPr>
          <w:rFonts w:ascii="Times New Roman" w:hAnsi="Times New Roman" w:cs="Times New Roman"/>
          <w:b/>
          <w:bCs/>
          <w:color w:val="000000"/>
          <w:sz w:val="28"/>
          <w:szCs w:val="28"/>
          <w:lang w:val="vi-VN"/>
        </w:rPr>
        <w:t xml:space="preserve"> của </w:t>
      </w:r>
      <w:r w:rsidR="00997BF6" w:rsidRPr="00B5714C">
        <w:rPr>
          <w:rFonts w:ascii="Times New Roman" w:hAnsi="Times New Roman" w:cs="Times New Roman"/>
          <w:b/>
          <w:bCs/>
          <w:color w:val="000000"/>
          <w:sz w:val="28"/>
          <w:szCs w:val="28"/>
          <w:lang w:val="vi-VN"/>
        </w:rPr>
        <w:t>Việt Nam</w:t>
      </w:r>
      <w:r w:rsidRPr="00B5714C">
        <w:rPr>
          <w:rFonts w:ascii="Times New Roman" w:hAnsi="Times New Roman" w:cs="Times New Roman"/>
          <w:b/>
          <w:bCs/>
          <w:color w:val="000000"/>
          <w:sz w:val="28"/>
          <w:szCs w:val="28"/>
          <w:lang w:val="vi-VN"/>
        </w:rPr>
        <w:t xml:space="preserve">: </w:t>
      </w:r>
      <w:r w:rsidR="00CF350F">
        <w:rPr>
          <w:rFonts w:ascii="Times New Roman" w:hAnsi="Times New Roman" w:cs="Times New Roman"/>
          <w:b/>
          <w:bCs/>
          <w:color w:val="000000"/>
          <w:sz w:val="28"/>
          <w:szCs w:val="28"/>
        </w:rPr>
        <w:t>T</w:t>
      </w:r>
      <w:r w:rsidRPr="00B5714C">
        <w:rPr>
          <w:rFonts w:ascii="Times New Roman" w:hAnsi="Times New Roman" w:cs="Times New Roman"/>
          <w:b/>
          <w:bCs/>
          <w:color w:val="000000"/>
          <w:sz w:val="28"/>
          <w:szCs w:val="28"/>
          <w:lang w:val="vi-VN"/>
        </w:rPr>
        <w:t>iếp cận từ</w:t>
      </w:r>
      <w:r w:rsidR="002C000D" w:rsidRPr="00B5714C">
        <w:rPr>
          <w:rFonts w:ascii="Times New Roman" w:hAnsi="Times New Roman" w:cs="Times New Roman"/>
          <w:b/>
          <w:bCs/>
          <w:color w:val="000000"/>
          <w:sz w:val="28"/>
          <w:szCs w:val="28"/>
          <w:lang w:val="vi-VN"/>
        </w:rPr>
        <w:t xml:space="preserve"> </w:t>
      </w:r>
      <w:r w:rsidRPr="00B5714C">
        <w:rPr>
          <w:rFonts w:ascii="Times New Roman" w:hAnsi="Times New Roman" w:cs="Times New Roman"/>
          <w:b/>
          <w:bCs/>
          <w:color w:val="000000"/>
          <w:sz w:val="28"/>
          <w:szCs w:val="28"/>
          <w:lang w:val="vi-VN"/>
        </w:rPr>
        <w:t>mô hình trọng lực</w:t>
      </w:r>
    </w:p>
    <w:p w14:paraId="7E2627A9" w14:textId="426A45E3" w:rsidR="002C000D" w:rsidRPr="00997BF6" w:rsidRDefault="00504452" w:rsidP="00CF350F">
      <w:pPr>
        <w:spacing w:before="120" w:after="0" w:line="240" w:lineRule="auto"/>
        <w:jc w:val="right"/>
        <w:rPr>
          <w:rFonts w:ascii="Times New Roman" w:hAnsi="Times New Roman" w:cs="Times New Roman"/>
          <w:b/>
          <w:bCs/>
          <w:i/>
          <w:iCs/>
          <w:color w:val="000000"/>
        </w:rPr>
      </w:pPr>
      <w:r w:rsidRPr="00504452">
        <w:rPr>
          <w:rFonts w:ascii="Times New Roman" w:hAnsi="Times New Roman" w:cs="Times New Roman"/>
          <w:b/>
          <w:bCs/>
          <w:i/>
          <w:iCs/>
          <w:color w:val="000000"/>
          <w:lang w:val="vi-VN"/>
        </w:rPr>
        <w:t>Lê Tuấn Anh</w:t>
      </w:r>
      <w:r w:rsidR="00CF350F">
        <w:rPr>
          <w:rFonts w:ascii="Times New Roman" w:hAnsi="Times New Roman" w:cs="Times New Roman"/>
          <w:b/>
          <w:bCs/>
          <w:i/>
          <w:iCs/>
          <w:color w:val="000000"/>
        </w:rPr>
        <w:t xml:space="preserve"> </w:t>
      </w:r>
      <w:r w:rsidR="00997BF6">
        <w:rPr>
          <w:rFonts w:ascii="Times New Roman" w:hAnsi="Times New Roman" w:cs="Times New Roman"/>
          <w:b/>
          <w:bCs/>
          <w:i/>
          <w:iCs/>
          <w:color w:val="000000"/>
        </w:rPr>
        <w:t>(</w:t>
      </w:r>
      <w:r w:rsidRPr="00504452">
        <w:rPr>
          <w:rFonts w:ascii="Times New Roman" w:hAnsi="Times New Roman" w:cs="Times New Roman"/>
          <w:b/>
          <w:bCs/>
          <w:i/>
          <w:iCs/>
          <w:color w:val="000000"/>
          <w:lang w:val="vi-VN"/>
        </w:rPr>
        <w:t>Đại học Kinh tế quốc dân</w:t>
      </w:r>
      <w:r w:rsidR="00997BF6">
        <w:rPr>
          <w:rFonts w:ascii="Times New Roman" w:hAnsi="Times New Roman" w:cs="Times New Roman"/>
          <w:b/>
          <w:bCs/>
          <w:i/>
          <w:iCs/>
          <w:color w:val="000000"/>
        </w:rPr>
        <w:t>)</w:t>
      </w:r>
    </w:p>
    <w:p w14:paraId="1332FB30" w14:textId="2F6BDAE9" w:rsidR="008D360E" w:rsidRPr="00B5714C" w:rsidRDefault="00826179" w:rsidP="00771F8E">
      <w:pPr>
        <w:pStyle w:val="NormalWeb"/>
        <w:spacing w:before="120" w:beforeAutospacing="0" w:after="120" w:afterAutospacing="0"/>
        <w:jc w:val="both"/>
        <w:rPr>
          <w:b/>
          <w:bCs/>
          <w:color w:val="000000"/>
          <w:lang w:val="vi-VN"/>
        </w:rPr>
      </w:pPr>
      <w:r w:rsidRPr="00B5714C">
        <w:rPr>
          <w:b/>
          <w:bCs/>
          <w:color w:val="000000"/>
        </w:rPr>
        <w:t>Tóm</w:t>
      </w:r>
      <w:r w:rsidRPr="00B5714C">
        <w:rPr>
          <w:b/>
          <w:bCs/>
          <w:color w:val="000000"/>
          <w:lang w:val="vi-VN"/>
        </w:rPr>
        <w:t xml:space="preserve"> tắt:</w:t>
      </w:r>
      <w:r w:rsidR="008D360E" w:rsidRPr="00B5714C">
        <w:rPr>
          <w:b/>
          <w:bCs/>
          <w:color w:val="000000"/>
        </w:rPr>
        <w:t> </w:t>
      </w:r>
    </w:p>
    <w:p w14:paraId="589CB9EE" w14:textId="62309C12" w:rsidR="00E30C51" w:rsidRPr="00504452" w:rsidRDefault="00E30C51" w:rsidP="00771F8E">
      <w:pPr>
        <w:pStyle w:val="NormalWeb"/>
        <w:spacing w:before="120" w:beforeAutospacing="0" w:after="0" w:afterAutospacing="0"/>
        <w:jc w:val="both"/>
        <w:rPr>
          <w:color w:val="000000"/>
          <w:lang w:val="vi-VN"/>
        </w:rPr>
      </w:pPr>
      <w:r w:rsidRPr="00504452">
        <w:rPr>
          <w:color w:val="000000"/>
        </w:rPr>
        <w:t>Bài viết đánh giá định lượng tác động của Cộng đồng Kinh tế ASEAN (AEC) đối với thương mại hàng hóa của Việt Nam giai đoạn 1990</w:t>
      </w:r>
      <w:r w:rsidR="00771F8E">
        <w:rPr>
          <w:color w:val="000000"/>
        </w:rPr>
        <w:t>-</w:t>
      </w:r>
      <w:r w:rsidRPr="00504452">
        <w:rPr>
          <w:color w:val="000000"/>
        </w:rPr>
        <w:t>2024 bằng mô hình trọng lực mở rộng và phương pháp ước lượng PPML. Kết quả cho thấy</w:t>
      </w:r>
      <w:r w:rsidR="00771F8E">
        <w:rPr>
          <w:color w:val="000000"/>
        </w:rPr>
        <w:t>,</w:t>
      </w:r>
      <w:r w:rsidRPr="00504452">
        <w:rPr>
          <w:color w:val="000000"/>
        </w:rPr>
        <w:t xml:space="preserve"> quy mô kinh tế (GDP) là động lực cốt lõi thúc đẩy thương mại (hệ số tác động của GDP Việt Nam và GDP đối tác lần lượt đạt 2.046 và 0.447). Đáng chú ý, biến đại diện AEC mang hệ số âm (-0.653). Kết quả này minh chứng cho hiệu ứng “chuyển hướng thương mại tương đối” và hiện tượng “xói mòn ưu đãi” khi hoạt động thương mại dịch chuyển mạnh sang các đối tác ngoài khối dưới ảnh hưởng của các FTA thế hệ mới. Bài viết đề xuất định vị lại ASEAN thành trung tâm cung ứng nguyên liệu.</w:t>
      </w:r>
    </w:p>
    <w:p w14:paraId="58AA61EE" w14:textId="26D61DF0" w:rsidR="002C000D" w:rsidRDefault="008D360E" w:rsidP="00771F8E">
      <w:pPr>
        <w:pStyle w:val="NormalWeb"/>
        <w:spacing w:before="120" w:beforeAutospacing="0" w:after="0" w:afterAutospacing="0"/>
        <w:jc w:val="both"/>
        <w:rPr>
          <w:color w:val="000000"/>
        </w:rPr>
      </w:pPr>
      <w:r w:rsidRPr="00504452">
        <w:rPr>
          <w:b/>
          <w:bCs/>
          <w:color w:val="000000"/>
        </w:rPr>
        <w:t>Từ</w:t>
      </w:r>
      <w:r w:rsidR="002C000D" w:rsidRPr="00504452">
        <w:rPr>
          <w:b/>
          <w:bCs/>
          <w:color w:val="000000"/>
        </w:rPr>
        <w:t xml:space="preserve"> khóa:</w:t>
      </w:r>
      <w:r w:rsidR="002C000D" w:rsidRPr="00504452">
        <w:rPr>
          <w:rStyle w:val="apple-converted-space"/>
          <w:rFonts w:eastAsiaTheme="majorEastAsia"/>
          <w:color w:val="000000"/>
        </w:rPr>
        <w:t> </w:t>
      </w:r>
      <w:r w:rsidR="002C000D" w:rsidRPr="00504452">
        <w:rPr>
          <w:color w:val="000000"/>
        </w:rPr>
        <w:t>AEC, mô hình trọng lực, thương mại quốc tế, Việt Nam,</w:t>
      </w:r>
      <w:r w:rsidR="004A4244" w:rsidRPr="00504452">
        <w:rPr>
          <w:color w:val="000000"/>
          <w:lang w:val="vi-VN"/>
        </w:rPr>
        <w:t xml:space="preserve"> chuyển hướng thương mại</w:t>
      </w:r>
      <w:r w:rsidR="00BA5F94" w:rsidRPr="00504452">
        <w:rPr>
          <w:color w:val="000000"/>
          <w:lang w:val="vi-VN"/>
        </w:rPr>
        <w:t>, hội nhập ASEAN</w:t>
      </w:r>
      <w:r w:rsidR="002C000D" w:rsidRPr="00504452">
        <w:rPr>
          <w:color w:val="000000"/>
        </w:rPr>
        <w:t>.</w:t>
      </w:r>
    </w:p>
    <w:p w14:paraId="61CC5C76" w14:textId="77777777" w:rsidR="00771F8E" w:rsidRPr="00504452" w:rsidRDefault="00771F8E" w:rsidP="00771F8E">
      <w:pPr>
        <w:pStyle w:val="NormalWeb"/>
        <w:spacing w:before="120" w:beforeAutospacing="0" w:after="0" w:afterAutospacing="0"/>
        <w:jc w:val="both"/>
        <w:rPr>
          <w:color w:val="000000"/>
          <w:lang w:val="vi-VN"/>
        </w:rPr>
      </w:pPr>
    </w:p>
    <w:p w14:paraId="05651B10" w14:textId="1E6F6C72" w:rsidR="002C000D" w:rsidRPr="00504452" w:rsidRDefault="002C000D" w:rsidP="00771F8E">
      <w:pPr>
        <w:pStyle w:val="NormalWeb"/>
        <w:spacing w:before="120" w:beforeAutospacing="0" w:after="0" w:afterAutospacing="0"/>
        <w:jc w:val="both"/>
        <w:rPr>
          <w:b/>
          <w:bCs/>
          <w:color w:val="000000"/>
          <w:lang w:val="vi-VN"/>
        </w:rPr>
      </w:pPr>
      <w:r w:rsidRPr="00504452">
        <w:rPr>
          <w:b/>
          <w:bCs/>
          <w:color w:val="000000"/>
        </w:rPr>
        <w:t xml:space="preserve">1. </w:t>
      </w:r>
      <w:r w:rsidR="00771F8E">
        <w:rPr>
          <w:b/>
          <w:bCs/>
          <w:color w:val="000000"/>
        </w:rPr>
        <w:t>Đặt vấn đề</w:t>
      </w:r>
      <w:r w:rsidR="006064FE" w:rsidRPr="00504452">
        <w:rPr>
          <w:b/>
          <w:bCs/>
          <w:color w:val="000000"/>
          <w:lang w:val="vi-VN"/>
        </w:rPr>
        <w:t xml:space="preserve"> </w:t>
      </w:r>
    </w:p>
    <w:p w14:paraId="4E3F7AAB" w14:textId="33A01C91" w:rsidR="00E30C51" w:rsidRPr="00504452" w:rsidRDefault="00E30C51" w:rsidP="00771F8E">
      <w:pPr>
        <w:spacing w:before="120" w:after="0" w:line="240" w:lineRule="auto"/>
        <w:ind w:firstLine="567"/>
        <w:jc w:val="both"/>
        <w:rPr>
          <w:rFonts w:ascii="Times New Roman" w:eastAsia="Times New Roman" w:hAnsi="Times New Roman" w:cs="Times New Roman"/>
          <w:color w:val="000000"/>
          <w:kern w:val="0"/>
          <w14:ligatures w14:val="none"/>
        </w:rPr>
      </w:pPr>
      <w:r w:rsidRPr="00504452">
        <w:rPr>
          <w:rFonts w:ascii="Times New Roman" w:eastAsia="Times New Roman" w:hAnsi="Times New Roman" w:cs="Times New Roman"/>
          <w:color w:val="000000"/>
          <w:kern w:val="0"/>
          <w14:ligatures w14:val="none"/>
        </w:rPr>
        <w:t>Hội nhập kinh tế quốc tế là chủ trương lớn của Việt Nam</w:t>
      </w:r>
      <w:r w:rsidRPr="00504452">
        <w:rPr>
          <w:rFonts w:ascii="Times New Roman" w:eastAsia="Times New Roman" w:hAnsi="Times New Roman" w:cs="Times New Roman"/>
          <w:color w:val="000000"/>
          <w:kern w:val="0"/>
          <w:lang w:val="vi-VN"/>
          <w14:ligatures w14:val="none"/>
        </w:rPr>
        <w:t xml:space="preserve"> và được cụ thể </w:t>
      </w:r>
      <w:r w:rsidR="00771F8E">
        <w:rPr>
          <w:rFonts w:ascii="Times New Roman" w:eastAsia="Times New Roman" w:hAnsi="Times New Roman" w:cs="Times New Roman"/>
          <w:color w:val="000000"/>
          <w:kern w:val="0"/>
          <w14:ligatures w14:val="none"/>
        </w:rPr>
        <w:t>hóa</w:t>
      </w:r>
      <w:r w:rsidRPr="00504452">
        <w:rPr>
          <w:rFonts w:ascii="Times New Roman" w:eastAsia="Times New Roman" w:hAnsi="Times New Roman" w:cs="Times New Roman"/>
          <w:color w:val="000000"/>
          <w:kern w:val="0"/>
          <w14:ligatures w14:val="none"/>
        </w:rPr>
        <w:t xml:space="preserve"> với các cột mốc gia nhập ASEAN (1995) và Cộng đồng Kinh tế ASEAN - AEC (2015). Việc đánh giá tác động của AEC đối với một nền kinh tế chuyển đổi như Việt Nam có ý nghĩa quan trọng</w:t>
      </w:r>
      <w:r w:rsidRPr="00504452">
        <w:rPr>
          <w:rFonts w:ascii="Times New Roman" w:eastAsia="Times New Roman" w:hAnsi="Times New Roman" w:cs="Times New Roman"/>
          <w:color w:val="000000"/>
          <w:kern w:val="0"/>
          <w:lang w:val="vi-VN"/>
          <w14:ligatures w14:val="none"/>
        </w:rPr>
        <w:t xml:space="preserve"> về mặt lý thuyết và thực tiễn</w:t>
      </w:r>
      <w:r w:rsidRPr="00504452">
        <w:rPr>
          <w:rFonts w:ascii="Times New Roman" w:eastAsia="Times New Roman" w:hAnsi="Times New Roman" w:cs="Times New Roman"/>
          <w:color w:val="000000"/>
          <w:kern w:val="0"/>
          <w14:ligatures w14:val="none"/>
        </w:rPr>
        <w:t>.</w:t>
      </w:r>
    </w:p>
    <w:p w14:paraId="44C469BC" w14:textId="33476FB6" w:rsidR="00E30C51" w:rsidRPr="00504452" w:rsidRDefault="00E30C51" w:rsidP="00771F8E">
      <w:pPr>
        <w:spacing w:before="120" w:after="0" w:line="240" w:lineRule="auto"/>
        <w:ind w:firstLine="567"/>
        <w:jc w:val="both"/>
        <w:rPr>
          <w:rFonts w:ascii="Times New Roman" w:eastAsia="Times New Roman" w:hAnsi="Times New Roman" w:cs="Times New Roman"/>
          <w:color w:val="000000"/>
          <w:kern w:val="0"/>
          <w14:ligatures w14:val="none"/>
        </w:rPr>
      </w:pPr>
      <w:r w:rsidRPr="00504452">
        <w:rPr>
          <w:rFonts w:ascii="Times New Roman" w:eastAsia="Times New Roman" w:hAnsi="Times New Roman" w:cs="Times New Roman"/>
          <w:color w:val="000000"/>
          <w:kern w:val="0"/>
          <w14:ligatures w14:val="none"/>
        </w:rPr>
        <w:t>Về mặt lý thuyết, nghiên cứu đi tìm câu trả lời cho vấn đề cốt lõi: Liệu AEC mang lại hiệu ứng “tạo lập thương mại” hay hiệu</w:t>
      </w:r>
      <w:r w:rsidRPr="00504452">
        <w:rPr>
          <w:rFonts w:ascii="Times New Roman" w:eastAsia="Times New Roman" w:hAnsi="Times New Roman" w:cs="Times New Roman"/>
          <w:color w:val="000000"/>
          <w:kern w:val="0"/>
          <w:lang w:val="vi-VN"/>
          <w14:ligatures w14:val="none"/>
        </w:rPr>
        <w:t xml:space="preserve"> ứng </w:t>
      </w:r>
      <w:r w:rsidRPr="00504452">
        <w:rPr>
          <w:rFonts w:ascii="Times New Roman" w:eastAsia="Times New Roman" w:hAnsi="Times New Roman" w:cs="Times New Roman"/>
          <w:color w:val="000000"/>
          <w:kern w:val="0"/>
          <w14:ligatures w14:val="none"/>
        </w:rPr>
        <w:t>“chuyển hướng thương mại” dựa trên nền tảng lý thuyết của Jacob Viner (1950)?</w:t>
      </w:r>
      <w:r w:rsidRPr="00504452">
        <w:rPr>
          <w:rFonts w:ascii="Times New Roman" w:eastAsia="Times New Roman" w:hAnsi="Times New Roman" w:cs="Times New Roman"/>
          <w:color w:val="000000"/>
          <w:kern w:val="0"/>
          <w:lang w:val="vi-VN"/>
          <w14:ligatures w14:val="none"/>
        </w:rPr>
        <w:t xml:space="preserve"> </w:t>
      </w:r>
      <w:r w:rsidRPr="00504452">
        <w:rPr>
          <w:rFonts w:ascii="Times New Roman" w:eastAsia="Times New Roman" w:hAnsi="Times New Roman" w:cs="Times New Roman"/>
          <w:color w:val="000000"/>
          <w:kern w:val="0"/>
          <w14:ligatures w14:val="none"/>
        </w:rPr>
        <w:t>Để giải quyết câu hỏi này, bài viết sử dụng mô hình trọng lực mở rộng với bộ dữ liệu kéo dài từ năm 1990 đến</w:t>
      </w:r>
      <w:r w:rsidR="00DB2E27">
        <w:rPr>
          <w:rFonts w:ascii="Times New Roman" w:eastAsia="Times New Roman" w:hAnsi="Times New Roman" w:cs="Times New Roman"/>
          <w:color w:val="000000"/>
          <w:kern w:val="0"/>
          <w14:ligatures w14:val="none"/>
        </w:rPr>
        <w:t xml:space="preserve"> năm</w:t>
      </w:r>
      <w:r w:rsidRPr="00504452">
        <w:rPr>
          <w:rFonts w:ascii="Times New Roman" w:eastAsia="Times New Roman" w:hAnsi="Times New Roman" w:cs="Times New Roman"/>
          <w:color w:val="000000"/>
          <w:kern w:val="0"/>
          <w14:ligatures w14:val="none"/>
        </w:rPr>
        <w:t xml:space="preserve"> 2024 nhằm lượng hóa tác động của AEC đối với thương mại hàng hóa. Các bằng chứng thực nghiệm thu được sẽ là cơ sở vững chắc để đề xuất hàm ý chính sách, giúp Việt Nam điều chỉnh chiến lược thương mại phù hợp với tiến trình hội nhập sâu rộng.</w:t>
      </w:r>
    </w:p>
    <w:p w14:paraId="1E8C63D4" w14:textId="1827BD8E" w:rsidR="00B51502" w:rsidRPr="00504452" w:rsidRDefault="006064FE" w:rsidP="00771F8E">
      <w:pPr>
        <w:spacing w:before="120" w:after="0" w:line="240" w:lineRule="auto"/>
        <w:rPr>
          <w:rFonts w:ascii="Times New Roman" w:hAnsi="Times New Roman" w:cs="Times New Roman"/>
          <w:b/>
          <w:bCs/>
          <w:lang w:val="vi-VN"/>
        </w:rPr>
      </w:pPr>
      <w:r w:rsidRPr="00504452">
        <w:rPr>
          <w:rFonts w:ascii="Times New Roman" w:hAnsi="Times New Roman" w:cs="Times New Roman"/>
          <w:b/>
          <w:bCs/>
          <w:lang w:val="vi-VN"/>
        </w:rPr>
        <w:t xml:space="preserve">2. Tổng quan nghiên cứu </w:t>
      </w:r>
    </w:p>
    <w:p w14:paraId="00AF16E7" w14:textId="4AB425BF" w:rsidR="00BB798F" w:rsidRPr="00504452" w:rsidRDefault="005808A6" w:rsidP="00771F8E">
      <w:pPr>
        <w:spacing w:before="120" w:after="0" w:line="240" w:lineRule="auto"/>
        <w:ind w:firstLine="567"/>
        <w:jc w:val="both"/>
        <w:rPr>
          <w:rFonts w:ascii="Times New Roman" w:hAnsi="Times New Roman" w:cs="Times New Roman"/>
          <w:lang w:val="vi-VN"/>
        </w:rPr>
      </w:pPr>
      <w:r w:rsidRPr="00504452">
        <w:rPr>
          <w:rFonts w:ascii="Times New Roman" w:hAnsi="Times New Roman" w:cs="Times New Roman"/>
          <w:lang w:val="vi-VN"/>
        </w:rPr>
        <w:t xml:space="preserve">Phần này tập trung phân tích các nghiên cứu về tác động của hội nhập khu vực đối với thương mại quốc tế </w:t>
      </w:r>
      <w:r w:rsidR="00B32BBC" w:rsidRPr="00504452">
        <w:rPr>
          <w:rFonts w:ascii="Times New Roman" w:hAnsi="Times New Roman" w:cs="Times New Roman"/>
          <w:lang w:val="vi-VN"/>
        </w:rPr>
        <w:t>về mặt lý thuyết và tổng quan các kết quả nghiên cứu thực chứng đối với hội nhập ASEAN theo</w:t>
      </w:r>
      <w:r w:rsidRPr="00504452">
        <w:rPr>
          <w:rFonts w:ascii="Times New Roman" w:hAnsi="Times New Roman" w:cs="Times New Roman"/>
          <w:lang w:val="vi-VN"/>
        </w:rPr>
        <w:t xml:space="preserve"> mẫu nghiên cứu, giai đoạn nghiên cứu, phương pháp và kết quả</w:t>
      </w:r>
      <w:r w:rsidRPr="00504452">
        <w:rPr>
          <w:rFonts w:ascii="Times New Roman" w:hAnsi="Times New Roman" w:cs="Times New Roman"/>
        </w:rPr>
        <w:t>.</w:t>
      </w:r>
    </w:p>
    <w:p w14:paraId="15231171" w14:textId="3F79369D" w:rsidR="00B32BBC" w:rsidRPr="00504452" w:rsidRDefault="00B32BBC" w:rsidP="00771F8E">
      <w:pPr>
        <w:spacing w:before="120" w:after="0" w:line="240" w:lineRule="auto"/>
        <w:ind w:firstLine="567"/>
        <w:jc w:val="both"/>
        <w:rPr>
          <w:rFonts w:ascii="Times New Roman" w:hAnsi="Times New Roman" w:cs="Times New Roman"/>
          <w:b/>
          <w:bCs/>
          <w:i/>
          <w:iCs/>
          <w:lang w:val="vi-VN"/>
        </w:rPr>
      </w:pPr>
      <w:r w:rsidRPr="00504452">
        <w:rPr>
          <w:rFonts w:ascii="Times New Roman" w:hAnsi="Times New Roman" w:cs="Times New Roman"/>
          <w:b/>
          <w:bCs/>
          <w:i/>
          <w:iCs/>
          <w:lang w:val="vi-VN"/>
        </w:rPr>
        <w:t>2.1. Tổng quan lý thuyết về tác động của hội nhập khu vực:</w:t>
      </w:r>
    </w:p>
    <w:p w14:paraId="10D9673C" w14:textId="263E7421" w:rsidR="00DD26F0" w:rsidRPr="00504452" w:rsidRDefault="00DD26F0"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Lý thuyết hội nhập kinh tế quốc tế được đặt nền móng từ công trình nghiên cứu của J</w:t>
      </w:r>
      <w:r w:rsidR="00B5714C" w:rsidRPr="00504452">
        <w:rPr>
          <w:rFonts w:ascii="Times New Roman" w:hAnsi="Times New Roman" w:cs="Times New Roman"/>
          <w:lang w:val="vi-VN"/>
        </w:rPr>
        <w:t>.</w:t>
      </w:r>
      <w:r w:rsidRPr="00504452">
        <w:rPr>
          <w:rFonts w:ascii="Times New Roman" w:hAnsi="Times New Roman" w:cs="Times New Roman"/>
        </w:rPr>
        <w:t xml:space="preserve">Viner (1950). Khác với các nhà kinh tế học cổ điển trước đó (cho rằng </w:t>
      </w:r>
      <w:r w:rsidR="00B5714C" w:rsidRPr="00504452">
        <w:rPr>
          <w:rFonts w:ascii="Times New Roman" w:hAnsi="Times New Roman" w:cs="Times New Roman"/>
        </w:rPr>
        <w:t>việc</w:t>
      </w:r>
      <w:r w:rsidRPr="00504452">
        <w:rPr>
          <w:rFonts w:ascii="Times New Roman" w:hAnsi="Times New Roman" w:cs="Times New Roman"/>
        </w:rPr>
        <w:t xml:space="preserve"> giảm thuế đều làm gia tăng phúc lợi), Viner chỉ ra</w:t>
      </w:r>
      <w:r w:rsidR="00771F8E">
        <w:rPr>
          <w:rFonts w:ascii="Times New Roman" w:hAnsi="Times New Roman" w:cs="Times New Roman"/>
        </w:rPr>
        <w:t>,</w:t>
      </w:r>
      <w:r w:rsidRPr="00504452">
        <w:rPr>
          <w:rFonts w:ascii="Times New Roman" w:hAnsi="Times New Roman" w:cs="Times New Roman"/>
        </w:rPr>
        <w:t xml:space="preserve"> hội nhập khu vực mang lại hai hiệu ứng trái chiều:</w:t>
      </w:r>
    </w:p>
    <w:p w14:paraId="7F5A1886" w14:textId="77777777" w:rsidR="00DD26F0" w:rsidRPr="00504452" w:rsidRDefault="00DD26F0"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Tạo lập thương mại (Trade creation):</w:t>
      </w:r>
      <w:r w:rsidRPr="00602578">
        <w:rPr>
          <w:rFonts w:ascii="Times New Roman" w:hAnsi="Times New Roman" w:cs="Times New Roman"/>
          <w:i/>
        </w:rPr>
        <w:t> </w:t>
      </w:r>
      <w:r w:rsidRPr="00504452">
        <w:rPr>
          <w:rFonts w:ascii="Times New Roman" w:hAnsi="Times New Roman" w:cs="Times New Roman"/>
        </w:rPr>
        <w:t>Xảy ra khi một nước thành viên tăng nhập khẩu từ các nước trong khối có chi phí sản xuất thấp hơn (mang lại tác động tích cực).</w:t>
      </w:r>
    </w:p>
    <w:p w14:paraId="3E6BC191" w14:textId="77777777" w:rsidR="00DD26F0" w:rsidRPr="00504452" w:rsidRDefault="00DD26F0"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Chuyển hướng thương mại (Trade diversion):</w:t>
      </w:r>
      <w:r w:rsidRPr="00504452">
        <w:rPr>
          <w:rFonts w:ascii="Times New Roman" w:hAnsi="Times New Roman" w:cs="Times New Roman"/>
        </w:rPr>
        <w:t> Xảy ra khi quốc gia thành viên thay thế việc nhập khẩu chi phí thấp từ nước ngoài khối bằng hàng hóa có chi phí cao hơn từ nước trong khối do ưu đãi thuế quan (mang lại tác động tiêu cực).</w:t>
      </w:r>
    </w:p>
    <w:p w14:paraId="46EDBF4D" w14:textId="44F9E171" w:rsidR="00DD26F0" w:rsidRPr="00504452" w:rsidRDefault="00DD26F0"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 xml:space="preserve">Phúc lợi ròng của một quốc gia khi hội nhập phụ thuộc vào tổng mức chênh lệch giữa </w:t>
      </w:r>
      <w:r w:rsidR="00771F8E">
        <w:rPr>
          <w:rFonts w:ascii="Times New Roman" w:hAnsi="Times New Roman" w:cs="Times New Roman"/>
        </w:rPr>
        <w:t>2</w:t>
      </w:r>
      <w:r w:rsidR="00771F8E" w:rsidRPr="00504452">
        <w:rPr>
          <w:rFonts w:ascii="Times New Roman" w:hAnsi="Times New Roman" w:cs="Times New Roman"/>
        </w:rPr>
        <w:t xml:space="preserve"> </w:t>
      </w:r>
      <w:r w:rsidRPr="00504452">
        <w:rPr>
          <w:rFonts w:ascii="Times New Roman" w:hAnsi="Times New Roman" w:cs="Times New Roman"/>
        </w:rPr>
        <w:t xml:space="preserve">tác động này. </w:t>
      </w:r>
      <w:r w:rsidR="00E4379A" w:rsidRPr="00504452">
        <w:rPr>
          <w:rFonts w:ascii="Times New Roman" w:hAnsi="Times New Roman" w:cs="Times New Roman"/>
        </w:rPr>
        <w:t>Từ</w:t>
      </w:r>
      <w:r w:rsidR="00E4379A" w:rsidRPr="00504452">
        <w:rPr>
          <w:rFonts w:ascii="Times New Roman" w:hAnsi="Times New Roman" w:cs="Times New Roman"/>
          <w:lang w:val="vi-VN"/>
        </w:rPr>
        <w:t xml:space="preserve"> đó, hình thành thuật ngữa</w:t>
      </w:r>
      <w:r w:rsidRPr="00504452">
        <w:rPr>
          <w:rFonts w:ascii="Times New Roman" w:hAnsi="Times New Roman" w:cs="Times New Roman"/>
        </w:rPr>
        <w:t xml:space="preserve"> </w:t>
      </w:r>
      <w:r w:rsidR="00ED179D" w:rsidRPr="00504452">
        <w:rPr>
          <w:rFonts w:ascii="Times New Roman" w:hAnsi="Times New Roman" w:cs="Times New Roman"/>
          <w:lang w:val="vi-VN"/>
        </w:rPr>
        <w:t>“</w:t>
      </w:r>
      <w:r w:rsidRPr="00504452">
        <w:rPr>
          <w:rFonts w:ascii="Times New Roman" w:hAnsi="Times New Roman" w:cs="Times New Roman"/>
        </w:rPr>
        <w:t>bất định Viner</w:t>
      </w:r>
      <w:r w:rsidR="00ED179D" w:rsidRPr="00504452">
        <w:rPr>
          <w:rFonts w:ascii="Times New Roman" w:hAnsi="Times New Roman" w:cs="Times New Roman"/>
          <w:lang w:val="vi-VN"/>
        </w:rPr>
        <w:t>”</w:t>
      </w:r>
      <w:r w:rsidRPr="00504452">
        <w:rPr>
          <w:rFonts w:ascii="Times New Roman" w:hAnsi="Times New Roman" w:cs="Times New Roman"/>
        </w:rPr>
        <w:t xml:space="preserve"> (Viner ambiguity)</w:t>
      </w:r>
      <w:r w:rsidR="00E4379A" w:rsidRPr="00504452">
        <w:rPr>
          <w:rFonts w:ascii="Times New Roman" w:hAnsi="Times New Roman" w:cs="Times New Roman"/>
          <w:lang w:val="vi-VN"/>
        </w:rPr>
        <w:t xml:space="preserve"> nghĩa là </w:t>
      </w:r>
      <w:r w:rsidRPr="00504452">
        <w:rPr>
          <w:rFonts w:ascii="Times New Roman" w:hAnsi="Times New Roman" w:cs="Times New Roman"/>
        </w:rPr>
        <w:t xml:space="preserve">chúng ta </w:t>
      </w:r>
      <w:r w:rsidRPr="00504452">
        <w:rPr>
          <w:rFonts w:ascii="Times New Roman" w:hAnsi="Times New Roman" w:cs="Times New Roman"/>
        </w:rPr>
        <w:lastRenderedPageBreak/>
        <w:t>không thể khẳng định trước về mặt lý thuyết liệu việc gia nhập một khối kinh tế (như AEC) sẽ làm tăng hay giảm phúc lợi chung của quốc gia đó.</w:t>
      </w:r>
    </w:p>
    <w:p w14:paraId="463FD57B" w14:textId="77777777" w:rsidR="00AF1A05" w:rsidRDefault="00B32BBC" w:rsidP="00602578">
      <w:pPr>
        <w:spacing w:before="120" w:after="0" w:line="240" w:lineRule="auto"/>
        <w:jc w:val="both"/>
        <w:rPr>
          <w:rFonts w:ascii="Times New Roman" w:hAnsi="Times New Roman" w:cs="Times New Roman"/>
        </w:rPr>
      </w:pPr>
      <w:r w:rsidRPr="00504452">
        <w:rPr>
          <w:rFonts w:ascii="Times New Roman" w:hAnsi="Times New Roman" w:cs="Times New Roman"/>
          <w:b/>
          <w:bCs/>
          <w:i/>
          <w:iCs/>
          <w:lang w:val="vi-VN"/>
        </w:rPr>
        <w:t>2.2. Tổng quan về khu vực ASEAN và Cộng đồng kinh tế ASEAN</w:t>
      </w:r>
    </w:p>
    <w:p w14:paraId="0839FA0E" w14:textId="4E188E73" w:rsidR="00ED179D" w:rsidRPr="00504452" w:rsidRDefault="00ED179D" w:rsidP="00602578">
      <w:pPr>
        <w:spacing w:before="120" w:after="0" w:line="240" w:lineRule="auto"/>
        <w:jc w:val="both"/>
        <w:rPr>
          <w:rFonts w:ascii="Times New Roman" w:hAnsi="Times New Roman" w:cs="Times New Roman"/>
        </w:rPr>
      </w:pPr>
      <w:r w:rsidRPr="00504452">
        <w:rPr>
          <w:rFonts w:ascii="Times New Roman" w:hAnsi="Times New Roman" w:cs="Times New Roman"/>
        </w:rPr>
        <w:t>Được thành lập ngày 08/8/1967, ASEAN bắt đầu với 5 quốc gia sáng lập</w:t>
      </w:r>
      <w:r w:rsidR="00771F8E">
        <w:rPr>
          <w:rFonts w:ascii="Times New Roman" w:hAnsi="Times New Roman" w:cs="Times New Roman"/>
        </w:rPr>
        <w:t>,</w:t>
      </w:r>
      <w:r w:rsidRPr="00504452">
        <w:rPr>
          <w:rFonts w:ascii="Times New Roman" w:hAnsi="Times New Roman" w:cs="Times New Roman"/>
        </w:rPr>
        <w:t xml:space="preserve"> </w:t>
      </w:r>
      <w:r w:rsidR="00E4379A" w:rsidRPr="00504452">
        <w:rPr>
          <w:rFonts w:ascii="Times New Roman" w:hAnsi="Times New Roman" w:cs="Times New Roman"/>
        </w:rPr>
        <w:t>tới</w:t>
      </w:r>
      <w:r w:rsidR="00E4379A" w:rsidRPr="00504452">
        <w:rPr>
          <w:rFonts w:ascii="Times New Roman" w:hAnsi="Times New Roman" w:cs="Times New Roman"/>
          <w:lang w:val="vi-VN"/>
        </w:rPr>
        <w:t xml:space="preserve"> năm 1999, đã kết nạp</w:t>
      </w:r>
      <w:r w:rsidRPr="00504452">
        <w:rPr>
          <w:rFonts w:ascii="Times New Roman" w:hAnsi="Times New Roman" w:cs="Times New Roman"/>
        </w:rPr>
        <w:t xml:space="preserve"> 10 thành viên (Việt Nam gia nhập ngày 28/7/1995). Trải qua hơn 50 năm, ASEAN đã vươn lên trở thành một trung tâm thương mại và đầu tư hàng đầu thế giới với </w:t>
      </w:r>
      <w:r w:rsidR="00E4379A" w:rsidRPr="00504452">
        <w:rPr>
          <w:rFonts w:ascii="Times New Roman" w:hAnsi="Times New Roman" w:cs="Times New Roman"/>
        </w:rPr>
        <w:t>quy</w:t>
      </w:r>
      <w:r w:rsidR="00E4379A" w:rsidRPr="00504452">
        <w:rPr>
          <w:rFonts w:ascii="Times New Roman" w:hAnsi="Times New Roman" w:cs="Times New Roman"/>
          <w:lang w:val="vi-VN"/>
        </w:rPr>
        <w:t xml:space="preserve"> mô </w:t>
      </w:r>
      <w:r w:rsidRPr="00504452">
        <w:rPr>
          <w:rFonts w:ascii="Times New Roman" w:hAnsi="Times New Roman" w:cs="Times New Roman"/>
        </w:rPr>
        <w:t xml:space="preserve">kinh tế lớn thứ 5 </w:t>
      </w:r>
      <w:r w:rsidR="00E4379A" w:rsidRPr="00504452">
        <w:rPr>
          <w:rFonts w:ascii="Times New Roman" w:hAnsi="Times New Roman" w:cs="Times New Roman"/>
        </w:rPr>
        <w:t>trên</w:t>
      </w:r>
      <w:r w:rsidR="00E4379A" w:rsidRPr="00504452">
        <w:rPr>
          <w:rFonts w:ascii="Times New Roman" w:hAnsi="Times New Roman" w:cs="Times New Roman"/>
          <w:lang w:val="vi-VN"/>
        </w:rPr>
        <w:t xml:space="preserve"> thế giới</w:t>
      </w:r>
      <w:r w:rsidRPr="00504452">
        <w:rPr>
          <w:rFonts w:ascii="Times New Roman" w:hAnsi="Times New Roman" w:cs="Times New Roman"/>
        </w:rPr>
        <w:t>.</w:t>
      </w:r>
    </w:p>
    <w:p w14:paraId="6901C194" w14:textId="0B4A0C01" w:rsidR="00ED179D" w:rsidRPr="00504452" w:rsidRDefault="00ED179D"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Tháng 10/2003, các nước nhất trí mục tiêu hình thành Cộng đồng ASEAN với 3 trụ cột (An ninh, Kinh tế, Văn hóa - Xã hội). Đến năm 2007, Hiến chương ASEAN được ký kết nhằm đẩy nhanh tiến trình liên kết, đưa mục tiêu hình thành Cộng đồng hoàn tất vào năm 2015.</w:t>
      </w:r>
      <w:r w:rsidR="00E4379A" w:rsidRPr="00504452">
        <w:rPr>
          <w:rFonts w:ascii="Times New Roman" w:hAnsi="Times New Roman" w:cs="Times New Roman"/>
          <w:lang w:val="vi-VN"/>
        </w:rPr>
        <w:t xml:space="preserve"> </w:t>
      </w:r>
      <w:r w:rsidRPr="00504452">
        <w:rPr>
          <w:rFonts w:ascii="Times New Roman" w:hAnsi="Times New Roman" w:cs="Times New Roman"/>
        </w:rPr>
        <w:t>Cộng đồng Kinh tế ASEAN (AEC) là một trụ cột trọng tâm nhằm tạo ra thị trường chung và cơ sở sản xuất thống nhất. Dựa trên Kế hoạch tổng thể (AEC Blueprint) năm 2007, AEC được xây dựng trên 4 trụ cột cốt lõi:</w:t>
      </w:r>
    </w:p>
    <w:p w14:paraId="036C4833" w14:textId="1BCF0B93" w:rsidR="00ED179D" w:rsidRPr="00504452" w:rsidRDefault="00771F8E"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 xml:space="preserve">(i) </w:t>
      </w:r>
      <w:r w:rsidR="00ED179D" w:rsidRPr="00602578">
        <w:rPr>
          <w:rFonts w:ascii="Times New Roman" w:hAnsi="Times New Roman" w:cs="Times New Roman"/>
          <w:bCs/>
          <w:i/>
        </w:rPr>
        <w:t>Thị trường đơn nhất và cơ sở sản xuất chung:</w:t>
      </w:r>
      <w:r w:rsidR="00ED179D" w:rsidRPr="00504452">
        <w:rPr>
          <w:rFonts w:ascii="Times New Roman" w:hAnsi="Times New Roman" w:cs="Times New Roman"/>
        </w:rPr>
        <w:t> Tự do lưu chuyển hàng hóa, dịch vụ, đầu tư, vốn và lao động có tay nghề.</w:t>
      </w:r>
    </w:p>
    <w:p w14:paraId="6C1A828C" w14:textId="32D1F80E" w:rsidR="00ED179D" w:rsidRPr="00504452" w:rsidRDefault="00771F8E"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 xml:space="preserve">(ii) </w:t>
      </w:r>
      <w:r w:rsidR="00ED179D" w:rsidRPr="00602578">
        <w:rPr>
          <w:rFonts w:ascii="Times New Roman" w:hAnsi="Times New Roman" w:cs="Times New Roman"/>
          <w:bCs/>
          <w:i/>
        </w:rPr>
        <w:t>Khu vực kinh tế cạnh tranh cao:</w:t>
      </w:r>
      <w:r w:rsidR="00ED179D" w:rsidRPr="00504452">
        <w:rPr>
          <w:rFonts w:ascii="Times New Roman" w:hAnsi="Times New Roman" w:cs="Times New Roman"/>
        </w:rPr>
        <w:t> Tập trung vào chính sách cạnh tranh, bảo vệ quyền sở hữu trí tuệ và người tiêu dùng.</w:t>
      </w:r>
    </w:p>
    <w:p w14:paraId="500F33A3" w14:textId="1E444FC5" w:rsidR="00ED179D" w:rsidRPr="00504452" w:rsidRDefault="00771F8E"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 xml:space="preserve">(iii) </w:t>
      </w:r>
      <w:r w:rsidR="00ED179D" w:rsidRPr="00602578">
        <w:rPr>
          <w:rFonts w:ascii="Times New Roman" w:hAnsi="Times New Roman" w:cs="Times New Roman"/>
          <w:bCs/>
          <w:i/>
        </w:rPr>
        <w:t>Phát triển kinh tế bình đẳng:</w:t>
      </w:r>
      <w:r w:rsidR="00ED179D" w:rsidRPr="00504452">
        <w:rPr>
          <w:rFonts w:ascii="Times New Roman" w:hAnsi="Times New Roman" w:cs="Times New Roman"/>
        </w:rPr>
        <w:t> Thu hẹp khoảng cách phát triển giữa các thành viên.</w:t>
      </w:r>
    </w:p>
    <w:p w14:paraId="723CDAF0" w14:textId="3AA3CC45" w:rsidR="00ED179D" w:rsidRPr="00504452" w:rsidRDefault="00771F8E" w:rsidP="00602578">
      <w:pPr>
        <w:spacing w:before="120" w:after="0" w:line="240" w:lineRule="auto"/>
        <w:ind w:left="360"/>
        <w:jc w:val="both"/>
        <w:rPr>
          <w:rFonts w:ascii="Times New Roman" w:hAnsi="Times New Roman" w:cs="Times New Roman"/>
        </w:rPr>
      </w:pPr>
      <w:r w:rsidRPr="00602578">
        <w:rPr>
          <w:rFonts w:ascii="Times New Roman" w:hAnsi="Times New Roman" w:cs="Times New Roman"/>
          <w:bCs/>
          <w:i/>
        </w:rPr>
        <w:t xml:space="preserve">(iv) </w:t>
      </w:r>
      <w:r w:rsidR="00ED179D" w:rsidRPr="00602578">
        <w:rPr>
          <w:rFonts w:ascii="Times New Roman" w:hAnsi="Times New Roman" w:cs="Times New Roman"/>
          <w:bCs/>
          <w:i/>
        </w:rPr>
        <w:t>Hội nhập đầy đủ vào kinh tế toàn cầu:</w:t>
      </w:r>
      <w:r w:rsidR="00ED179D" w:rsidRPr="00504452">
        <w:rPr>
          <w:rFonts w:ascii="Times New Roman" w:hAnsi="Times New Roman" w:cs="Times New Roman"/>
        </w:rPr>
        <w:t> Thông qua mạng lưới sản xuất và các Hiệp định thương mại tự do (FTA).</w:t>
      </w:r>
    </w:p>
    <w:p w14:paraId="7E693073" w14:textId="1F1DB18A" w:rsidR="00DD1A38" w:rsidRPr="00504452" w:rsidRDefault="00B32BBC" w:rsidP="00771F8E">
      <w:pPr>
        <w:spacing w:before="120" w:after="0" w:line="240" w:lineRule="auto"/>
        <w:ind w:firstLine="567"/>
        <w:jc w:val="both"/>
        <w:rPr>
          <w:rFonts w:ascii="Times New Roman" w:hAnsi="Times New Roman" w:cs="Times New Roman"/>
          <w:color w:val="E3E3E3"/>
          <w:lang w:val="vi-VN"/>
        </w:rPr>
      </w:pPr>
      <w:r w:rsidRPr="00504452">
        <w:rPr>
          <w:rFonts w:ascii="Times New Roman" w:hAnsi="Times New Roman" w:cs="Times New Roman"/>
          <w:b/>
          <w:bCs/>
          <w:i/>
          <w:iCs/>
          <w:lang w:val="vi-VN"/>
        </w:rPr>
        <w:t>2.3. Tổng quan các kết quả nghiên cứu thực nghiệm về hội nhập ASEAN</w:t>
      </w:r>
      <w:r w:rsidR="00DD1A38" w:rsidRPr="00504452">
        <w:rPr>
          <w:rFonts w:ascii="Times New Roman" w:hAnsi="Times New Roman" w:cs="Times New Roman"/>
          <w:color w:val="E3E3E3"/>
          <w:lang w:val="vi-VN"/>
        </w:rPr>
        <w:t xml:space="preserve"> </w:t>
      </w:r>
    </w:p>
    <w:p w14:paraId="64654168" w14:textId="3443CD0E" w:rsidR="00ED179D" w:rsidRPr="00504452" w:rsidRDefault="00ED179D"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T</w:t>
      </w:r>
      <w:r w:rsidR="00E4379A" w:rsidRPr="00504452">
        <w:rPr>
          <w:rFonts w:ascii="Times New Roman" w:hAnsi="Times New Roman" w:cs="Times New Roman"/>
        </w:rPr>
        <w:t>rong</w:t>
      </w:r>
      <w:r w:rsidR="00E4379A" w:rsidRPr="00504452">
        <w:rPr>
          <w:rFonts w:ascii="Times New Roman" w:hAnsi="Times New Roman" w:cs="Times New Roman"/>
          <w:lang w:val="vi-VN"/>
        </w:rPr>
        <w:t xml:space="preserve"> phần này, các kết quả </w:t>
      </w:r>
      <w:r w:rsidRPr="00504452">
        <w:rPr>
          <w:rFonts w:ascii="Times New Roman" w:hAnsi="Times New Roman" w:cs="Times New Roman"/>
        </w:rPr>
        <w:t xml:space="preserve">thực nghiệm </w:t>
      </w:r>
      <w:r w:rsidR="00E4379A" w:rsidRPr="00504452">
        <w:rPr>
          <w:rFonts w:ascii="Times New Roman" w:hAnsi="Times New Roman" w:cs="Times New Roman"/>
        </w:rPr>
        <w:t>sẽ</w:t>
      </w:r>
      <w:r w:rsidR="00E4379A" w:rsidRPr="00504452">
        <w:rPr>
          <w:rFonts w:ascii="Times New Roman" w:hAnsi="Times New Roman" w:cs="Times New Roman"/>
          <w:lang w:val="vi-VN"/>
        </w:rPr>
        <w:t xml:space="preserve"> được phân tích qua</w:t>
      </w:r>
      <w:r w:rsidRPr="00504452">
        <w:rPr>
          <w:rFonts w:ascii="Times New Roman" w:hAnsi="Times New Roman" w:cs="Times New Roman"/>
        </w:rPr>
        <w:t xml:space="preserve"> từng giai đoạn:</w:t>
      </w:r>
    </w:p>
    <w:p w14:paraId="1B8B1949" w14:textId="32B83413" w:rsidR="00ED179D" w:rsidRPr="00504452" w:rsidRDefault="00ED179D" w:rsidP="00602578">
      <w:pPr>
        <w:spacing w:before="120" w:after="0" w:line="240" w:lineRule="auto"/>
        <w:ind w:left="1287"/>
        <w:jc w:val="both"/>
        <w:rPr>
          <w:rFonts w:ascii="Times New Roman" w:hAnsi="Times New Roman" w:cs="Times New Roman"/>
        </w:rPr>
      </w:pPr>
      <w:r w:rsidRPr="00602578">
        <w:rPr>
          <w:rFonts w:ascii="Times New Roman" w:hAnsi="Times New Roman" w:cs="Times New Roman"/>
          <w:b/>
          <w:bCs/>
          <w:i/>
        </w:rPr>
        <w:t xml:space="preserve">Giai đoạn trước và </w:t>
      </w:r>
      <w:r w:rsidR="00607CEB" w:rsidRPr="00602578">
        <w:rPr>
          <w:rFonts w:ascii="Times New Roman" w:hAnsi="Times New Roman" w:cs="Times New Roman"/>
          <w:b/>
          <w:bCs/>
          <w:i/>
          <w:lang w:val="vi-VN"/>
        </w:rPr>
        <w:t>ban đầu</w:t>
      </w:r>
      <w:r w:rsidRPr="00602578">
        <w:rPr>
          <w:rFonts w:ascii="Times New Roman" w:hAnsi="Times New Roman" w:cs="Times New Roman"/>
          <w:b/>
          <w:bCs/>
          <w:i/>
        </w:rPr>
        <w:t xml:space="preserve"> AFTA (1976</w:t>
      </w:r>
      <w:r w:rsidR="00771F8E" w:rsidRPr="00602578">
        <w:rPr>
          <w:rFonts w:ascii="Times New Roman" w:hAnsi="Times New Roman" w:cs="Times New Roman"/>
          <w:b/>
          <w:bCs/>
          <w:i/>
        </w:rPr>
        <w:t>-</w:t>
      </w:r>
      <w:r w:rsidRPr="00602578">
        <w:rPr>
          <w:rFonts w:ascii="Times New Roman" w:hAnsi="Times New Roman" w:cs="Times New Roman"/>
          <w:b/>
          <w:bCs/>
          <w:i/>
        </w:rPr>
        <w:t>1999):</w:t>
      </w:r>
      <w:r w:rsidRPr="00602578">
        <w:rPr>
          <w:rFonts w:ascii="Times New Roman" w:hAnsi="Times New Roman" w:cs="Times New Roman"/>
          <w:i/>
        </w:rPr>
        <w:t> </w:t>
      </w:r>
      <w:r w:rsidRPr="00504452">
        <w:rPr>
          <w:rFonts w:ascii="Times New Roman" w:hAnsi="Times New Roman" w:cs="Times New Roman"/>
        </w:rPr>
        <w:t>Tác động tạo lập thương mại có xuất hiện nhưng ở mức khiêm tốn. Fukase &amp; Martin (1999) nhận thấy</w:t>
      </w:r>
      <w:r w:rsidR="00771F8E">
        <w:rPr>
          <w:rFonts w:ascii="Times New Roman" w:hAnsi="Times New Roman" w:cs="Times New Roman"/>
        </w:rPr>
        <w:t>,</w:t>
      </w:r>
      <w:r w:rsidRPr="00504452">
        <w:rPr>
          <w:rFonts w:ascii="Times New Roman" w:hAnsi="Times New Roman" w:cs="Times New Roman"/>
        </w:rPr>
        <w:t xml:space="preserve"> hiệu ứng tĩnh đối với Việt Nam khá nhỏ do nhiều mặt hàng bị loại trừ, đồng thời cảnh báo nguy cơ chuyển hướng thương mại. Soloaga &amp; Winters (2001) và Elliott &amp; Ikemoto (2004) </w:t>
      </w:r>
      <w:r w:rsidR="00607CEB" w:rsidRPr="00504452">
        <w:rPr>
          <w:rFonts w:ascii="Times New Roman" w:hAnsi="Times New Roman" w:cs="Times New Roman"/>
          <w:lang w:val="vi-VN"/>
        </w:rPr>
        <w:t>kết luận</w:t>
      </w:r>
      <w:r w:rsidR="00771F8E">
        <w:rPr>
          <w:rFonts w:ascii="Times New Roman" w:hAnsi="Times New Roman" w:cs="Times New Roman"/>
        </w:rPr>
        <w:t>,</w:t>
      </w:r>
      <w:r w:rsidRPr="00504452">
        <w:rPr>
          <w:rFonts w:ascii="Times New Roman" w:hAnsi="Times New Roman" w:cs="Times New Roman"/>
        </w:rPr>
        <w:t xml:space="preserve"> AFTA chưa tạo ra tác động tạo lập đáng kể; dòng thương mại nội khối thời kỳ này chủ yếu bị chi phối bởi các cú sốc ngoại sinh (như Khủng hoảng tài chính châu Á). Nguyen (2009) bổ sung thương mại song phương chỉ thực sự tăng rõ rệt (khoảng 52%) vào cuối thập niên 1990 khi loại trừ yếu tố tái xuất.</w:t>
      </w:r>
    </w:p>
    <w:p w14:paraId="4255CB94" w14:textId="3B925A57" w:rsidR="00ED179D" w:rsidRPr="00504452" w:rsidRDefault="00ED179D" w:rsidP="00602578">
      <w:pPr>
        <w:spacing w:before="120" w:after="0" w:line="240" w:lineRule="auto"/>
        <w:ind w:left="1287"/>
        <w:jc w:val="both"/>
        <w:rPr>
          <w:rFonts w:ascii="Times New Roman" w:hAnsi="Times New Roman" w:cs="Times New Roman"/>
        </w:rPr>
      </w:pPr>
      <w:r w:rsidRPr="00602578">
        <w:rPr>
          <w:rFonts w:ascii="Times New Roman" w:hAnsi="Times New Roman" w:cs="Times New Roman"/>
          <w:b/>
          <w:bCs/>
          <w:i/>
        </w:rPr>
        <w:t>Giai đoạn củng cố AFTA (2000 - trước 2015):</w:t>
      </w:r>
      <w:r w:rsidRPr="00504452">
        <w:rPr>
          <w:rFonts w:ascii="Times New Roman" w:hAnsi="Times New Roman" w:cs="Times New Roman"/>
        </w:rPr>
        <w:t> Tác động hội nhập trở nên tích cực và định hình rõ nét. Nguyễn Trung Kiên (2009) chỉ ra</w:t>
      </w:r>
      <w:r w:rsidR="00771F8E">
        <w:rPr>
          <w:rFonts w:ascii="Times New Roman" w:hAnsi="Times New Roman" w:cs="Times New Roman"/>
        </w:rPr>
        <w:t>,</w:t>
      </w:r>
      <w:r w:rsidRPr="00504452">
        <w:rPr>
          <w:rFonts w:ascii="Times New Roman" w:hAnsi="Times New Roman" w:cs="Times New Roman"/>
        </w:rPr>
        <w:t xml:space="preserve"> các nước AFTA có mức trao đổi cao hơn 87% so với tiềm năng, và AFTA là bệ phóng thúc đẩy giao thương ngoại khối. Đỗ (2014) định lượng việc triển khai AFTA làm gia tăng 34% thương mại nội khối và 34% xuất khẩu ngoại khối. Tại Việt Nam, Từ &amp; Đào (2008) xác nhận hội nhập tác động dương tới mức độ tập trung xuất khẩu nội khối. Dù vậy, Okabe &amp; Urata (2014) lưu ý nhóm nước mới gia nhập hưởng lợi ít hơn và cảnh báo phần lớn các FTA khu vực đều song hành tạo ra sự chuyển hướng thương mại.</w:t>
      </w:r>
    </w:p>
    <w:p w14:paraId="706FC03C" w14:textId="77777777" w:rsidR="00ED179D" w:rsidRPr="00504452" w:rsidRDefault="00ED179D" w:rsidP="00602578">
      <w:pPr>
        <w:spacing w:before="120" w:after="0" w:line="240" w:lineRule="auto"/>
        <w:ind w:left="1287"/>
        <w:jc w:val="both"/>
        <w:rPr>
          <w:rFonts w:ascii="Times New Roman" w:hAnsi="Times New Roman" w:cs="Times New Roman"/>
        </w:rPr>
      </w:pPr>
      <w:r w:rsidRPr="00602578">
        <w:rPr>
          <w:rFonts w:ascii="Times New Roman" w:hAnsi="Times New Roman" w:cs="Times New Roman"/>
          <w:b/>
          <w:bCs/>
          <w:i/>
        </w:rPr>
        <w:t>Giai đoạn vận hành AEC (từ 2015):</w:t>
      </w:r>
      <w:r w:rsidRPr="00504452">
        <w:rPr>
          <w:rFonts w:ascii="Times New Roman" w:hAnsi="Times New Roman" w:cs="Times New Roman"/>
        </w:rPr>
        <w:t> Itakura (2014) chứng minh việc dỡ bỏ rào cản và cải thiện logistics trong AEC thúc đẩy mạnh mẽ cả thương mại hàng hóa và dịch vụ. Đối với Việt Nam, Nguyễn và cộng sự (2015) xác nhận quá trình hội nhập AEC có tác động dương có ý nghĩa thống kê tới cả kim ngạch xuất và nhập khẩu.</w:t>
      </w:r>
    </w:p>
    <w:p w14:paraId="0A2EA4FA" w14:textId="52E42778" w:rsidR="00ED179D" w:rsidRPr="00504452" w:rsidRDefault="00E4379A"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Từ</w:t>
      </w:r>
      <w:r w:rsidRPr="00504452">
        <w:rPr>
          <w:rFonts w:ascii="Times New Roman" w:hAnsi="Times New Roman" w:cs="Times New Roman"/>
          <w:lang w:val="vi-VN"/>
        </w:rPr>
        <w:t xml:space="preserve"> việc phân tích trên, bài nghiên cứu đưa ra các k</w:t>
      </w:r>
      <w:r w:rsidR="00ED179D" w:rsidRPr="00504452">
        <w:rPr>
          <w:rFonts w:ascii="Times New Roman" w:hAnsi="Times New Roman" w:cs="Times New Roman"/>
        </w:rPr>
        <w:t>hoảng trống nghiên cứu: </w:t>
      </w:r>
      <w:r w:rsidRPr="00504452">
        <w:rPr>
          <w:rFonts w:ascii="Times New Roman" w:hAnsi="Times New Roman" w:cs="Times New Roman"/>
        </w:rPr>
        <w:t xml:space="preserve"> </w:t>
      </w:r>
      <w:r w:rsidRPr="00504452">
        <w:rPr>
          <w:rFonts w:ascii="Times New Roman" w:hAnsi="Times New Roman" w:cs="Times New Roman"/>
          <w:lang w:val="vi-VN"/>
        </w:rPr>
        <w:t>(</w:t>
      </w:r>
      <w:r w:rsidR="00ED179D" w:rsidRPr="00504452">
        <w:rPr>
          <w:rFonts w:ascii="Times New Roman" w:hAnsi="Times New Roman" w:cs="Times New Roman"/>
        </w:rPr>
        <w:t xml:space="preserve">1) </w:t>
      </w:r>
      <w:r w:rsidRPr="00504452">
        <w:rPr>
          <w:rFonts w:ascii="Times New Roman" w:hAnsi="Times New Roman" w:cs="Times New Roman"/>
        </w:rPr>
        <w:t>Bộ</w:t>
      </w:r>
      <w:r w:rsidRPr="00504452">
        <w:rPr>
          <w:rFonts w:ascii="Times New Roman" w:hAnsi="Times New Roman" w:cs="Times New Roman"/>
          <w:lang w:val="vi-VN"/>
        </w:rPr>
        <w:t xml:space="preserve"> số liệu được sử dụng trong các nghiên cứu </w:t>
      </w:r>
      <w:r w:rsidR="00ED179D" w:rsidRPr="00504452">
        <w:rPr>
          <w:rFonts w:ascii="Times New Roman" w:hAnsi="Times New Roman" w:cs="Times New Roman"/>
        </w:rPr>
        <w:t xml:space="preserve">chưa đánh giá được thời gian đủ dài sự vận hành của AEC, đặc biệt là sự chồng chéo của các FTA thế hệ mới (như CPTPP, EVFTA từ 2018); (2) Phần lớn </w:t>
      </w:r>
      <w:r w:rsidR="00ED179D" w:rsidRPr="00504452">
        <w:rPr>
          <w:rFonts w:ascii="Times New Roman" w:hAnsi="Times New Roman" w:cs="Times New Roman"/>
        </w:rPr>
        <w:lastRenderedPageBreak/>
        <w:t>các mô hình thiếu nhóm đối chứng đủ mạnh để xác định chính xác hiện tượng “chuyển hướng thương mại”.</w:t>
      </w:r>
    </w:p>
    <w:p w14:paraId="3A7BC2F1" w14:textId="6F853DAB" w:rsidR="00ED179D" w:rsidRPr="00504452" w:rsidRDefault="00ED179D" w:rsidP="00771F8E">
      <w:pPr>
        <w:spacing w:before="120" w:after="0" w:line="240" w:lineRule="auto"/>
        <w:ind w:firstLine="567"/>
        <w:jc w:val="both"/>
        <w:rPr>
          <w:rFonts w:ascii="Times New Roman" w:hAnsi="Times New Roman" w:cs="Times New Roman"/>
        </w:rPr>
      </w:pPr>
      <w:r w:rsidRPr="00504452">
        <w:rPr>
          <w:rFonts w:ascii="Times New Roman" w:hAnsi="Times New Roman" w:cs="Times New Roman"/>
        </w:rPr>
        <w:t>Để lấp đầy khoảng trống</w:t>
      </w:r>
      <w:r w:rsidR="00E4379A" w:rsidRPr="00504452">
        <w:rPr>
          <w:rFonts w:ascii="Times New Roman" w:hAnsi="Times New Roman" w:cs="Times New Roman"/>
          <w:lang w:val="vi-VN"/>
        </w:rPr>
        <w:t xml:space="preserve"> nghiên cứu</w:t>
      </w:r>
      <w:r w:rsidRPr="00504452">
        <w:rPr>
          <w:rFonts w:ascii="Times New Roman" w:hAnsi="Times New Roman" w:cs="Times New Roman"/>
        </w:rPr>
        <w:t>, bài viết</w:t>
      </w:r>
      <w:r w:rsidR="00E4379A" w:rsidRPr="00504452">
        <w:rPr>
          <w:rFonts w:ascii="Times New Roman" w:hAnsi="Times New Roman" w:cs="Times New Roman"/>
          <w:lang w:val="vi-VN"/>
        </w:rPr>
        <w:t xml:space="preserve"> tập trung</w:t>
      </w:r>
      <w:r w:rsidRPr="00504452">
        <w:rPr>
          <w:rFonts w:ascii="Times New Roman" w:hAnsi="Times New Roman" w:cs="Times New Roman"/>
        </w:rPr>
        <w:t>: (1) Cập nhật bộ dữ liệu bảng kéo dài 35 năm (1990-2024); và (2) Sử dụng mô hình trọng lực PPML có kiểm soát nhóm 5 đối tác lớn nhất ngoài ASEAN (Hoa Kỳ, EU, Trung Quốc, Nhật Bản, Hàn Quốc) làm nhóm đối chứng. Cách tiếp cận này cho phép lượng hóa chính xác hiệu ứng xói mòn ưu đãi và khuynh hướng chuyển dịch thương mại của Việt Nam dưới tác động của AEC.</w:t>
      </w:r>
    </w:p>
    <w:p w14:paraId="5296A949" w14:textId="59B3F30B" w:rsidR="006064FE" w:rsidRPr="00504452" w:rsidRDefault="006064FE" w:rsidP="00771F8E">
      <w:pPr>
        <w:spacing w:before="120" w:after="0" w:line="240" w:lineRule="auto"/>
        <w:jc w:val="both"/>
        <w:rPr>
          <w:rFonts w:ascii="Times New Roman" w:hAnsi="Times New Roman" w:cs="Times New Roman"/>
          <w:b/>
          <w:bCs/>
          <w:color w:val="000000"/>
          <w:lang w:val="vi-VN"/>
        </w:rPr>
      </w:pPr>
      <w:r w:rsidRPr="00504452">
        <w:rPr>
          <w:rFonts w:ascii="Times New Roman" w:hAnsi="Times New Roman" w:cs="Times New Roman"/>
          <w:b/>
          <w:bCs/>
          <w:color w:val="000000"/>
        </w:rPr>
        <w:t xml:space="preserve">3. </w:t>
      </w:r>
      <w:r w:rsidR="009B0195" w:rsidRPr="00504452">
        <w:rPr>
          <w:rFonts w:ascii="Times New Roman" w:hAnsi="Times New Roman" w:cs="Times New Roman"/>
          <w:b/>
          <w:bCs/>
          <w:color w:val="000000"/>
        </w:rPr>
        <w:t xml:space="preserve">Phương pháp nghiên cứu </w:t>
      </w:r>
      <w:r w:rsidR="0095403A" w:rsidRPr="00504452">
        <w:rPr>
          <w:rFonts w:ascii="Times New Roman" w:hAnsi="Times New Roman" w:cs="Times New Roman"/>
          <w:b/>
          <w:bCs/>
          <w:color w:val="000000"/>
        </w:rPr>
        <w:t>và</w:t>
      </w:r>
      <w:r w:rsidR="0095403A" w:rsidRPr="00504452">
        <w:rPr>
          <w:rFonts w:ascii="Times New Roman" w:hAnsi="Times New Roman" w:cs="Times New Roman"/>
          <w:b/>
          <w:bCs/>
          <w:color w:val="000000"/>
          <w:lang w:val="vi-VN"/>
        </w:rPr>
        <w:t xml:space="preserve"> dữ liệu</w:t>
      </w:r>
    </w:p>
    <w:p w14:paraId="2D352352" w14:textId="5FB28D39" w:rsidR="0095403A" w:rsidRPr="00602578" w:rsidRDefault="0095403A" w:rsidP="00771F8E">
      <w:pPr>
        <w:spacing w:before="120" w:after="0" w:line="240" w:lineRule="auto"/>
        <w:jc w:val="both"/>
        <w:rPr>
          <w:rFonts w:ascii="Times New Roman" w:hAnsi="Times New Roman" w:cs="Times New Roman"/>
          <w:b/>
          <w:bCs/>
          <w:i/>
          <w:color w:val="000000"/>
          <w:lang w:val="vi-VN"/>
        </w:rPr>
      </w:pPr>
      <w:r w:rsidRPr="00602578">
        <w:rPr>
          <w:rFonts w:ascii="Times New Roman" w:hAnsi="Times New Roman" w:cs="Times New Roman"/>
          <w:b/>
          <w:bCs/>
          <w:i/>
          <w:color w:val="000000"/>
          <w:lang w:val="vi-VN"/>
        </w:rPr>
        <w:t>3.1. Mô hình nghiên cứu</w:t>
      </w:r>
    </w:p>
    <w:p w14:paraId="24939DCA" w14:textId="5FE0B91E"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Mô hình nghiên cứu được đề xuất theo </w:t>
      </w:r>
      <w:r w:rsidR="00CC462C">
        <w:rPr>
          <w:rFonts w:ascii="Times New Roman" w:hAnsi="Times New Roman" w:cs="Times New Roman"/>
          <w:color w:val="000000"/>
        </w:rPr>
        <w:t>2</w:t>
      </w:r>
      <w:r w:rsidR="00CC462C" w:rsidRPr="00504452">
        <w:rPr>
          <w:rFonts w:ascii="Times New Roman" w:hAnsi="Times New Roman" w:cs="Times New Roman"/>
          <w:color w:val="000000"/>
        </w:rPr>
        <w:t xml:space="preserve"> </w:t>
      </w:r>
      <w:r w:rsidRPr="00504452">
        <w:rPr>
          <w:rFonts w:ascii="Times New Roman" w:hAnsi="Times New Roman" w:cs="Times New Roman"/>
          <w:color w:val="000000"/>
        </w:rPr>
        <w:t xml:space="preserve">hướng: mô hình chuẩn tắc và mô hình mở rộng. Mô hình chuẩn tắc được thể hiện như sau: </w:t>
      </w:r>
    </w:p>
    <w:p w14:paraId="4E19072E" w14:textId="76336426" w:rsidR="00C94956" w:rsidRPr="00504452" w:rsidRDefault="00C94956" w:rsidP="00771F8E">
      <w:pPr>
        <w:spacing w:before="120" w:after="0" w:line="240" w:lineRule="auto"/>
        <w:ind w:firstLine="567"/>
        <w:jc w:val="center"/>
        <w:rPr>
          <w:rFonts w:ascii="Times New Roman" w:hAnsi="Times New Roman" w:cs="Times New Roman"/>
          <w:color w:val="000000"/>
        </w:rPr>
      </w:pPr>
      <w:r w:rsidRPr="00504452">
        <w:rPr>
          <w:rFonts w:ascii="Times New Roman" w:hAnsi="Times New Roman" w:cs="Times New Roman"/>
          <w:color w:val="000000"/>
        </w:rPr>
        <w:t>Ln T</w:t>
      </w:r>
      <w:r w:rsidRPr="00504452">
        <w:rPr>
          <w:rFonts w:ascii="Times New Roman" w:hAnsi="Times New Roman" w:cs="Times New Roman"/>
          <w:color w:val="000000"/>
          <w:vertAlign w:val="subscript"/>
        </w:rPr>
        <w:t>ij</w:t>
      </w:r>
      <w:r w:rsidRPr="00504452">
        <w:rPr>
          <w:rFonts w:ascii="Times New Roman" w:hAnsi="Times New Roman" w:cs="Times New Roman"/>
          <w:color w:val="000000"/>
        </w:rPr>
        <w:t xml:space="preserve"> =</w:t>
      </w:r>
      <w:r w:rsidR="00FD3DC5" w:rsidRPr="00504452">
        <w:rPr>
          <w:rFonts w:ascii="Times New Roman" w:hAnsi="Times New Roman" w:cs="Times New Roman"/>
          <w:color w:val="000000"/>
        </w:rPr>
        <w:t xml:space="preserve"> β</w:t>
      </w:r>
      <w:r w:rsidR="00FD3DC5" w:rsidRPr="00504452">
        <w:rPr>
          <w:rFonts w:ascii="Times New Roman" w:hAnsi="Times New Roman" w:cs="Times New Roman"/>
          <w:color w:val="000000"/>
          <w:vertAlign w:val="subscript"/>
        </w:rPr>
        <w:t>0</w:t>
      </w:r>
      <w:r w:rsidR="00FD3DC5" w:rsidRPr="00504452">
        <w:rPr>
          <w:rFonts w:ascii="Times New Roman" w:hAnsi="Times New Roman" w:cs="Times New Roman"/>
          <w:color w:val="000000"/>
        </w:rPr>
        <w: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504452">
        <w:rPr>
          <w:rFonts w:ascii="Times New Roman" w:hAnsi="Times New Roman" w:cs="Times New Roman"/>
          <w:color w:val="000000"/>
          <w:vertAlign w:val="subscript"/>
        </w:rPr>
        <w:t>1</w:t>
      </w:r>
      <w:r w:rsidR="00FD3DC5" w:rsidRPr="00504452">
        <w:rPr>
          <w:rFonts w:ascii="Times New Roman" w:hAnsi="Times New Roman" w:cs="Times New Roman"/>
          <w:color w:val="000000"/>
        </w:rPr>
        <w:t>*ln(GDP</w:t>
      </w:r>
      <w:r w:rsidR="00FD3DC5" w:rsidRPr="00504452">
        <w:rPr>
          <w:rFonts w:ascii="Times New Roman" w:hAnsi="Times New Roman" w:cs="Times New Roman"/>
          <w:color w:val="000000"/>
          <w:vertAlign w:val="subscript"/>
        </w:rPr>
        <w:t>it</w:t>
      </w:r>
      <w:r w:rsidR="00FD3DC5" w:rsidRPr="00504452">
        <w:rPr>
          <w:rFonts w:ascii="Times New Roman" w:hAnsi="Times New Roman" w:cs="Times New Roman"/>
          <w:color w:val="000000"/>
        </w:rPr>
        <w: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504452">
        <w:rPr>
          <w:rFonts w:ascii="Times New Roman" w:hAnsi="Times New Roman" w:cs="Times New Roman"/>
          <w:color w:val="000000"/>
          <w:vertAlign w:val="subscript"/>
        </w:rPr>
        <w:t>2</w:t>
      </w:r>
      <w:r w:rsidR="00FD3DC5" w:rsidRPr="00504452">
        <w:rPr>
          <w:rFonts w:ascii="Times New Roman" w:hAnsi="Times New Roman" w:cs="Times New Roman"/>
          <w:color w:val="000000"/>
        </w:rPr>
        <w:t>*ln(GDPjt)+</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β</w:t>
      </w:r>
      <w:r w:rsidR="00FD3DC5" w:rsidRPr="00504452">
        <w:rPr>
          <w:rFonts w:ascii="Times New Roman" w:hAnsi="Times New Roman" w:cs="Times New Roman"/>
          <w:color w:val="000000"/>
          <w:vertAlign w:val="subscript"/>
        </w:rPr>
        <w:t>3</w:t>
      </w:r>
      <w:r w:rsidR="00FD3DC5" w:rsidRPr="00504452">
        <w:rPr>
          <w:rFonts w:ascii="Times New Roman" w:hAnsi="Times New Roman" w:cs="Times New Roman"/>
          <w:color w:val="000000"/>
        </w:rPr>
        <w:t>*ln(D</w:t>
      </w:r>
      <w:r w:rsidR="00FD3DC5" w:rsidRPr="00504452">
        <w:rPr>
          <w:rFonts w:ascii="Times New Roman" w:hAnsi="Times New Roman" w:cs="Times New Roman"/>
          <w:color w:val="000000"/>
          <w:vertAlign w:val="subscript"/>
        </w:rPr>
        <w:t>ij</w:t>
      </w:r>
      <w:r w:rsidR="00FD3DC5" w:rsidRPr="00504452">
        <w:rPr>
          <w:rFonts w:ascii="Times New Roman" w:hAnsi="Times New Roman" w:cs="Times New Roman"/>
          <w:color w:val="000000"/>
        </w:rPr>
        <w:t>)</w:t>
      </w:r>
      <w:r w:rsidRPr="00504452">
        <w:rPr>
          <w:rFonts w:ascii="Times New Roman" w:hAnsi="Times New Roman" w:cs="Times New Roman"/>
          <w:color w:val="000000"/>
        </w:rPr>
        <w:t xml:space="preserve"> </w:t>
      </w:r>
      <w:r w:rsidR="00FD3DC5" w:rsidRPr="00504452">
        <w:rPr>
          <w:rFonts w:ascii="Times New Roman" w:hAnsi="Times New Roman" w:cs="Times New Roman"/>
          <w:color w:val="000000"/>
          <w:lang w:val="vi-VN"/>
        </w:rPr>
        <w:t xml:space="preserve">+ </w:t>
      </w:r>
      <w:r w:rsidR="00FD3DC5" w:rsidRPr="00504452">
        <w:rPr>
          <w:rFonts w:ascii="Times New Roman" w:hAnsi="Times New Roman" w:cs="Times New Roman"/>
          <w:color w:val="000000"/>
        </w:rPr>
        <w:t>ε</w:t>
      </w:r>
      <w:r w:rsidR="00FD3DC5" w:rsidRPr="00504452">
        <w:rPr>
          <w:rFonts w:ascii="Times New Roman" w:hAnsi="Times New Roman" w:cs="Times New Roman"/>
          <w:color w:val="000000"/>
          <w:vertAlign w:val="subscript"/>
        </w:rPr>
        <w:t>ij</w:t>
      </w:r>
      <w:r w:rsidRPr="00504452">
        <w:rPr>
          <w:rFonts w:ascii="Times New Roman" w:hAnsi="Times New Roman" w:cs="Times New Roman"/>
          <w:color w:val="000000"/>
        </w:rPr>
        <w:t xml:space="preserve">  (1)</w:t>
      </w:r>
    </w:p>
    <w:p w14:paraId="31353D6A" w14:textId="77777777" w:rsidR="00C94956" w:rsidRPr="00504452" w:rsidRDefault="00C94956" w:rsidP="00771F8E">
      <w:pPr>
        <w:spacing w:before="120" w:after="0" w:line="240" w:lineRule="auto"/>
        <w:ind w:firstLine="567"/>
        <w:jc w:val="both"/>
        <w:rPr>
          <w:rFonts w:ascii="Times New Roman" w:hAnsi="Times New Roman" w:cs="Times New Roman"/>
          <w:i/>
          <w:iCs/>
          <w:color w:val="000000"/>
        </w:rPr>
      </w:pPr>
      <w:r w:rsidRPr="00504452">
        <w:rPr>
          <w:rFonts w:ascii="Times New Roman" w:hAnsi="Times New Roman" w:cs="Times New Roman"/>
          <w:i/>
          <w:iCs/>
          <w:color w:val="000000"/>
        </w:rPr>
        <w:t>Trong đó:</w:t>
      </w:r>
    </w:p>
    <w:p w14:paraId="6281CCD8"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i= Việt nam </w:t>
      </w:r>
    </w:p>
    <w:p w14:paraId="289C634C" w14:textId="4B2AA5F0"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j= 1,2,3,…14 (số đối tác thương mại được sử dụng trong nghiên cứu gồm 9 nước ASEAN và  5 đối tác thương mại quan trọng của Việt Nam là Liên minh </w:t>
      </w:r>
      <w:r w:rsidR="00CC462C">
        <w:rPr>
          <w:rFonts w:ascii="Times New Roman" w:hAnsi="Times New Roman" w:cs="Times New Roman"/>
          <w:color w:val="000000"/>
        </w:rPr>
        <w:t>c</w:t>
      </w:r>
      <w:r w:rsidRPr="00504452">
        <w:rPr>
          <w:rFonts w:ascii="Times New Roman" w:hAnsi="Times New Roman" w:cs="Times New Roman"/>
          <w:color w:val="000000"/>
        </w:rPr>
        <w:t>hâu Âu, Hoa Kỳ, Trung Quốc, Nhật Bản và Hàn Quốc ).</w:t>
      </w:r>
    </w:p>
    <w:p w14:paraId="129A1282" w14:textId="512EF6E5"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t = 1990, 1991, 1992, … ,20</w:t>
      </w:r>
      <w:r w:rsidRPr="00504452">
        <w:rPr>
          <w:rFonts w:ascii="Times New Roman" w:hAnsi="Times New Roman" w:cs="Times New Roman"/>
          <w:color w:val="000000"/>
          <w:lang w:val="vi-VN"/>
        </w:rPr>
        <w:t>2</w:t>
      </w:r>
      <w:r w:rsidR="00FD1B79" w:rsidRPr="00504452">
        <w:rPr>
          <w:rFonts w:ascii="Times New Roman" w:hAnsi="Times New Roman" w:cs="Times New Roman"/>
          <w:color w:val="000000"/>
          <w:lang w:val="vi-VN"/>
        </w:rPr>
        <w:t>4</w:t>
      </w:r>
    </w:p>
    <w:p w14:paraId="3BC4CC09"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T</w:t>
      </w:r>
      <w:r w:rsidRPr="00504452">
        <w:rPr>
          <w:rFonts w:ascii="Times New Roman" w:hAnsi="Times New Roman" w:cs="Times New Roman"/>
          <w:color w:val="000000"/>
          <w:vertAlign w:val="subscript"/>
        </w:rPr>
        <w:t xml:space="preserve">ij </w:t>
      </w:r>
      <w:r w:rsidRPr="00504452">
        <w:rPr>
          <w:rFonts w:ascii="Times New Roman" w:hAnsi="Times New Roman" w:cs="Times New Roman"/>
          <w:color w:val="000000"/>
        </w:rPr>
        <w:t>: quy mô thương mại song phương tính theo giá thực tế giữa Việt nam và quốc gia j tại thời điểm năm t.</w:t>
      </w:r>
    </w:p>
    <w:p w14:paraId="07D441B3"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GPP</w:t>
      </w:r>
      <w:r w:rsidRPr="00504452">
        <w:rPr>
          <w:rFonts w:ascii="Times New Roman" w:hAnsi="Times New Roman" w:cs="Times New Roman"/>
          <w:color w:val="000000"/>
          <w:vertAlign w:val="subscript"/>
        </w:rPr>
        <w:t xml:space="preserve">it </w:t>
      </w:r>
      <w:r w:rsidRPr="00504452">
        <w:rPr>
          <w:rFonts w:ascii="Times New Roman" w:hAnsi="Times New Roman" w:cs="Times New Roman"/>
          <w:color w:val="000000"/>
        </w:rPr>
        <w:t>: GDP theo giá thực tế của Việt Nam tại năm t.</w:t>
      </w:r>
    </w:p>
    <w:p w14:paraId="74E92DFD"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 GDP</w:t>
      </w:r>
      <w:r w:rsidRPr="00504452">
        <w:rPr>
          <w:rFonts w:ascii="Times New Roman" w:hAnsi="Times New Roman" w:cs="Times New Roman"/>
          <w:color w:val="000000"/>
          <w:vertAlign w:val="subscript"/>
        </w:rPr>
        <w:t>jt</w:t>
      </w:r>
      <w:r w:rsidRPr="00504452">
        <w:rPr>
          <w:rFonts w:ascii="Times New Roman" w:hAnsi="Times New Roman" w:cs="Times New Roman"/>
          <w:color w:val="000000"/>
        </w:rPr>
        <w:t>: GDP theo giá thực tế của quốc gia j tại thời điểm năm t.</w:t>
      </w:r>
    </w:p>
    <w:p w14:paraId="30964B6E" w14:textId="3E2CD38F"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D</w:t>
      </w:r>
      <w:r w:rsidRPr="00504452">
        <w:rPr>
          <w:rFonts w:ascii="Times New Roman" w:hAnsi="Times New Roman" w:cs="Times New Roman"/>
          <w:color w:val="000000"/>
          <w:vertAlign w:val="subscript"/>
        </w:rPr>
        <w:t>ij</w:t>
      </w:r>
      <w:r w:rsidRPr="00504452">
        <w:rPr>
          <w:rFonts w:ascii="Times New Roman" w:hAnsi="Times New Roman" w:cs="Times New Roman"/>
          <w:color w:val="000000"/>
        </w:rPr>
        <w:t xml:space="preserve"> : khoảng cách giữa </w:t>
      </w:r>
      <w:r w:rsidR="00516F7C" w:rsidRPr="00504452">
        <w:rPr>
          <w:rFonts w:ascii="Times New Roman" w:hAnsi="Times New Roman" w:cs="Times New Roman"/>
          <w:color w:val="000000"/>
        </w:rPr>
        <w:t>thủ</w:t>
      </w:r>
      <w:r w:rsidR="00516F7C" w:rsidRPr="00504452">
        <w:rPr>
          <w:rFonts w:ascii="Times New Roman" w:hAnsi="Times New Roman" w:cs="Times New Roman"/>
          <w:color w:val="000000"/>
          <w:lang w:val="vi-VN"/>
        </w:rPr>
        <w:t xml:space="preserve"> đô Hà Nội và thủ đô của nước đối tác </w:t>
      </w:r>
      <w:r w:rsidRPr="00504452">
        <w:rPr>
          <w:rFonts w:ascii="Times New Roman" w:hAnsi="Times New Roman" w:cs="Times New Roman"/>
          <w:color w:val="000000"/>
        </w:rPr>
        <w:t>j.</w:t>
      </w:r>
      <w:r w:rsidR="00516F7C" w:rsidRPr="00504452">
        <w:rPr>
          <w:rFonts w:ascii="Times New Roman" w:hAnsi="Times New Roman" w:cs="Times New Roman"/>
          <w:color w:val="000000"/>
          <w:lang w:val="vi-VN"/>
        </w:rPr>
        <w:t xml:space="preserve"> Trong trường hợp của Liên minh </w:t>
      </w:r>
      <w:r w:rsidR="00CC462C">
        <w:rPr>
          <w:rFonts w:ascii="Times New Roman" w:hAnsi="Times New Roman" w:cs="Times New Roman"/>
          <w:color w:val="000000"/>
        </w:rPr>
        <w:t>c</w:t>
      </w:r>
      <w:r w:rsidR="00516F7C" w:rsidRPr="00504452">
        <w:rPr>
          <w:rFonts w:ascii="Times New Roman" w:hAnsi="Times New Roman" w:cs="Times New Roman"/>
          <w:color w:val="000000"/>
          <w:lang w:val="vi-VN"/>
        </w:rPr>
        <w:t xml:space="preserve">hâu Âu, khoảng cách được tính bằng khoảng cách giữa thủ đô Hà Nội tới Brussel nơi đặt </w:t>
      </w:r>
      <w:r w:rsidR="00662A61" w:rsidRPr="00504452">
        <w:rPr>
          <w:rFonts w:ascii="Times New Roman" w:hAnsi="Times New Roman" w:cs="Times New Roman"/>
          <w:color w:val="000000"/>
          <w:lang w:val="vi-VN"/>
        </w:rPr>
        <w:t>các cơ quan quan trọng nhất</w:t>
      </w:r>
      <w:r w:rsidR="00516F7C" w:rsidRPr="00504452">
        <w:rPr>
          <w:rFonts w:ascii="Times New Roman" w:hAnsi="Times New Roman" w:cs="Times New Roman"/>
          <w:color w:val="000000"/>
          <w:lang w:val="vi-VN"/>
        </w:rPr>
        <w:t xml:space="preserve"> của EU. </w:t>
      </w:r>
    </w:p>
    <w:p w14:paraId="10D89301"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 ε</w:t>
      </w:r>
      <w:r w:rsidRPr="00504452">
        <w:rPr>
          <w:rFonts w:ascii="Times New Roman" w:hAnsi="Times New Roman" w:cs="Times New Roman"/>
          <w:color w:val="000000"/>
          <w:vertAlign w:val="subscript"/>
        </w:rPr>
        <w:t>ijt</w:t>
      </w:r>
      <w:r w:rsidRPr="00504452">
        <w:rPr>
          <w:rFonts w:ascii="Times New Roman" w:hAnsi="Times New Roman" w:cs="Times New Roman"/>
          <w:color w:val="000000"/>
        </w:rPr>
        <w:t>: phần dư mô hình.</w:t>
      </w:r>
    </w:p>
    <w:p w14:paraId="5077C6BD" w14:textId="3273A9D4"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Trên cơ sở phương trình chuẩn tắc của </w:t>
      </w:r>
      <w:r w:rsidR="00C952A5" w:rsidRPr="00504452">
        <w:rPr>
          <w:rFonts w:ascii="Times New Roman" w:hAnsi="Times New Roman" w:cs="Times New Roman"/>
          <w:color w:val="000000"/>
        </w:rPr>
        <w:t>mô hình trọng lực (gravity model)</w:t>
      </w:r>
      <w:r w:rsidRPr="00504452">
        <w:rPr>
          <w:rFonts w:ascii="Times New Roman" w:hAnsi="Times New Roman" w:cs="Times New Roman"/>
          <w:color w:val="000000"/>
        </w:rPr>
        <w:t xml:space="preserve">, để đánh giá tác động của tạo lập và chuyển hướng thương mại đối với hoạt động thương mại quốc tế của Việt Nam, mô hình được đề xuất sử dụng dưới dạng mô hình mở rộng. </w:t>
      </w:r>
    </w:p>
    <w:p w14:paraId="1E101435" w14:textId="18C79EB9"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lnT</w:t>
      </w:r>
      <w:r w:rsidRPr="00504452">
        <w:rPr>
          <w:rFonts w:ascii="Times New Roman" w:hAnsi="Times New Roman" w:cs="Times New Roman"/>
          <w:color w:val="000000"/>
          <w:vertAlign w:val="subscript"/>
        </w:rPr>
        <w:t>ij</w:t>
      </w:r>
      <w:r w:rsidRPr="00504452">
        <w:rPr>
          <w:rFonts w:ascii="Times New Roman" w:hAnsi="Times New Roman" w:cs="Times New Roman"/>
          <w:color w:val="000000"/>
        </w:rPr>
        <w:t>=β</w:t>
      </w:r>
      <w:r w:rsidRPr="00504452">
        <w:rPr>
          <w:rFonts w:ascii="Times New Roman" w:hAnsi="Times New Roman" w:cs="Times New Roman"/>
          <w:color w:val="000000"/>
          <w:vertAlign w:val="subscript"/>
        </w:rPr>
        <w:t>0</w:t>
      </w:r>
      <w:r w:rsidRPr="00504452">
        <w:rPr>
          <w:rFonts w:ascii="Times New Roman" w:hAnsi="Times New Roman" w:cs="Times New Roman"/>
          <w:color w:val="000000"/>
        </w:rPr>
        <w: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504452">
        <w:rPr>
          <w:rFonts w:ascii="Times New Roman" w:hAnsi="Times New Roman" w:cs="Times New Roman"/>
          <w:color w:val="000000"/>
          <w:vertAlign w:val="subscript"/>
        </w:rPr>
        <w:t>1</w:t>
      </w:r>
      <w:r w:rsidRPr="00504452">
        <w:rPr>
          <w:rFonts w:ascii="Times New Roman" w:hAnsi="Times New Roman" w:cs="Times New Roman"/>
          <w:color w:val="000000"/>
        </w:rPr>
        <w:t>*ln(GDP</w:t>
      </w:r>
      <w:r w:rsidRPr="00504452">
        <w:rPr>
          <w:rFonts w:ascii="Times New Roman" w:hAnsi="Times New Roman" w:cs="Times New Roman"/>
          <w:color w:val="000000"/>
          <w:vertAlign w:val="subscript"/>
        </w:rPr>
        <w:t>it</w:t>
      </w:r>
      <w:r w:rsidRPr="00504452">
        <w:rPr>
          <w:rFonts w:ascii="Times New Roman" w:hAnsi="Times New Roman" w:cs="Times New Roman"/>
          <w:color w:val="000000"/>
        </w:rPr>
        <w: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504452">
        <w:rPr>
          <w:rFonts w:ascii="Times New Roman" w:hAnsi="Times New Roman" w:cs="Times New Roman"/>
          <w:color w:val="000000"/>
          <w:vertAlign w:val="subscript"/>
        </w:rPr>
        <w:t>2</w:t>
      </w:r>
      <w:r w:rsidRPr="00504452">
        <w:rPr>
          <w:rFonts w:ascii="Times New Roman" w:hAnsi="Times New Roman" w:cs="Times New Roman"/>
          <w:color w:val="000000"/>
        </w:rPr>
        <w:t>*ln(GDPjt)+</w:t>
      </w:r>
      <w:r w:rsidR="00FD3DC5" w:rsidRPr="00504452">
        <w:rPr>
          <w:rFonts w:ascii="Times New Roman" w:hAnsi="Times New Roman" w:cs="Times New Roman"/>
          <w:color w:val="000000"/>
          <w:lang w:val="vi-VN"/>
        </w:rPr>
        <w:t xml:space="preserve"> </w:t>
      </w:r>
      <w:r w:rsidRPr="00504452">
        <w:rPr>
          <w:rFonts w:ascii="Times New Roman" w:hAnsi="Times New Roman" w:cs="Times New Roman"/>
          <w:color w:val="000000"/>
        </w:rPr>
        <w:t>β</w:t>
      </w:r>
      <w:r w:rsidRPr="00504452">
        <w:rPr>
          <w:rFonts w:ascii="Times New Roman" w:hAnsi="Times New Roman" w:cs="Times New Roman"/>
          <w:color w:val="000000"/>
          <w:vertAlign w:val="subscript"/>
        </w:rPr>
        <w:t>3</w:t>
      </w:r>
      <w:r w:rsidRPr="00504452">
        <w:rPr>
          <w:rFonts w:ascii="Times New Roman" w:hAnsi="Times New Roman" w:cs="Times New Roman"/>
          <w:color w:val="000000"/>
        </w:rPr>
        <w:t>*ln(D</w:t>
      </w:r>
      <w:r w:rsidRPr="00504452">
        <w:rPr>
          <w:rFonts w:ascii="Times New Roman" w:hAnsi="Times New Roman" w:cs="Times New Roman"/>
          <w:color w:val="000000"/>
          <w:vertAlign w:val="subscript"/>
        </w:rPr>
        <w:t>ij</w:t>
      </w:r>
      <w:r w:rsidRPr="00504452">
        <w:rPr>
          <w:rFonts w:ascii="Times New Roman" w:hAnsi="Times New Roman" w:cs="Times New Roman"/>
          <w:color w:val="000000"/>
        </w:rPr>
        <w:t>)+β</w:t>
      </w:r>
      <w:r w:rsidRPr="00504452">
        <w:rPr>
          <w:rFonts w:ascii="Times New Roman" w:hAnsi="Times New Roman" w:cs="Times New Roman"/>
          <w:color w:val="000000"/>
          <w:vertAlign w:val="subscript"/>
        </w:rPr>
        <w:t>4</w:t>
      </w:r>
      <w:r w:rsidRPr="00504452">
        <w:rPr>
          <w:rFonts w:ascii="Times New Roman" w:hAnsi="Times New Roman" w:cs="Times New Roman"/>
          <w:color w:val="000000"/>
        </w:rPr>
        <w:t>*REALEXCHANGE+β</w:t>
      </w:r>
      <w:r w:rsidRPr="00504452">
        <w:rPr>
          <w:rFonts w:ascii="Times New Roman" w:hAnsi="Times New Roman" w:cs="Times New Roman"/>
          <w:color w:val="000000"/>
          <w:vertAlign w:val="subscript"/>
        </w:rPr>
        <w:t>5</w:t>
      </w:r>
      <w:r w:rsidRPr="00504452">
        <w:rPr>
          <w:rFonts w:ascii="Times New Roman" w:hAnsi="Times New Roman" w:cs="Times New Roman"/>
          <w:color w:val="000000"/>
        </w:rPr>
        <w:t>*BORDER+ β</w:t>
      </w:r>
      <w:r w:rsidRPr="00504452">
        <w:rPr>
          <w:rFonts w:ascii="Times New Roman" w:hAnsi="Times New Roman" w:cs="Times New Roman"/>
          <w:color w:val="000000"/>
          <w:vertAlign w:val="subscript"/>
        </w:rPr>
        <w:t>6</w:t>
      </w:r>
      <w:r w:rsidRPr="00504452">
        <w:rPr>
          <w:rFonts w:ascii="Times New Roman" w:hAnsi="Times New Roman" w:cs="Times New Roman"/>
          <w:color w:val="000000"/>
        </w:rPr>
        <w:t>*ASEAN + β</w:t>
      </w:r>
      <w:r w:rsidRPr="00504452">
        <w:rPr>
          <w:rFonts w:ascii="Times New Roman" w:hAnsi="Times New Roman" w:cs="Times New Roman"/>
          <w:color w:val="000000"/>
          <w:vertAlign w:val="subscript"/>
        </w:rPr>
        <w:t>7</w:t>
      </w:r>
      <w:r w:rsidRPr="00504452">
        <w:rPr>
          <w:rFonts w:ascii="Times New Roman" w:hAnsi="Times New Roman" w:cs="Times New Roman"/>
          <w:color w:val="000000"/>
        </w:rPr>
        <w:t>*AEC + β</w:t>
      </w:r>
      <w:r w:rsidRPr="00504452">
        <w:rPr>
          <w:rFonts w:ascii="Times New Roman" w:hAnsi="Times New Roman" w:cs="Times New Roman"/>
          <w:color w:val="000000"/>
          <w:vertAlign w:val="subscript"/>
        </w:rPr>
        <w:t>8</w:t>
      </w:r>
      <w:r w:rsidRPr="00504452">
        <w:rPr>
          <w:rFonts w:ascii="Times New Roman" w:hAnsi="Times New Roman" w:cs="Times New Roman"/>
          <w:color w:val="000000"/>
        </w:rPr>
        <w:t>*JOINASEAN +</w:t>
      </w:r>
      <w:r w:rsidRPr="00504452">
        <w:rPr>
          <w:rFonts w:ascii="Times New Roman" w:hAnsi="Times New Roman" w:cs="Times New Roman"/>
          <w:color w:val="000000"/>
          <w:vertAlign w:val="subscript"/>
        </w:rPr>
        <w:t xml:space="preserve"> </w:t>
      </w:r>
      <w:r w:rsidRPr="00504452">
        <w:rPr>
          <w:rFonts w:ascii="Times New Roman" w:hAnsi="Times New Roman" w:cs="Times New Roman"/>
          <w:color w:val="000000"/>
        </w:rPr>
        <w:t xml:space="preserve"> ε</w:t>
      </w:r>
      <w:r w:rsidRPr="00504452">
        <w:rPr>
          <w:rFonts w:ascii="Times New Roman" w:hAnsi="Times New Roman" w:cs="Times New Roman"/>
          <w:color w:val="000000"/>
          <w:vertAlign w:val="subscript"/>
        </w:rPr>
        <w:t>ijt</w:t>
      </w:r>
      <w:r w:rsidRPr="00504452">
        <w:rPr>
          <w:rFonts w:ascii="Times New Roman" w:hAnsi="Times New Roman" w:cs="Times New Roman"/>
          <w:color w:val="000000"/>
        </w:rPr>
        <w:t xml:space="preserve"> (2)</w:t>
      </w:r>
    </w:p>
    <w:p w14:paraId="69E3FD08" w14:textId="77777777" w:rsidR="00C94956" w:rsidRPr="00504452" w:rsidRDefault="00C94956" w:rsidP="00771F8E">
      <w:pPr>
        <w:spacing w:before="120" w:after="0" w:line="240" w:lineRule="auto"/>
        <w:ind w:firstLine="567"/>
        <w:jc w:val="both"/>
        <w:rPr>
          <w:rFonts w:ascii="Times New Roman" w:hAnsi="Times New Roman" w:cs="Times New Roman"/>
          <w:i/>
          <w:iCs/>
          <w:color w:val="000000"/>
        </w:rPr>
      </w:pPr>
      <w:r w:rsidRPr="00504452">
        <w:rPr>
          <w:rFonts w:ascii="Times New Roman" w:hAnsi="Times New Roman" w:cs="Times New Roman"/>
          <w:i/>
          <w:iCs/>
          <w:color w:val="000000"/>
        </w:rPr>
        <w:t xml:space="preserve">Trong đó: </w:t>
      </w:r>
    </w:p>
    <w:p w14:paraId="6A6F1C8E" w14:textId="58BCF9F4"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i: Việt </w:t>
      </w:r>
      <w:r w:rsidR="00AF1A05">
        <w:rPr>
          <w:rFonts w:ascii="Times New Roman" w:hAnsi="Times New Roman" w:cs="Times New Roman"/>
          <w:color w:val="000000"/>
        </w:rPr>
        <w:t>N</w:t>
      </w:r>
      <w:r w:rsidR="00AF1A05" w:rsidRPr="00504452">
        <w:rPr>
          <w:rFonts w:ascii="Times New Roman" w:hAnsi="Times New Roman" w:cs="Times New Roman"/>
          <w:color w:val="000000"/>
        </w:rPr>
        <w:t>am</w:t>
      </w:r>
      <w:r w:rsidRPr="00504452">
        <w:rPr>
          <w:rFonts w:ascii="Times New Roman" w:hAnsi="Times New Roman" w:cs="Times New Roman"/>
          <w:color w:val="000000"/>
        </w:rPr>
        <w:t xml:space="preserve">. </w:t>
      </w:r>
    </w:p>
    <w:p w14:paraId="43A76F11" w14:textId="524C6C4D"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j= 1,2,3,…14 (số lượng các nước thành viên ASEAN có trao đổi thương mại với Việt Nam và </w:t>
      </w:r>
      <w:r w:rsidR="00662A61" w:rsidRPr="00504452">
        <w:rPr>
          <w:rFonts w:ascii="Times New Roman" w:hAnsi="Times New Roman" w:cs="Times New Roman"/>
          <w:color w:val="000000"/>
          <w:lang w:val="vi-VN"/>
        </w:rPr>
        <w:t>5</w:t>
      </w:r>
      <w:r w:rsidRPr="00504452">
        <w:rPr>
          <w:rFonts w:ascii="Times New Roman" w:hAnsi="Times New Roman" w:cs="Times New Roman"/>
          <w:color w:val="000000"/>
        </w:rPr>
        <w:t xml:space="preserve"> nước đối tác thương mại lớn là Hoa Kỳ, </w:t>
      </w:r>
      <w:r w:rsidR="00662A61" w:rsidRPr="00504452">
        <w:rPr>
          <w:rFonts w:ascii="Times New Roman" w:hAnsi="Times New Roman" w:cs="Times New Roman"/>
          <w:color w:val="000000"/>
        </w:rPr>
        <w:t>EU</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Nhật Bản</w:t>
      </w:r>
      <w:r w:rsidR="00662A61" w:rsidRPr="00504452">
        <w:rPr>
          <w:rFonts w:ascii="Times New Roman" w:hAnsi="Times New Roman" w:cs="Times New Roman"/>
          <w:color w:val="000000"/>
          <w:lang w:val="vi-VN"/>
        </w:rPr>
        <w:t xml:space="preserve">, </w:t>
      </w:r>
      <w:r w:rsidR="00662A61" w:rsidRPr="00504452">
        <w:rPr>
          <w:rFonts w:ascii="Times New Roman" w:hAnsi="Times New Roman" w:cs="Times New Roman"/>
          <w:color w:val="000000"/>
        </w:rPr>
        <w:t>Trung Quốc</w:t>
      </w:r>
      <w:r w:rsidRPr="00504452">
        <w:rPr>
          <w:rFonts w:ascii="Times New Roman" w:hAnsi="Times New Roman" w:cs="Times New Roman"/>
          <w:color w:val="000000"/>
        </w:rPr>
        <w:t xml:space="preserve"> và Hàn Quốc).</w:t>
      </w:r>
    </w:p>
    <w:p w14:paraId="095CC635" w14:textId="1186CB35"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t= 1990, 1991, 1992, … ,202</w:t>
      </w:r>
      <w:r w:rsidR="00F062DD" w:rsidRPr="00504452">
        <w:rPr>
          <w:rFonts w:ascii="Times New Roman" w:hAnsi="Times New Roman" w:cs="Times New Roman"/>
          <w:color w:val="000000"/>
          <w:lang w:val="vi-VN"/>
        </w:rPr>
        <w:t>4</w:t>
      </w:r>
      <w:r w:rsidRPr="00504452">
        <w:rPr>
          <w:rFonts w:ascii="Times New Roman" w:hAnsi="Times New Roman" w:cs="Times New Roman"/>
          <w:color w:val="000000"/>
        </w:rPr>
        <w:t>.</w:t>
      </w:r>
    </w:p>
    <w:p w14:paraId="7FC2C1B4" w14:textId="36EF8027" w:rsidR="00516F7C"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 xml:space="preserve"> </w:t>
      </w:r>
      <w:r w:rsidR="00662A61" w:rsidRPr="00504452">
        <w:rPr>
          <w:rFonts w:ascii="Times New Roman" w:hAnsi="Times New Roman" w:cs="Times New Roman"/>
          <w:color w:val="000000"/>
        </w:rPr>
        <w:t>Các</w:t>
      </w:r>
      <w:r w:rsidR="00662A61" w:rsidRPr="00504452">
        <w:rPr>
          <w:rFonts w:ascii="Times New Roman" w:hAnsi="Times New Roman" w:cs="Times New Roman"/>
          <w:color w:val="000000"/>
          <w:lang w:val="vi-VN"/>
        </w:rPr>
        <w:t xml:space="preserve"> biến </w:t>
      </w:r>
      <w:r w:rsidRPr="00504452">
        <w:rPr>
          <w:rFonts w:ascii="Times New Roman" w:hAnsi="Times New Roman" w:cs="Times New Roman"/>
          <w:color w:val="000000"/>
        </w:rPr>
        <w:t>T</w:t>
      </w:r>
      <w:r w:rsidRPr="00504452">
        <w:rPr>
          <w:rFonts w:ascii="Times New Roman" w:hAnsi="Times New Roman" w:cs="Times New Roman"/>
          <w:color w:val="000000"/>
          <w:vertAlign w:val="subscript"/>
        </w:rPr>
        <w:t>ij</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GPP</w:t>
      </w:r>
      <w:r w:rsidRPr="00504452">
        <w:rPr>
          <w:rFonts w:ascii="Times New Roman" w:hAnsi="Times New Roman" w:cs="Times New Roman"/>
          <w:color w:val="000000"/>
          <w:vertAlign w:val="subscript"/>
        </w:rPr>
        <w:t>it</w:t>
      </w:r>
      <w:r w:rsidR="00662A61" w:rsidRPr="00504452">
        <w:rPr>
          <w:rFonts w:ascii="Times New Roman" w:hAnsi="Times New Roman" w:cs="Times New Roman"/>
          <w:color w:val="000000"/>
          <w:lang w:val="vi-VN"/>
        </w:rPr>
        <w:t xml:space="preserve">, </w:t>
      </w:r>
      <w:r w:rsidRPr="00504452">
        <w:rPr>
          <w:rFonts w:ascii="Times New Roman" w:hAnsi="Times New Roman" w:cs="Times New Roman"/>
          <w:color w:val="000000"/>
        </w:rPr>
        <w:t>GDP</w:t>
      </w:r>
      <w:r w:rsidRPr="00504452">
        <w:rPr>
          <w:rFonts w:ascii="Times New Roman" w:hAnsi="Times New Roman" w:cs="Times New Roman"/>
          <w:color w:val="000000"/>
          <w:vertAlign w:val="subscript"/>
        </w:rPr>
        <w:t>jt</w:t>
      </w:r>
      <w:r w:rsidR="00662A61" w:rsidRPr="00504452">
        <w:rPr>
          <w:rFonts w:ascii="Times New Roman" w:hAnsi="Times New Roman" w:cs="Times New Roman"/>
          <w:color w:val="000000"/>
          <w:lang w:val="vi-VN"/>
        </w:rPr>
        <w:t xml:space="preserve"> và </w:t>
      </w:r>
      <w:r w:rsidR="00516F7C" w:rsidRPr="00504452">
        <w:rPr>
          <w:rFonts w:ascii="Times New Roman" w:hAnsi="Times New Roman" w:cs="Times New Roman"/>
          <w:color w:val="000000"/>
        </w:rPr>
        <w:t>D</w:t>
      </w:r>
      <w:r w:rsidR="00516F7C" w:rsidRPr="00504452">
        <w:rPr>
          <w:rFonts w:ascii="Times New Roman" w:hAnsi="Times New Roman" w:cs="Times New Roman"/>
          <w:color w:val="000000"/>
          <w:vertAlign w:val="subscript"/>
        </w:rPr>
        <w:t>ij</w:t>
      </w:r>
      <w:r w:rsidR="00516F7C" w:rsidRPr="00504452">
        <w:rPr>
          <w:rFonts w:ascii="Times New Roman" w:hAnsi="Times New Roman" w:cs="Times New Roman"/>
          <w:color w:val="000000"/>
        </w:rPr>
        <w:t xml:space="preserve"> </w:t>
      </w:r>
      <w:r w:rsidR="00662A61" w:rsidRPr="00504452">
        <w:rPr>
          <w:rFonts w:ascii="Times New Roman" w:hAnsi="Times New Roman" w:cs="Times New Roman"/>
          <w:color w:val="000000"/>
        </w:rPr>
        <w:t>tương</w:t>
      </w:r>
      <w:r w:rsidR="00662A61" w:rsidRPr="00504452">
        <w:rPr>
          <w:rFonts w:ascii="Times New Roman" w:hAnsi="Times New Roman" w:cs="Times New Roman"/>
          <w:color w:val="000000"/>
          <w:lang w:val="vi-VN"/>
        </w:rPr>
        <w:t xml:space="preserve"> tự như trong mô hình (1)</w:t>
      </w:r>
      <w:r w:rsidR="00516F7C" w:rsidRPr="00504452">
        <w:rPr>
          <w:rFonts w:ascii="Times New Roman" w:hAnsi="Times New Roman" w:cs="Times New Roman"/>
          <w:color w:val="000000"/>
          <w:lang w:val="vi-VN"/>
        </w:rPr>
        <w:t xml:space="preserve">. </w:t>
      </w:r>
    </w:p>
    <w:p w14:paraId="2B182D3E"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REALEXCHANGE: Tỷ giá hối đoái thực giữa Việt Nam và nước đối tác</w:t>
      </w:r>
    </w:p>
    <w:p w14:paraId="598C74D2" w14:textId="313F97E1"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Biến giả BORDER</w:t>
      </w:r>
      <w:r w:rsidR="00662A61" w:rsidRPr="00504452">
        <w:rPr>
          <w:rFonts w:ascii="Times New Roman" w:hAnsi="Times New Roman" w:cs="Times New Roman"/>
          <w:color w:val="000000"/>
          <w:lang w:val="vi-VN"/>
        </w:rPr>
        <w:t xml:space="preserve"> nhận giá trị:</w:t>
      </w:r>
      <w:r w:rsidRPr="00504452">
        <w:rPr>
          <w:rFonts w:ascii="Times New Roman" w:hAnsi="Times New Roman" w:cs="Times New Roman"/>
          <w:color w:val="000000"/>
        </w:rPr>
        <w:t xml:space="preserve"> BORDER=1 nếu quốc gia j có biên giới với Việt Nam và nhận giá trị 0 trong trường hợp quốc gia j không có đường biên giới với Việt Nam.</w:t>
      </w:r>
    </w:p>
    <w:p w14:paraId="7C6A7932" w14:textId="77777777" w:rsidR="00C94956" w:rsidRPr="00504452" w:rsidRDefault="00C94956"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lastRenderedPageBreak/>
        <w:t>Biến giả ASEAN: ASEAN=1 nếu quốc gia j là thành viên của ASEAN, nhận giá trị 0 trong trường hợp quốc gia j không phải là thành viên ASEAN.</w:t>
      </w:r>
    </w:p>
    <w:p w14:paraId="1BB87C5C" w14:textId="6277CFCD"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 xml:space="preserve">Biến giả AEC: </w:t>
      </w:r>
      <w:r w:rsidR="00E847E8" w:rsidRPr="00504452">
        <w:rPr>
          <w:rFonts w:ascii="Times New Roman" w:hAnsi="Times New Roman" w:cs="Times New Roman"/>
          <w:color w:val="000000"/>
        </w:rPr>
        <w:t>AEC là biến giả (dummy variable) đại diện cho việc thành lập Cộng đồng Kinh tế ASEAN, nhận giá trị bằng 1 cho các năm từ 2015 trở đi (t</w:t>
      </w:r>
      <w:r w:rsidR="00E847E8" w:rsidRPr="00504452">
        <w:rPr>
          <w:rFonts w:ascii="Times New Roman" w:hAnsi="Times New Roman" w:cs="Times New Roman"/>
          <w:color w:val="000000"/>
          <w:lang w:val="vi-VN"/>
        </w:rPr>
        <w:t>&gt;</w:t>
      </w:r>
      <w:r w:rsidR="00E847E8" w:rsidRPr="00504452">
        <w:rPr>
          <w:rFonts w:ascii="Times New Roman" w:hAnsi="Times New Roman" w:cs="Times New Roman"/>
          <w:color w:val="000000"/>
        </w:rPr>
        <w:t> 2015), và nhận giá trị bằng 0 cho các năm trước 2015 (t </w:t>
      </w:r>
      <w:r w:rsidR="00E847E8" w:rsidRPr="00504452">
        <w:rPr>
          <w:rFonts w:ascii="Times New Roman" w:hAnsi="Times New Roman" w:cs="Times New Roman"/>
          <w:color w:val="000000"/>
          <w:lang w:val="vi-VN"/>
        </w:rPr>
        <w:t>&lt;</w:t>
      </w:r>
      <w:r w:rsidR="00E847E8" w:rsidRPr="00504452">
        <w:rPr>
          <w:rFonts w:ascii="Times New Roman" w:hAnsi="Times New Roman" w:cs="Times New Roman"/>
          <w:color w:val="000000"/>
        </w:rPr>
        <w:t>2015)</w:t>
      </w:r>
      <w:r w:rsidR="00E847E8" w:rsidRPr="00504452">
        <w:rPr>
          <w:rFonts w:ascii="Times New Roman" w:hAnsi="Times New Roman" w:cs="Times New Roman"/>
          <w:color w:val="000000"/>
          <w:lang w:val="vi-VN"/>
        </w:rPr>
        <w:t xml:space="preserve">. </w:t>
      </w:r>
      <w:r w:rsidR="00662A61" w:rsidRPr="00504452">
        <w:rPr>
          <w:rFonts w:ascii="Times New Roman" w:hAnsi="Times New Roman" w:cs="Times New Roman"/>
          <w:color w:val="000000"/>
        </w:rPr>
        <w:t>Đây</w:t>
      </w:r>
      <w:r w:rsidR="00662A61" w:rsidRPr="00504452">
        <w:rPr>
          <w:rFonts w:ascii="Times New Roman" w:hAnsi="Times New Roman" w:cs="Times New Roman"/>
          <w:color w:val="000000"/>
          <w:lang w:val="vi-VN"/>
        </w:rPr>
        <w:t xml:space="preserve"> là cơ sở đo lường tạo lập và chuyển hướng thương mại của Việt Nam khi tham gia AEC.</w:t>
      </w:r>
    </w:p>
    <w:p w14:paraId="60FA0A6D" w14:textId="0D7C5960" w:rsidR="00C94956"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Biến giả JOINASEAN: Biến giả JOINASEAN=1 nếu thời gian t</w:t>
      </w:r>
      <w:r w:rsidR="00516F7C" w:rsidRPr="00504452">
        <w:rPr>
          <w:rFonts w:ascii="Times New Roman" w:hAnsi="Times New Roman" w:cs="Times New Roman"/>
          <w:color w:val="000000"/>
          <w:lang w:val="vi-VN"/>
        </w:rPr>
        <w:t xml:space="preserve"> quốc gia j là thành viên của ASEAN</w:t>
      </w:r>
      <w:r w:rsidRPr="00504452">
        <w:rPr>
          <w:rFonts w:ascii="Times New Roman" w:hAnsi="Times New Roman" w:cs="Times New Roman"/>
          <w:color w:val="000000"/>
        </w:rPr>
        <w:t xml:space="preserve"> và nhận giá trị 0 nếu thời gian t</w:t>
      </w:r>
      <w:r w:rsidR="00516F7C" w:rsidRPr="00504452">
        <w:rPr>
          <w:rFonts w:ascii="Times New Roman" w:hAnsi="Times New Roman" w:cs="Times New Roman"/>
          <w:color w:val="000000"/>
          <w:lang w:val="vi-VN"/>
        </w:rPr>
        <w:t xml:space="preserve"> quốc gia j chưa phải là thành viên ASEAN.</w:t>
      </w:r>
    </w:p>
    <w:p w14:paraId="32A30D6E" w14:textId="39ADC13E" w:rsidR="00C96E9B" w:rsidRPr="00504452" w:rsidRDefault="00C94956"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ε</w:t>
      </w:r>
      <w:r w:rsidRPr="00504452">
        <w:rPr>
          <w:rFonts w:ascii="Times New Roman" w:hAnsi="Times New Roman" w:cs="Times New Roman"/>
          <w:color w:val="000000"/>
          <w:vertAlign w:val="subscript"/>
        </w:rPr>
        <w:t>ijt</w:t>
      </w:r>
      <w:r w:rsidRPr="00504452">
        <w:rPr>
          <w:rFonts w:ascii="Times New Roman" w:hAnsi="Times New Roman" w:cs="Times New Roman"/>
          <w:color w:val="000000"/>
        </w:rPr>
        <w:t>: phần dư mô hình.</w:t>
      </w:r>
    </w:p>
    <w:p w14:paraId="1145BFE0" w14:textId="6F504D04" w:rsidR="003476A4" w:rsidRPr="00504452" w:rsidRDefault="003476A4" w:rsidP="00771F8E">
      <w:pPr>
        <w:spacing w:before="120" w:after="0" w:line="240" w:lineRule="auto"/>
        <w:ind w:firstLine="567"/>
        <w:jc w:val="both"/>
        <w:rPr>
          <w:rFonts w:ascii="Times New Roman" w:hAnsi="Times New Roman" w:cs="Times New Roman"/>
          <w:b/>
          <w:bCs/>
          <w:color w:val="000000"/>
        </w:rPr>
      </w:pPr>
      <w:r w:rsidRPr="00504452">
        <w:rPr>
          <w:rFonts w:ascii="Times New Roman" w:hAnsi="Times New Roman" w:cs="Times New Roman"/>
          <w:color w:val="000000"/>
        </w:rPr>
        <w:t xml:space="preserve">Trong nghiên cứu này, chuỗi số liệu về giá trị thương mại hàng năm được lấy từ cơ sở dữ liệu </w:t>
      </w:r>
      <w:r w:rsidR="004051B4" w:rsidRPr="00504452">
        <w:rPr>
          <w:rFonts w:ascii="Times New Roman" w:hAnsi="Times New Roman" w:cs="Times New Roman"/>
          <w:b/>
          <w:bCs/>
          <w:color w:val="000000"/>
        </w:rPr>
        <w:t>International Trade in Goods (by partner country) (IMTS)</w:t>
      </w:r>
      <w:r w:rsidR="004051B4" w:rsidRPr="00504452">
        <w:rPr>
          <w:rFonts w:ascii="Times New Roman" w:hAnsi="Times New Roman" w:cs="Times New Roman"/>
          <w:b/>
          <w:bCs/>
          <w:color w:val="000000"/>
          <w:lang w:val="vi-VN"/>
        </w:rPr>
        <w:t xml:space="preserve"> </w:t>
      </w:r>
      <w:r w:rsidRPr="00504452">
        <w:rPr>
          <w:rFonts w:ascii="Times New Roman" w:hAnsi="Times New Roman" w:cs="Times New Roman"/>
          <w:color w:val="000000"/>
        </w:rPr>
        <w:t xml:space="preserve">của </w:t>
      </w:r>
      <w:r w:rsidR="004051B4" w:rsidRPr="00504452">
        <w:rPr>
          <w:rFonts w:ascii="Times New Roman" w:hAnsi="Times New Roman" w:cs="Times New Roman"/>
          <w:color w:val="000000"/>
          <w:lang w:val="vi-VN"/>
        </w:rPr>
        <w:t>Q</w:t>
      </w:r>
      <w:r w:rsidRPr="00504452">
        <w:rPr>
          <w:rFonts w:ascii="Times New Roman" w:hAnsi="Times New Roman" w:cs="Times New Roman"/>
          <w:color w:val="000000"/>
        </w:rPr>
        <w:t xml:space="preserve">uỹ Tiền tệ quốc tế (IMF). Số liệu được tính theo giá USD hiện hành sẽ được chuyển sang giá trị thực tế căn cứ vào chỉ số </w:t>
      </w:r>
      <w:r w:rsidR="004051B4" w:rsidRPr="00504452">
        <w:rPr>
          <w:rFonts w:ascii="Times New Roman" w:hAnsi="Times New Roman" w:cs="Times New Roman"/>
          <w:color w:val="000000"/>
        </w:rPr>
        <w:t>đi</w:t>
      </w:r>
      <w:r w:rsidR="004051B4" w:rsidRPr="00504452">
        <w:rPr>
          <w:rFonts w:ascii="Times New Roman" w:hAnsi="Times New Roman" w:cs="Times New Roman"/>
          <w:color w:val="000000"/>
          <w:lang w:val="vi-VN"/>
        </w:rPr>
        <w:t>ề</w:t>
      </w:r>
      <w:r w:rsidR="004051B4" w:rsidRPr="00504452">
        <w:rPr>
          <w:rFonts w:ascii="Times New Roman" w:hAnsi="Times New Roman" w:cs="Times New Roman"/>
          <w:color w:val="000000"/>
        </w:rPr>
        <w:t>u</w:t>
      </w:r>
      <w:r w:rsidR="004051B4" w:rsidRPr="00504452">
        <w:rPr>
          <w:rFonts w:ascii="Times New Roman" w:hAnsi="Times New Roman" w:cs="Times New Roman"/>
          <w:color w:val="000000"/>
          <w:lang w:val="vi-VN"/>
        </w:rPr>
        <w:t xml:space="preserve"> chỉnh GDP của Hoa Kỳ</w:t>
      </w:r>
      <w:r w:rsidRPr="00504452">
        <w:rPr>
          <w:rFonts w:ascii="Times New Roman" w:hAnsi="Times New Roman" w:cs="Times New Roman"/>
          <w:color w:val="000000"/>
        </w:rPr>
        <w:t xml:space="preserve"> theo cơ sở dữ liệu Chỉ số phát triển thế giới (WDI) của Ngân hàng thế giới. </w:t>
      </w:r>
    </w:p>
    <w:p w14:paraId="3BDEAA19" w14:textId="62C373A4" w:rsidR="003476A4" w:rsidRPr="00504452" w:rsidRDefault="003476A4"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 xml:space="preserve">Khoảng cách </w:t>
      </w:r>
      <w:r w:rsidR="004051B4" w:rsidRPr="00504452">
        <w:rPr>
          <w:rFonts w:ascii="Times New Roman" w:hAnsi="Times New Roman" w:cs="Times New Roman"/>
          <w:color w:val="000000"/>
        </w:rPr>
        <w:t>dựa</w:t>
      </w:r>
      <w:r w:rsidR="004051B4" w:rsidRPr="00504452">
        <w:rPr>
          <w:rFonts w:ascii="Times New Roman" w:hAnsi="Times New Roman" w:cs="Times New Roman"/>
          <w:color w:val="000000"/>
          <w:lang w:val="vi-VN"/>
        </w:rPr>
        <w:t xml:space="preserve"> vào nguồn dữ liệu GeoDist của Trung tâm Nghiên cứu Dự báo và Thông tin Quốc tế (của Pháp) CEPII.</w:t>
      </w:r>
    </w:p>
    <w:p w14:paraId="7CACEE7A" w14:textId="1BF3F52F" w:rsidR="003476A4" w:rsidRPr="00504452" w:rsidRDefault="003476A4"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Số liệu về tỷ giá hối đoái danh nghĩa và số liệu chỉ số tiêu dùng CPI được lấy từ cơ sở dữ liệu International Financial Statistics (IFS) của Quỹ Tiền tệ quốc tế IMF.</w:t>
      </w:r>
    </w:p>
    <w:p w14:paraId="7AB9C62B" w14:textId="1B68C932" w:rsidR="0095403A" w:rsidRPr="00602578" w:rsidRDefault="0095403A" w:rsidP="00771F8E">
      <w:pPr>
        <w:spacing w:before="120" w:after="0" w:line="240" w:lineRule="auto"/>
        <w:ind w:firstLine="567"/>
        <w:jc w:val="both"/>
        <w:rPr>
          <w:rFonts w:ascii="Times New Roman" w:hAnsi="Times New Roman" w:cs="Times New Roman"/>
          <w:b/>
          <w:bCs/>
          <w:i/>
          <w:color w:val="000000"/>
          <w:lang w:val="vi-VN"/>
        </w:rPr>
      </w:pPr>
      <w:r w:rsidRPr="00602578">
        <w:rPr>
          <w:rFonts w:ascii="Times New Roman" w:hAnsi="Times New Roman" w:cs="Times New Roman"/>
          <w:b/>
          <w:bCs/>
          <w:i/>
          <w:color w:val="000000"/>
          <w:lang w:val="vi-VN"/>
        </w:rPr>
        <w:t>3.2. Mô tả dữ liệu và thực t</w:t>
      </w:r>
      <w:r w:rsidR="00E4379A" w:rsidRPr="00602578">
        <w:rPr>
          <w:rFonts w:ascii="Times New Roman" w:hAnsi="Times New Roman" w:cs="Times New Roman"/>
          <w:b/>
          <w:bCs/>
          <w:i/>
          <w:color w:val="000000"/>
          <w:lang w:val="vi-VN"/>
        </w:rPr>
        <w:t>rạng thương mại giữa Việt Nam và ASEAN</w:t>
      </w:r>
      <w:r w:rsidRPr="00602578">
        <w:rPr>
          <w:rFonts w:ascii="Times New Roman" w:hAnsi="Times New Roman" w:cs="Times New Roman"/>
          <w:b/>
          <w:bCs/>
          <w:i/>
          <w:color w:val="000000"/>
          <w:lang w:val="vi-VN"/>
        </w:rPr>
        <w:t xml:space="preserve"> </w:t>
      </w:r>
    </w:p>
    <w:p w14:paraId="49F095CF" w14:textId="64CDD9C8" w:rsidR="00F167DF" w:rsidRPr="00504452" w:rsidRDefault="0095403A" w:rsidP="00771F8E">
      <w:pPr>
        <w:spacing w:before="120" w:after="0" w:line="240" w:lineRule="auto"/>
        <w:ind w:firstLine="567"/>
        <w:jc w:val="both"/>
        <w:rPr>
          <w:rFonts w:ascii="Times New Roman" w:hAnsi="Times New Roman" w:cs="Times New Roman"/>
          <w:color w:val="000000"/>
        </w:rPr>
      </w:pPr>
      <w:r w:rsidRPr="00504452">
        <w:rPr>
          <w:rFonts w:ascii="Times New Roman" w:hAnsi="Times New Roman" w:cs="Times New Roman"/>
          <w:color w:val="000000"/>
        </w:rPr>
        <w:t xml:space="preserve">Nghiên cứu sử dụng mảng dữ liệu (Panel Data) bao gồm </w:t>
      </w:r>
      <w:r w:rsidRPr="00504452">
        <w:rPr>
          <w:rFonts w:ascii="Times New Roman" w:hAnsi="Times New Roman" w:cs="Times New Roman"/>
          <w:color w:val="000000"/>
          <w:lang w:val="vi-VN"/>
        </w:rPr>
        <w:t>9 nước ASEAN và 5</w:t>
      </w:r>
      <w:r w:rsidRPr="00504452">
        <w:rPr>
          <w:rFonts w:ascii="Times New Roman" w:hAnsi="Times New Roman" w:cs="Times New Roman"/>
          <w:color w:val="000000"/>
        </w:rPr>
        <w:t xml:space="preserve"> đối tác thương m</w:t>
      </w:r>
      <w:r w:rsidR="00211764" w:rsidRPr="00504452">
        <w:rPr>
          <w:rFonts w:ascii="Times New Roman" w:hAnsi="Times New Roman" w:cs="Times New Roman"/>
          <w:color w:val="000000"/>
        </w:rPr>
        <w:t>ại</w:t>
      </w:r>
      <w:r w:rsidRPr="00504452">
        <w:rPr>
          <w:rFonts w:ascii="Times New Roman" w:hAnsi="Times New Roman" w:cs="Times New Roman"/>
          <w:color w:val="000000"/>
        </w:rPr>
        <w:t xml:space="preserve"> của Việt Nam trong giai đoạn 35 năm liên tục từ </w:t>
      </w:r>
      <w:r w:rsidR="00725E79">
        <w:rPr>
          <w:rFonts w:ascii="Times New Roman" w:hAnsi="Times New Roman" w:cs="Times New Roman"/>
          <w:color w:val="000000"/>
        </w:rPr>
        <w:t xml:space="preserve">năm </w:t>
      </w:r>
      <w:r w:rsidRPr="00504452">
        <w:rPr>
          <w:rFonts w:ascii="Times New Roman" w:hAnsi="Times New Roman" w:cs="Times New Roman"/>
          <w:color w:val="000000"/>
        </w:rPr>
        <w:t xml:space="preserve">1990 đến </w:t>
      </w:r>
      <w:r w:rsidR="00725E79">
        <w:rPr>
          <w:rFonts w:ascii="Times New Roman" w:hAnsi="Times New Roman" w:cs="Times New Roman"/>
          <w:color w:val="000000"/>
        </w:rPr>
        <w:t xml:space="preserve">năm </w:t>
      </w:r>
      <w:r w:rsidRPr="00504452">
        <w:rPr>
          <w:rFonts w:ascii="Times New Roman" w:hAnsi="Times New Roman" w:cs="Times New Roman"/>
          <w:color w:val="000000"/>
        </w:rPr>
        <w:t xml:space="preserve">2024. Chi tiết về của các biến đưa vào mô hình được tổng hợp tại Bảng </w:t>
      </w:r>
      <w:r w:rsidR="00E4379A" w:rsidRPr="00504452">
        <w:rPr>
          <w:rFonts w:ascii="Times New Roman" w:hAnsi="Times New Roman" w:cs="Times New Roman"/>
          <w:color w:val="000000"/>
          <w:lang w:val="vi-VN"/>
        </w:rPr>
        <w:t>1</w:t>
      </w:r>
      <w:r w:rsidRPr="00504452">
        <w:rPr>
          <w:rFonts w:ascii="Times New Roman" w:hAnsi="Times New Roman" w:cs="Times New Roman"/>
          <w:color w:val="000000"/>
        </w:rPr>
        <w:t>.</w:t>
      </w:r>
    </w:p>
    <w:p w14:paraId="2F691616" w14:textId="4828CD2F" w:rsidR="0095403A" w:rsidRPr="00504452" w:rsidRDefault="0095403A" w:rsidP="00771F8E">
      <w:pPr>
        <w:spacing w:before="120"/>
        <w:jc w:val="center"/>
        <w:rPr>
          <w:rFonts w:ascii="Times New Roman" w:hAnsi="Times New Roman" w:cs="Times New Roman"/>
          <w:b/>
          <w:bCs/>
          <w:color w:val="000000"/>
          <w:lang w:val="vi-VN"/>
        </w:rPr>
      </w:pPr>
      <w:r w:rsidRPr="00504452">
        <w:rPr>
          <w:rFonts w:ascii="Times New Roman" w:hAnsi="Times New Roman" w:cs="Times New Roman"/>
          <w:b/>
          <w:bCs/>
          <w:i/>
          <w:iCs/>
          <w:color w:val="000000"/>
          <w:lang w:val="vi-VN"/>
        </w:rPr>
        <w:t>Bảng</w:t>
      </w:r>
      <w:r w:rsidR="00E4379A" w:rsidRPr="00504452">
        <w:rPr>
          <w:rFonts w:ascii="Times New Roman" w:hAnsi="Times New Roman" w:cs="Times New Roman"/>
          <w:b/>
          <w:bCs/>
          <w:i/>
          <w:iCs/>
          <w:color w:val="000000"/>
          <w:lang w:val="vi-VN"/>
        </w:rPr>
        <w:t xml:space="preserve"> 1</w:t>
      </w:r>
      <w:r w:rsidR="00CC462C">
        <w:rPr>
          <w:rFonts w:ascii="Times New Roman" w:hAnsi="Times New Roman" w:cs="Times New Roman"/>
          <w:b/>
          <w:bCs/>
          <w:i/>
          <w:iCs/>
          <w:color w:val="000000"/>
        </w:rPr>
        <w:t>.</w:t>
      </w:r>
      <w:r w:rsidRPr="00504452">
        <w:rPr>
          <w:rFonts w:ascii="Times New Roman" w:hAnsi="Times New Roman" w:cs="Times New Roman"/>
          <w:b/>
          <w:bCs/>
          <w:color w:val="000000"/>
          <w:lang w:val="vi-VN"/>
        </w:rPr>
        <w:t xml:space="preserve"> Thống kê mô tả các biến số trong mô hình (1990 - 2024)</w:t>
      </w:r>
    </w:p>
    <w:tbl>
      <w:tblPr>
        <w:tblW w:w="9066"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739"/>
        <w:gridCol w:w="1117"/>
        <w:gridCol w:w="790"/>
        <w:gridCol w:w="1166"/>
        <w:gridCol w:w="1290"/>
        <w:gridCol w:w="940"/>
        <w:gridCol w:w="1019"/>
        <w:gridCol w:w="1005"/>
      </w:tblGrid>
      <w:tr w:rsidR="0095403A" w:rsidRPr="00B5714C" w14:paraId="5C33DB44" w14:textId="77777777" w:rsidTr="00ED67AE">
        <w:trPr>
          <w:trHeight w:val="315"/>
        </w:trPr>
        <w:tc>
          <w:tcPr>
            <w:tcW w:w="0" w:type="auto"/>
            <w:tcBorders>
              <w:top w:val="single" w:sz="4" w:space="0" w:color="auto"/>
              <w:bottom w:val="single" w:sz="4" w:space="0" w:color="auto"/>
            </w:tcBorders>
            <w:tcMar>
              <w:top w:w="30" w:type="dxa"/>
              <w:left w:w="45" w:type="dxa"/>
              <w:bottom w:w="30" w:type="dxa"/>
              <w:right w:w="45" w:type="dxa"/>
            </w:tcMar>
            <w:vAlign w:val="bottom"/>
            <w:hideMark/>
          </w:tcPr>
          <w:p w14:paraId="6D81100C" w14:textId="77777777" w:rsidR="0095403A" w:rsidRPr="00B5714C" w:rsidRDefault="0095403A" w:rsidP="00771F8E">
            <w:pPr>
              <w:spacing w:before="120" w:after="0" w:line="240" w:lineRule="auto"/>
              <w:jc w:val="both"/>
              <w:rPr>
                <w:rFonts w:ascii="Times New Roman" w:hAnsi="Times New Roman" w:cs="Times New Roman"/>
                <w:b/>
                <w:bCs/>
                <w:color w:val="000000"/>
              </w:rPr>
            </w:pPr>
            <w:r w:rsidRPr="00B5714C">
              <w:rPr>
                <w:rFonts w:ascii="Times New Roman" w:hAnsi="Times New Roman" w:cs="Times New Roman"/>
                <w:b/>
                <w:bCs/>
                <w:color w:val="000000"/>
              </w:rPr>
              <w:t>Biến số</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0B519632" w14:textId="77777777" w:rsidR="0095403A" w:rsidRPr="00B5714C" w:rsidRDefault="0095403A" w:rsidP="00771F8E">
            <w:pPr>
              <w:spacing w:before="120" w:after="0" w:line="240" w:lineRule="auto"/>
              <w:jc w:val="both"/>
              <w:rPr>
                <w:rFonts w:ascii="Times New Roman" w:hAnsi="Times New Roman" w:cs="Times New Roman"/>
                <w:b/>
                <w:bCs/>
                <w:color w:val="000000"/>
              </w:rPr>
            </w:pPr>
            <w:r w:rsidRPr="00B5714C">
              <w:rPr>
                <w:rFonts w:ascii="Times New Roman" w:hAnsi="Times New Roman" w:cs="Times New Roman"/>
                <w:b/>
                <w:bCs/>
                <w:color w:val="000000"/>
              </w:rPr>
              <w:t>Ký hiệu</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3FBBD20" w14:textId="77777777" w:rsidR="0095403A" w:rsidRPr="00B5714C" w:rsidRDefault="0095403A" w:rsidP="00771F8E">
            <w:pPr>
              <w:spacing w:before="120" w:after="0" w:line="240" w:lineRule="auto"/>
              <w:jc w:val="both"/>
              <w:rPr>
                <w:rFonts w:ascii="Times New Roman" w:hAnsi="Times New Roman" w:cs="Times New Roman"/>
                <w:b/>
                <w:bCs/>
                <w:color w:val="000000"/>
              </w:rPr>
            </w:pPr>
            <w:r w:rsidRPr="00B5714C">
              <w:rPr>
                <w:rFonts w:ascii="Times New Roman" w:hAnsi="Times New Roman" w:cs="Times New Roman"/>
                <w:b/>
                <w:bCs/>
                <w:color w:val="000000"/>
              </w:rPr>
              <w:t>Số quan sát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7B9360F8" w14:textId="77777777" w:rsidR="0095403A" w:rsidRPr="00B5714C" w:rsidRDefault="0095403A" w:rsidP="00771F8E">
            <w:pPr>
              <w:spacing w:before="120" w:after="0" w:line="240" w:lineRule="auto"/>
              <w:jc w:val="both"/>
              <w:rPr>
                <w:rFonts w:ascii="Times New Roman" w:hAnsi="Times New Roman" w:cs="Times New Roman"/>
                <w:b/>
                <w:bCs/>
                <w:color w:val="000000"/>
              </w:rPr>
            </w:pPr>
            <w:r w:rsidRPr="00B5714C">
              <w:rPr>
                <w:rFonts w:ascii="Times New Roman" w:hAnsi="Times New Roman" w:cs="Times New Roman"/>
                <w:b/>
                <w:bCs/>
                <w:color w:val="000000"/>
              </w:rPr>
              <w:t>Trung bình (Mean)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5FFBFCF5" w14:textId="77777777" w:rsidR="0095403A" w:rsidRPr="00B5714C" w:rsidRDefault="0095403A" w:rsidP="00771F8E">
            <w:pPr>
              <w:spacing w:before="120" w:after="0" w:line="240" w:lineRule="auto"/>
              <w:rPr>
                <w:rFonts w:ascii="Times New Roman" w:hAnsi="Times New Roman" w:cs="Times New Roman"/>
                <w:b/>
                <w:bCs/>
                <w:color w:val="000000"/>
              </w:rPr>
            </w:pPr>
            <w:r w:rsidRPr="00B5714C">
              <w:rPr>
                <w:rFonts w:ascii="Times New Roman" w:hAnsi="Times New Roman" w:cs="Times New Roman"/>
                <w:b/>
                <w:bCs/>
                <w:color w:val="000000"/>
              </w:rPr>
              <w:t>Trung vị (Median)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61242E60" w14:textId="77777777" w:rsidR="0095403A" w:rsidRPr="00B5714C" w:rsidRDefault="0095403A" w:rsidP="00771F8E">
            <w:pPr>
              <w:spacing w:before="120" w:after="0" w:line="240" w:lineRule="auto"/>
              <w:rPr>
                <w:rFonts w:ascii="Times New Roman" w:hAnsi="Times New Roman" w:cs="Times New Roman"/>
                <w:b/>
                <w:bCs/>
                <w:color w:val="000000"/>
              </w:rPr>
            </w:pPr>
            <w:r w:rsidRPr="00B5714C">
              <w:rPr>
                <w:rFonts w:ascii="Times New Roman" w:hAnsi="Times New Roman" w:cs="Times New Roman"/>
                <w:b/>
                <w:bCs/>
                <w:color w:val="000000"/>
              </w:rPr>
              <w:t>Độ lệch chuẩn</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413FDE1" w14:textId="77777777" w:rsidR="0095403A" w:rsidRPr="00B5714C" w:rsidRDefault="0095403A" w:rsidP="00771F8E">
            <w:pPr>
              <w:spacing w:before="120" w:after="0" w:line="240" w:lineRule="auto"/>
              <w:rPr>
                <w:rFonts w:ascii="Times New Roman" w:hAnsi="Times New Roman" w:cs="Times New Roman"/>
                <w:b/>
                <w:bCs/>
                <w:color w:val="000000"/>
              </w:rPr>
            </w:pPr>
            <w:r w:rsidRPr="00B5714C">
              <w:rPr>
                <w:rFonts w:ascii="Times New Roman" w:hAnsi="Times New Roman" w:cs="Times New Roman"/>
                <w:b/>
                <w:bCs/>
                <w:color w:val="000000"/>
              </w:rPr>
              <w:t>Giá trị nhỏ nhất</w:t>
            </w:r>
          </w:p>
        </w:tc>
        <w:tc>
          <w:tcPr>
            <w:tcW w:w="0" w:type="auto"/>
            <w:tcBorders>
              <w:top w:val="single" w:sz="4" w:space="0" w:color="auto"/>
              <w:bottom w:val="single" w:sz="4" w:space="0" w:color="auto"/>
            </w:tcBorders>
            <w:tcMar>
              <w:top w:w="30" w:type="dxa"/>
              <w:left w:w="45" w:type="dxa"/>
              <w:bottom w:w="30" w:type="dxa"/>
              <w:right w:w="45" w:type="dxa"/>
            </w:tcMar>
            <w:vAlign w:val="bottom"/>
            <w:hideMark/>
          </w:tcPr>
          <w:p w14:paraId="4DFF74E2" w14:textId="77777777" w:rsidR="0095403A" w:rsidRPr="00B5714C" w:rsidRDefault="0095403A" w:rsidP="00771F8E">
            <w:pPr>
              <w:spacing w:before="120" w:after="0" w:line="240" w:lineRule="auto"/>
              <w:rPr>
                <w:rFonts w:ascii="Times New Roman" w:hAnsi="Times New Roman" w:cs="Times New Roman"/>
                <w:b/>
                <w:bCs/>
                <w:color w:val="000000"/>
              </w:rPr>
            </w:pPr>
            <w:r w:rsidRPr="00B5714C">
              <w:rPr>
                <w:rFonts w:ascii="Times New Roman" w:hAnsi="Times New Roman" w:cs="Times New Roman"/>
                <w:b/>
                <w:bCs/>
                <w:color w:val="000000"/>
              </w:rPr>
              <w:t>Giá trị lớn nhất</w:t>
            </w:r>
          </w:p>
        </w:tc>
      </w:tr>
      <w:tr w:rsidR="0095403A" w:rsidRPr="00B5714C" w14:paraId="03154DE0" w14:textId="77777777" w:rsidTr="00ED67AE">
        <w:trPr>
          <w:trHeight w:val="315"/>
        </w:trPr>
        <w:tc>
          <w:tcPr>
            <w:tcW w:w="0" w:type="auto"/>
            <w:tcBorders>
              <w:top w:val="single" w:sz="4" w:space="0" w:color="auto"/>
            </w:tcBorders>
            <w:tcMar>
              <w:top w:w="30" w:type="dxa"/>
              <w:left w:w="45" w:type="dxa"/>
              <w:bottom w:w="30" w:type="dxa"/>
              <w:right w:w="45" w:type="dxa"/>
            </w:tcMar>
            <w:vAlign w:val="bottom"/>
            <w:hideMark/>
          </w:tcPr>
          <w:p w14:paraId="4C6F9F63"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Kim ngạch thương mại song phương (log)</w:t>
            </w:r>
          </w:p>
        </w:tc>
        <w:tc>
          <w:tcPr>
            <w:tcW w:w="0" w:type="auto"/>
            <w:tcBorders>
              <w:top w:val="single" w:sz="4" w:space="0" w:color="auto"/>
            </w:tcBorders>
            <w:tcMar>
              <w:top w:w="30" w:type="dxa"/>
              <w:left w:w="45" w:type="dxa"/>
              <w:bottom w:w="30" w:type="dxa"/>
              <w:right w:w="45" w:type="dxa"/>
            </w:tcMar>
            <w:vAlign w:val="bottom"/>
            <w:hideMark/>
          </w:tcPr>
          <w:p w14:paraId="7142711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ln_trade</w:t>
            </w:r>
          </w:p>
        </w:tc>
        <w:tc>
          <w:tcPr>
            <w:tcW w:w="0" w:type="auto"/>
            <w:tcBorders>
              <w:top w:val="single" w:sz="4" w:space="0" w:color="auto"/>
            </w:tcBorders>
            <w:tcMar>
              <w:top w:w="30" w:type="dxa"/>
              <w:left w:w="45" w:type="dxa"/>
              <w:bottom w:w="30" w:type="dxa"/>
              <w:right w:w="45" w:type="dxa"/>
            </w:tcMar>
            <w:vAlign w:val="bottom"/>
            <w:hideMark/>
          </w:tcPr>
          <w:p w14:paraId="1CF8FD7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490</w:t>
            </w:r>
          </w:p>
        </w:tc>
        <w:tc>
          <w:tcPr>
            <w:tcW w:w="0" w:type="auto"/>
            <w:tcBorders>
              <w:top w:val="single" w:sz="4" w:space="0" w:color="auto"/>
            </w:tcBorders>
            <w:tcMar>
              <w:top w:w="30" w:type="dxa"/>
              <w:left w:w="45" w:type="dxa"/>
              <w:bottom w:w="30" w:type="dxa"/>
              <w:right w:w="45" w:type="dxa"/>
            </w:tcMar>
            <w:vAlign w:val="bottom"/>
            <w:hideMark/>
          </w:tcPr>
          <w:p w14:paraId="17214335" w14:textId="77777777" w:rsidR="0095403A" w:rsidRPr="00B5714C" w:rsidRDefault="0095403A" w:rsidP="00771F8E">
            <w:pPr>
              <w:spacing w:before="120" w:after="0" w:line="240" w:lineRule="auto"/>
              <w:jc w:val="both"/>
              <w:rPr>
                <w:rFonts w:ascii="Times New Roman" w:hAnsi="Times New Roman" w:cs="Times New Roman"/>
                <w:color w:val="000000"/>
                <w:lang w:val="vi-VN"/>
              </w:rPr>
            </w:pPr>
            <w:r w:rsidRPr="00B5714C">
              <w:rPr>
                <w:rFonts w:ascii="Times New Roman" w:hAnsi="Times New Roman" w:cs="Times New Roman"/>
                <w:color w:val="000000"/>
              </w:rPr>
              <w:t>7.4</w:t>
            </w:r>
            <w:r w:rsidRPr="00B5714C">
              <w:rPr>
                <w:rFonts w:ascii="Times New Roman" w:hAnsi="Times New Roman" w:cs="Times New Roman"/>
                <w:color w:val="000000"/>
                <w:lang w:val="vi-VN"/>
              </w:rPr>
              <w:t>49</w:t>
            </w:r>
          </w:p>
        </w:tc>
        <w:tc>
          <w:tcPr>
            <w:tcW w:w="0" w:type="auto"/>
            <w:tcBorders>
              <w:top w:val="single" w:sz="4" w:space="0" w:color="auto"/>
            </w:tcBorders>
            <w:tcMar>
              <w:top w:w="30" w:type="dxa"/>
              <w:left w:w="45" w:type="dxa"/>
              <w:bottom w:w="30" w:type="dxa"/>
              <w:right w:w="45" w:type="dxa"/>
            </w:tcMar>
            <w:vAlign w:val="bottom"/>
            <w:hideMark/>
          </w:tcPr>
          <w:p w14:paraId="721C14D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8.017</w:t>
            </w:r>
          </w:p>
        </w:tc>
        <w:tc>
          <w:tcPr>
            <w:tcW w:w="0" w:type="auto"/>
            <w:tcBorders>
              <w:top w:val="single" w:sz="4" w:space="0" w:color="auto"/>
            </w:tcBorders>
            <w:tcMar>
              <w:top w:w="30" w:type="dxa"/>
              <w:left w:w="45" w:type="dxa"/>
              <w:bottom w:w="30" w:type="dxa"/>
              <w:right w:w="45" w:type="dxa"/>
            </w:tcMar>
            <w:vAlign w:val="bottom"/>
            <w:hideMark/>
          </w:tcPr>
          <w:p w14:paraId="3A57FB48"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2.74</w:t>
            </w:r>
          </w:p>
        </w:tc>
        <w:tc>
          <w:tcPr>
            <w:tcW w:w="0" w:type="auto"/>
            <w:tcBorders>
              <w:top w:val="single" w:sz="4" w:space="0" w:color="auto"/>
            </w:tcBorders>
            <w:tcMar>
              <w:top w:w="30" w:type="dxa"/>
              <w:left w:w="45" w:type="dxa"/>
              <w:bottom w:w="30" w:type="dxa"/>
              <w:right w:w="45" w:type="dxa"/>
            </w:tcMar>
            <w:vAlign w:val="bottom"/>
            <w:hideMark/>
          </w:tcPr>
          <w:p w14:paraId="5C4FD325"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w:t>
            </w:r>
          </w:p>
        </w:tc>
        <w:tc>
          <w:tcPr>
            <w:tcW w:w="0" w:type="auto"/>
            <w:tcBorders>
              <w:top w:val="single" w:sz="4" w:space="0" w:color="auto"/>
            </w:tcBorders>
            <w:tcMar>
              <w:top w:w="30" w:type="dxa"/>
              <w:left w:w="45" w:type="dxa"/>
              <w:bottom w:w="30" w:type="dxa"/>
              <w:right w:w="45" w:type="dxa"/>
            </w:tcMar>
            <w:vAlign w:val="bottom"/>
            <w:hideMark/>
          </w:tcPr>
          <w:p w14:paraId="7D64120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12.073</w:t>
            </w:r>
          </w:p>
        </w:tc>
      </w:tr>
      <w:tr w:rsidR="0095403A" w:rsidRPr="00B5714C" w14:paraId="01C5C723" w14:textId="77777777" w:rsidTr="00ED67AE">
        <w:trPr>
          <w:trHeight w:val="315"/>
        </w:trPr>
        <w:tc>
          <w:tcPr>
            <w:tcW w:w="0" w:type="auto"/>
            <w:tcMar>
              <w:top w:w="30" w:type="dxa"/>
              <w:left w:w="45" w:type="dxa"/>
              <w:bottom w:w="30" w:type="dxa"/>
              <w:right w:w="45" w:type="dxa"/>
            </w:tcMar>
            <w:vAlign w:val="bottom"/>
            <w:hideMark/>
          </w:tcPr>
          <w:p w14:paraId="6359330F"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GDP quốc gia đối tác (log)</w:t>
            </w:r>
          </w:p>
        </w:tc>
        <w:tc>
          <w:tcPr>
            <w:tcW w:w="0" w:type="auto"/>
            <w:tcMar>
              <w:top w:w="30" w:type="dxa"/>
              <w:left w:w="45" w:type="dxa"/>
              <w:bottom w:w="30" w:type="dxa"/>
              <w:right w:w="45" w:type="dxa"/>
            </w:tcMar>
            <w:vAlign w:val="bottom"/>
            <w:hideMark/>
          </w:tcPr>
          <w:p w14:paraId="7008B87D"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ln_gdp_p</w:t>
            </w:r>
          </w:p>
        </w:tc>
        <w:tc>
          <w:tcPr>
            <w:tcW w:w="0" w:type="auto"/>
            <w:tcMar>
              <w:top w:w="30" w:type="dxa"/>
              <w:left w:w="45" w:type="dxa"/>
              <w:bottom w:w="30" w:type="dxa"/>
              <w:right w:w="45" w:type="dxa"/>
            </w:tcMar>
            <w:vAlign w:val="bottom"/>
            <w:hideMark/>
          </w:tcPr>
          <w:p w14:paraId="199A95CA"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490</w:t>
            </w:r>
          </w:p>
        </w:tc>
        <w:tc>
          <w:tcPr>
            <w:tcW w:w="0" w:type="auto"/>
            <w:tcMar>
              <w:top w:w="30" w:type="dxa"/>
              <w:left w:w="45" w:type="dxa"/>
              <w:bottom w:w="30" w:type="dxa"/>
              <w:right w:w="45" w:type="dxa"/>
            </w:tcMar>
            <w:vAlign w:val="bottom"/>
            <w:hideMark/>
          </w:tcPr>
          <w:p w14:paraId="5A711BF5"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12.717</w:t>
            </w:r>
          </w:p>
        </w:tc>
        <w:tc>
          <w:tcPr>
            <w:tcW w:w="0" w:type="auto"/>
            <w:tcMar>
              <w:top w:w="30" w:type="dxa"/>
              <w:left w:w="45" w:type="dxa"/>
              <w:bottom w:w="30" w:type="dxa"/>
              <w:right w:w="45" w:type="dxa"/>
            </w:tcMar>
            <w:vAlign w:val="bottom"/>
            <w:hideMark/>
          </w:tcPr>
          <w:p w14:paraId="404A5AF9"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12.709</w:t>
            </w:r>
          </w:p>
        </w:tc>
        <w:tc>
          <w:tcPr>
            <w:tcW w:w="0" w:type="auto"/>
            <w:tcMar>
              <w:top w:w="30" w:type="dxa"/>
              <w:left w:w="45" w:type="dxa"/>
              <w:bottom w:w="30" w:type="dxa"/>
              <w:right w:w="45" w:type="dxa"/>
            </w:tcMar>
            <w:vAlign w:val="bottom"/>
            <w:hideMark/>
          </w:tcPr>
          <w:p w14:paraId="7F90DB8B"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2.525</w:t>
            </w:r>
          </w:p>
        </w:tc>
        <w:tc>
          <w:tcPr>
            <w:tcW w:w="0" w:type="auto"/>
            <w:tcMar>
              <w:top w:w="30" w:type="dxa"/>
              <w:left w:w="45" w:type="dxa"/>
              <w:bottom w:w="30" w:type="dxa"/>
              <w:right w:w="45" w:type="dxa"/>
            </w:tcMar>
            <w:vAlign w:val="bottom"/>
            <w:hideMark/>
          </w:tcPr>
          <w:p w14:paraId="73436292"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7.914</w:t>
            </w:r>
          </w:p>
        </w:tc>
        <w:tc>
          <w:tcPr>
            <w:tcW w:w="0" w:type="auto"/>
            <w:tcMar>
              <w:top w:w="30" w:type="dxa"/>
              <w:left w:w="45" w:type="dxa"/>
              <w:bottom w:w="30" w:type="dxa"/>
              <w:right w:w="45" w:type="dxa"/>
            </w:tcMar>
            <w:vAlign w:val="bottom"/>
            <w:hideMark/>
          </w:tcPr>
          <w:p w14:paraId="7B297DA3"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16.932</w:t>
            </w:r>
          </w:p>
        </w:tc>
      </w:tr>
      <w:tr w:rsidR="0095403A" w:rsidRPr="00B5714C" w14:paraId="05E61ACE" w14:textId="77777777" w:rsidTr="00ED67AE">
        <w:trPr>
          <w:trHeight w:val="315"/>
        </w:trPr>
        <w:tc>
          <w:tcPr>
            <w:tcW w:w="0" w:type="auto"/>
            <w:tcMar>
              <w:top w:w="30" w:type="dxa"/>
              <w:left w:w="45" w:type="dxa"/>
              <w:bottom w:w="30" w:type="dxa"/>
              <w:right w:w="45" w:type="dxa"/>
            </w:tcMar>
            <w:vAlign w:val="bottom"/>
            <w:hideMark/>
          </w:tcPr>
          <w:p w14:paraId="1B753301"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GDP Việt Nam (log)</w:t>
            </w:r>
          </w:p>
        </w:tc>
        <w:tc>
          <w:tcPr>
            <w:tcW w:w="0" w:type="auto"/>
            <w:tcMar>
              <w:top w:w="30" w:type="dxa"/>
              <w:left w:w="45" w:type="dxa"/>
              <w:bottom w:w="30" w:type="dxa"/>
              <w:right w:w="45" w:type="dxa"/>
            </w:tcMar>
            <w:vAlign w:val="bottom"/>
            <w:hideMark/>
          </w:tcPr>
          <w:p w14:paraId="7A32640F"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ln_gdp_vn</w:t>
            </w:r>
          </w:p>
        </w:tc>
        <w:tc>
          <w:tcPr>
            <w:tcW w:w="0" w:type="auto"/>
            <w:tcMar>
              <w:top w:w="30" w:type="dxa"/>
              <w:left w:w="45" w:type="dxa"/>
              <w:bottom w:w="30" w:type="dxa"/>
              <w:right w:w="45" w:type="dxa"/>
            </w:tcMar>
            <w:vAlign w:val="bottom"/>
            <w:hideMark/>
          </w:tcPr>
          <w:p w14:paraId="7A359B37"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490</w:t>
            </w:r>
          </w:p>
        </w:tc>
        <w:tc>
          <w:tcPr>
            <w:tcW w:w="0" w:type="auto"/>
            <w:tcMar>
              <w:top w:w="30" w:type="dxa"/>
              <w:left w:w="45" w:type="dxa"/>
              <w:bottom w:w="30" w:type="dxa"/>
              <w:right w:w="45" w:type="dxa"/>
            </w:tcMar>
            <w:vAlign w:val="bottom"/>
            <w:hideMark/>
          </w:tcPr>
          <w:p w14:paraId="75909246"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11.873</w:t>
            </w:r>
          </w:p>
        </w:tc>
        <w:tc>
          <w:tcPr>
            <w:tcW w:w="0" w:type="auto"/>
            <w:tcMar>
              <w:top w:w="30" w:type="dxa"/>
              <w:left w:w="45" w:type="dxa"/>
              <w:bottom w:w="30" w:type="dxa"/>
              <w:right w:w="45" w:type="dxa"/>
            </w:tcMar>
            <w:vAlign w:val="bottom"/>
            <w:hideMark/>
          </w:tcPr>
          <w:p w14:paraId="46488D07"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11.916</w:t>
            </w:r>
          </w:p>
        </w:tc>
        <w:tc>
          <w:tcPr>
            <w:tcW w:w="0" w:type="auto"/>
            <w:tcMar>
              <w:top w:w="30" w:type="dxa"/>
              <w:left w:w="45" w:type="dxa"/>
              <w:bottom w:w="30" w:type="dxa"/>
              <w:right w:w="45" w:type="dxa"/>
            </w:tcMar>
            <w:vAlign w:val="bottom"/>
            <w:hideMark/>
          </w:tcPr>
          <w:p w14:paraId="68571A49"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0.647</w:t>
            </w:r>
          </w:p>
        </w:tc>
        <w:tc>
          <w:tcPr>
            <w:tcW w:w="0" w:type="auto"/>
            <w:tcMar>
              <w:top w:w="30" w:type="dxa"/>
              <w:left w:w="45" w:type="dxa"/>
              <w:bottom w:w="30" w:type="dxa"/>
              <w:right w:w="45" w:type="dxa"/>
            </w:tcMar>
            <w:vAlign w:val="bottom"/>
            <w:hideMark/>
          </w:tcPr>
          <w:p w14:paraId="70984D11"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10.716</w:t>
            </w:r>
          </w:p>
        </w:tc>
        <w:tc>
          <w:tcPr>
            <w:tcW w:w="0" w:type="auto"/>
            <w:tcMar>
              <w:top w:w="30" w:type="dxa"/>
              <w:left w:w="45" w:type="dxa"/>
              <w:bottom w:w="30" w:type="dxa"/>
              <w:right w:w="45" w:type="dxa"/>
            </w:tcMar>
            <w:vAlign w:val="bottom"/>
            <w:hideMark/>
          </w:tcPr>
          <w:p w14:paraId="1DD16A42"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12.913</w:t>
            </w:r>
          </w:p>
        </w:tc>
      </w:tr>
      <w:tr w:rsidR="0095403A" w:rsidRPr="00B5714C" w14:paraId="370602F3" w14:textId="77777777" w:rsidTr="00ED67AE">
        <w:trPr>
          <w:trHeight w:val="315"/>
        </w:trPr>
        <w:tc>
          <w:tcPr>
            <w:tcW w:w="0" w:type="auto"/>
            <w:tcMar>
              <w:top w:w="30" w:type="dxa"/>
              <w:left w:w="45" w:type="dxa"/>
              <w:bottom w:w="30" w:type="dxa"/>
              <w:right w:w="45" w:type="dxa"/>
            </w:tcMar>
            <w:vAlign w:val="bottom"/>
            <w:hideMark/>
          </w:tcPr>
          <w:p w14:paraId="679F067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Khoảng cách địa lý (log)</w:t>
            </w:r>
          </w:p>
        </w:tc>
        <w:tc>
          <w:tcPr>
            <w:tcW w:w="0" w:type="auto"/>
            <w:tcMar>
              <w:top w:w="30" w:type="dxa"/>
              <w:left w:w="45" w:type="dxa"/>
              <w:bottom w:w="30" w:type="dxa"/>
              <w:right w:w="45" w:type="dxa"/>
            </w:tcMar>
            <w:vAlign w:val="bottom"/>
            <w:hideMark/>
          </w:tcPr>
          <w:p w14:paraId="5AC89EF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ln_dist</w:t>
            </w:r>
          </w:p>
        </w:tc>
        <w:tc>
          <w:tcPr>
            <w:tcW w:w="0" w:type="auto"/>
            <w:tcMar>
              <w:top w:w="30" w:type="dxa"/>
              <w:left w:w="45" w:type="dxa"/>
              <w:bottom w:w="30" w:type="dxa"/>
              <w:right w:w="45" w:type="dxa"/>
            </w:tcMar>
            <w:vAlign w:val="bottom"/>
            <w:hideMark/>
          </w:tcPr>
          <w:p w14:paraId="5D87FE8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490</w:t>
            </w:r>
          </w:p>
        </w:tc>
        <w:tc>
          <w:tcPr>
            <w:tcW w:w="0" w:type="auto"/>
            <w:tcMar>
              <w:top w:w="30" w:type="dxa"/>
              <w:left w:w="45" w:type="dxa"/>
              <w:bottom w:w="30" w:type="dxa"/>
              <w:right w:w="45" w:type="dxa"/>
            </w:tcMar>
            <w:vAlign w:val="bottom"/>
            <w:hideMark/>
          </w:tcPr>
          <w:p w14:paraId="453BE70B"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7.62</w:t>
            </w:r>
          </w:p>
        </w:tc>
        <w:tc>
          <w:tcPr>
            <w:tcW w:w="0" w:type="auto"/>
            <w:tcMar>
              <w:top w:w="30" w:type="dxa"/>
              <w:left w:w="45" w:type="dxa"/>
              <w:bottom w:w="30" w:type="dxa"/>
              <w:right w:w="45" w:type="dxa"/>
            </w:tcMar>
            <w:vAlign w:val="bottom"/>
            <w:hideMark/>
          </w:tcPr>
          <w:p w14:paraId="261B69B7"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7.372</w:t>
            </w:r>
          </w:p>
        </w:tc>
        <w:tc>
          <w:tcPr>
            <w:tcW w:w="0" w:type="auto"/>
            <w:tcMar>
              <w:top w:w="30" w:type="dxa"/>
              <w:left w:w="45" w:type="dxa"/>
              <w:bottom w:w="30" w:type="dxa"/>
              <w:right w:w="45" w:type="dxa"/>
            </w:tcMar>
            <w:vAlign w:val="bottom"/>
            <w:hideMark/>
          </w:tcPr>
          <w:p w14:paraId="04B3475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0.887</w:t>
            </w:r>
          </w:p>
        </w:tc>
        <w:tc>
          <w:tcPr>
            <w:tcW w:w="0" w:type="auto"/>
            <w:tcMar>
              <w:top w:w="30" w:type="dxa"/>
              <w:left w:w="45" w:type="dxa"/>
              <w:bottom w:w="30" w:type="dxa"/>
              <w:right w:w="45" w:type="dxa"/>
            </w:tcMar>
            <w:vAlign w:val="bottom"/>
            <w:hideMark/>
          </w:tcPr>
          <w:p w14:paraId="6CC53889"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6.28</w:t>
            </w:r>
          </w:p>
        </w:tc>
        <w:tc>
          <w:tcPr>
            <w:tcW w:w="0" w:type="auto"/>
            <w:tcMar>
              <w:top w:w="30" w:type="dxa"/>
              <w:left w:w="45" w:type="dxa"/>
              <w:bottom w:w="30" w:type="dxa"/>
              <w:right w:w="45" w:type="dxa"/>
            </w:tcMar>
            <w:vAlign w:val="bottom"/>
            <w:hideMark/>
          </w:tcPr>
          <w:p w14:paraId="6516CEBD"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9.526</w:t>
            </w:r>
          </w:p>
        </w:tc>
      </w:tr>
      <w:tr w:rsidR="0095403A" w:rsidRPr="00B5714C" w14:paraId="33AB5B17" w14:textId="77777777" w:rsidTr="00ED67AE">
        <w:trPr>
          <w:trHeight w:val="315"/>
        </w:trPr>
        <w:tc>
          <w:tcPr>
            <w:tcW w:w="0" w:type="auto"/>
            <w:tcMar>
              <w:top w:w="30" w:type="dxa"/>
              <w:left w:w="45" w:type="dxa"/>
              <w:bottom w:w="30" w:type="dxa"/>
              <w:right w:w="45" w:type="dxa"/>
            </w:tcMar>
          </w:tcPr>
          <w:p w14:paraId="7CABF96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Tỷ giá thực song phương (log)</w:t>
            </w:r>
          </w:p>
        </w:tc>
        <w:tc>
          <w:tcPr>
            <w:tcW w:w="0" w:type="auto"/>
            <w:tcMar>
              <w:top w:w="30" w:type="dxa"/>
              <w:left w:w="45" w:type="dxa"/>
              <w:bottom w:w="30" w:type="dxa"/>
              <w:right w:w="45" w:type="dxa"/>
            </w:tcMar>
          </w:tcPr>
          <w:p w14:paraId="6C8B7EB7"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ln_rer</w:t>
            </w:r>
          </w:p>
        </w:tc>
        <w:tc>
          <w:tcPr>
            <w:tcW w:w="0" w:type="auto"/>
            <w:tcMar>
              <w:top w:w="30" w:type="dxa"/>
              <w:left w:w="45" w:type="dxa"/>
              <w:bottom w:w="30" w:type="dxa"/>
              <w:right w:w="45" w:type="dxa"/>
            </w:tcMar>
          </w:tcPr>
          <w:p w14:paraId="3E89296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411</w:t>
            </w:r>
          </w:p>
        </w:tc>
        <w:tc>
          <w:tcPr>
            <w:tcW w:w="0" w:type="auto"/>
            <w:tcMar>
              <w:top w:w="30" w:type="dxa"/>
              <w:left w:w="45" w:type="dxa"/>
              <w:bottom w:w="30" w:type="dxa"/>
              <w:right w:w="45" w:type="dxa"/>
            </w:tcMar>
          </w:tcPr>
          <w:p w14:paraId="2F05C55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5.974</w:t>
            </w:r>
          </w:p>
        </w:tc>
        <w:tc>
          <w:tcPr>
            <w:tcW w:w="0" w:type="auto"/>
            <w:tcMar>
              <w:top w:w="30" w:type="dxa"/>
              <w:left w:w="45" w:type="dxa"/>
              <w:bottom w:w="30" w:type="dxa"/>
              <w:right w:w="45" w:type="dxa"/>
            </w:tcMar>
          </w:tcPr>
          <w:p w14:paraId="0B7120B5"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color w:val="000000"/>
              </w:rPr>
              <w:t>544.11</w:t>
            </w:r>
          </w:p>
        </w:tc>
        <w:tc>
          <w:tcPr>
            <w:tcW w:w="0" w:type="auto"/>
            <w:tcMar>
              <w:top w:w="30" w:type="dxa"/>
              <w:left w:w="45" w:type="dxa"/>
              <w:bottom w:w="30" w:type="dxa"/>
              <w:right w:w="45" w:type="dxa"/>
            </w:tcMar>
          </w:tcPr>
          <w:p w14:paraId="0E0081C5"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3.389</w:t>
            </w:r>
          </w:p>
        </w:tc>
        <w:tc>
          <w:tcPr>
            <w:tcW w:w="0" w:type="auto"/>
            <w:tcMar>
              <w:top w:w="30" w:type="dxa"/>
              <w:left w:w="45" w:type="dxa"/>
              <w:bottom w:w="30" w:type="dxa"/>
              <w:right w:w="45" w:type="dxa"/>
            </w:tcMar>
          </w:tcPr>
          <w:p w14:paraId="447F1704"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-0.010</w:t>
            </w:r>
          </w:p>
        </w:tc>
        <w:tc>
          <w:tcPr>
            <w:tcW w:w="0" w:type="auto"/>
            <w:tcMar>
              <w:top w:w="30" w:type="dxa"/>
              <w:left w:w="45" w:type="dxa"/>
              <w:bottom w:w="30" w:type="dxa"/>
              <w:right w:w="45" w:type="dxa"/>
            </w:tcMar>
          </w:tcPr>
          <w:p w14:paraId="5AA2D3FC" w14:textId="77777777" w:rsidR="0095403A" w:rsidRPr="00B5714C" w:rsidRDefault="0095403A" w:rsidP="00771F8E">
            <w:pPr>
              <w:spacing w:before="120" w:after="0" w:line="240" w:lineRule="auto"/>
              <w:jc w:val="both"/>
              <w:rPr>
                <w:rFonts w:ascii="Times New Roman" w:hAnsi="Times New Roman" w:cs="Times New Roman"/>
                <w:color w:val="000000"/>
              </w:rPr>
            </w:pPr>
            <w:r w:rsidRPr="00B5714C">
              <w:rPr>
                <w:rFonts w:ascii="Times New Roman" w:hAnsi="Times New Roman" w:cs="Times New Roman"/>
              </w:rPr>
              <w:t>10.381</w:t>
            </w:r>
          </w:p>
        </w:tc>
      </w:tr>
    </w:tbl>
    <w:p w14:paraId="4FD25473" w14:textId="77777777" w:rsidR="0095403A" w:rsidRPr="00B5714C" w:rsidRDefault="0095403A" w:rsidP="00771F8E">
      <w:pPr>
        <w:spacing w:before="120"/>
        <w:jc w:val="center"/>
        <w:rPr>
          <w:rFonts w:ascii="Times New Roman" w:hAnsi="Times New Roman" w:cs="Times New Roman"/>
          <w:i/>
          <w:iCs/>
          <w:color w:val="000000"/>
          <w:sz w:val="28"/>
          <w:szCs w:val="28"/>
          <w:lang w:val="vi-VN"/>
        </w:rPr>
      </w:pPr>
      <w:r w:rsidRPr="00B5714C">
        <w:rPr>
          <w:rFonts w:ascii="Times New Roman" w:hAnsi="Times New Roman" w:cs="Times New Roman"/>
          <w:i/>
          <w:iCs/>
          <w:color w:val="000000"/>
          <w:sz w:val="28"/>
          <w:szCs w:val="28"/>
        </w:rPr>
        <w:t>Nguồn: Tính toán của tác giả</w:t>
      </w:r>
      <w:r w:rsidRPr="00B5714C">
        <w:rPr>
          <w:rFonts w:ascii="Times New Roman" w:hAnsi="Times New Roman" w:cs="Times New Roman"/>
          <w:i/>
          <w:iCs/>
          <w:color w:val="000000"/>
          <w:sz w:val="28"/>
          <w:szCs w:val="28"/>
          <w:lang w:val="vi-VN"/>
        </w:rPr>
        <w:t xml:space="preserve"> bằng phần mềm Stata</w:t>
      </w:r>
    </w:p>
    <w:p w14:paraId="17F4ED25" w14:textId="77777777" w:rsidR="00B5714C" w:rsidRPr="00504452" w:rsidRDefault="00CC50E3"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Từ các thống kê mô tả và các mô hình thương mại được trình bày ở trên, có thể rút ra một số </w:t>
      </w:r>
      <w:r w:rsidR="00211764" w:rsidRPr="00504452">
        <w:rPr>
          <w:rFonts w:ascii="Times New Roman" w:hAnsi="Times New Roman" w:cs="Times New Roman"/>
          <w:color w:val="000000"/>
        </w:rPr>
        <w:t>thực</w:t>
      </w:r>
      <w:r w:rsidR="00211764" w:rsidRPr="00504452">
        <w:rPr>
          <w:rFonts w:ascii="Times New Roman" w:hAnsi="Times New Roman" w:cs="Times New Roman"/>
          <w:color w:val="000000"/>
          <w:lang w:val="vi-VN"/>
        </w:rPr>
        <w:t xml:space="preserve"> trạng</w:t>
      </w:r>
      <w:r w:rsidRPr="00504452">
        <w:rPr>
          <w:rFonts w:ascii="Times New Roman" w:hAnsi="Times New Roman" w:cs="Times New Roman"/>
          <w:color w:val="000000"/>
        </w:rPr>
        <w:t> về thương mại hàng hóa giữa</w:t>
      </w:r>
      <w:r w:rsidRPr="00504452">
        <w:rPr>
          <w:rFonts w:ascii="Times New Roman" w:hAnsi="Times New Roman" w:cs="Times New Roman"/>
          <w:color w:val="000000"/>
          <w:lang w:val="vi-VN"/>
        </w:rPr>
        <w:t xml:space="preserve"> Việt Nam và các nước thành viên </w:t>
      </w:r>
      <w:r w:rsidRPr="00504452">
        <w:rPr>
          <w:rFonts w:ascii="Times New Roman" w:hAnsi="Times New Roman" w:cs="Times New Roman"/>
          <w:color w:val="000000"/>
        </w:rPr>
        <w:t>ASEAN</w:t>
      </w:r>
      <w:r w:rsidRPr="00504452">
        <w:rPr>
          <w:rFonts w:ascii="Times New Roman" w:hAnsi="Times New Roman" w:cs="Times New Roman"/>
          <w:color w:val="000000"/>
          <w:lang w:val="vi-VN"/>
        </w:rPr>
        <w:t xml:space="preserve"> để làm cơ sở cho các phân tích tiếp theo. </w:t>
      </w:r>
      <w:bookmarkStart w:id="0" w:name="OLE_LINK2"/>
    </w:p>
    <w:p w14:paraId="7EA88EE4" w14:textId="605463C2" w:rsidR="00AE31D9" w:rsidRPr="00504452" w:rsidRDefault="00AE31D9"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lastRenderedPageBreak/>
        <w:t xml:space="preserve">Kể từ khi Đổi mới, xuất nhập khẩu đã trở thành động lực tăng trưởng mũi nhọn của Việt Nam. Trong </w:t>
      </w:r>
      <w:r w:rsidR="00CC462C">
        <w:rPr>
          <w:rFonts w:ascii="Times New Roman" w:hAnsi="Times New Roman" w:cs="Times New Roman"/>
          <w:color w:val="000000"/>
        </w:rPr>
        <w:t>3</w:t>
      </w:r>
      <w:r w:rsidRPr="00504452">
        <w:rPr>
          <w:rFonts w:ascii="Times New Roman" w:hAnsi="Times New Roman" w:cs="Times New Roman"/>
          <w:color w:val="000000"/>
        </w:rPr>
        <w:t xml:space="preserve"> thập kỷ (1990-2020), kim ngạch xuất, nhập khẩu tăng trưởng vô cùng ấn tượng (bình quân 17,57%/năm và 16,83%/năm), vượt xa tốc độ tăng GDP (7%).</w:t>
      </w:r>
      <w:r w:rsidR="00B5714C" w:rsidRPr="00504452">
        <w:rPr>
          <w:rFonts w:ascii="Times New Roman" w:hAnsi="Times New Roman" w:cs="Times New Roman"/>
          <w:color w:val="000000"/>
          <w:lang w:val="vi-VN"/>
        </w:rPr>
        <w:t xml:space="preserve"> </w:t>
      </w:r>
      <w:r w:rsidRPr="00504452">
        <w:rPr>
          <w:rFonts w:ascii="Times New Roman" w:hAnsi="Times New Roman" w:cs="Times New Roman"/>
          <w:color w:val="000000"/>
        </w:rPr>
        <w:t>Trong đó, ASEAN luôn là thị trường trọng điểm từ khi Việt Nam gia nhập (1995):</w:t>
      </w:r>
      <w:r w:rsidR="00CC462C">
        <w:rPr>
          <w:rFonts w:ascii="Times New Roman" w:hAnsi="Times New Roman" w:cs="Times New Roman"/>
          <w:color w:val="000000"/>
        </w:rPr>
        <w:t xml:space="preserve"> (Biểu đồ 1)</w:t>
      </w:r>
    </w:p>
    <w:p w14:paraId="237EAC5A" w14:textId="77777777" w:rsidR="00AE31D9" w:rsidRPr="00504452" w:rsidRDefault="00AE31D9"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Về quy mô và tỷ trọng:</w:t>
      </w:r>
      <w:r w:rsidRPr="00504452">
        <w:rPr>
          <w:rFonts w:ascii="Times New Roman" w:hAnsi="Times New Roman" w:cs="Times New Roman"/>
          <w:color w:val="000000"/>
        </w:rPr>
        <w:t> Trước năm 2000, xuất khẩu sang ASEAN chiếm khoảng 20% tổng kim ngạch. Mặc dù giá trị xuất khẩu tuyệt đối vẫn liên tục tăng, nhưng xét về tỷ trọng thì đang có xu hướng giảm dần, chỉ còn 8,2% vào năm 2020. Sự sụt giảm tỷ trọng này không làm mất đi vai trò của ASEAN, mà là kết quả tất yếu của chiến lược đa dạng hóa thị trường sang Hoa Kỳ, EU và Trung Quốc.</w:t>
      </w:r>
    </w:p>
    <w:p w14:paraId="1AF5DC4F" w14:textId="2083E198" w:rsidR="002762B4" w:rsidRPr="00504452" w:rsidRDefault="00AE31D9"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Về cơ cấu đối tác:</w:t>
      </w:r>
      <w:r w:rsidRPr="00504452">
        <w:rPr>
          <w:rFonts w:ascii="Times New Roman" w:hAnsi="Times New Roman" w:cs="Times New Roman"/>
          <w:color w:val="000000"/>
        </w:rPr>
        <w:t xml:space="preserve"> Trong giai đoạn 1995-2012, Singapore là thị trường xuất khẩu chính của Việt Nam (chủ yếu để tái xuất). Tuy nhiên, từ năm 2015, Thái Lan và Malaysia đã bứt phá trở thành </w:t>
      </w:r>
      <w:r w:rsidR="00CC462C">
        <w:rPr>
          <w:rFonts w:ascii="Times New Roman" w:hAnsi="Times New Roman" w:cs="Times New Roman"/>
          <w:color w:val="000000"/>
        </w:rPr>
        <w:t>2</w:t>
      </w:r>
      <w:r w:rsidRPr="00504452">
        <w:rPr>
          <w:rFonts w:ascii="Times New Roman" w:hAnsi="Times New Roman" w:cs="Times New Roman"/>
          <w:color w:val="000000"/>
        </w:rPr>
        <w:t xml:space="preserve"> thị trường xuất khẩu lớn nhất trong nội khối ASEAN.</w:t>
      </w:r>
    </w:p>
    <w:p w14:paraId="3EBB75AC" w14:textId="530FA9E7" w:rsidR="00CC50E3" w:rsidRPr="00504452" w:rsidRDefault="00CC50E3" w:rsidP="00771F8E">
      <w:pPr>
        <w:spacing w:before="120" w:after="0" w:line="240" w:lineRule="auto"/>
        <w:jc w:val="both"/>
        <w:rPr>
          <w:rFonts w:ascii="Times New Roman" w:hAnsi="Times New Roman" w:cs="Times New Roman"/>
          <w:b/>
          <w:bCs/>
          <w:color w:val="000000"/>
          <w:lang w:val="vi-VN"/>
        </w:rPr>
      </w:pPr>
      <w:r w:rsidRPr="00504452">
        <w:rPr>
          <w:rFonts w:ascii="Times New Roman" w:hAnsi="Times New Roman" w:cs="Times New Roman"/>
          <w:b/>
          <w:bCs/>
          <w:color w:val="000000"/>
        </w:rPr>
        <w:t xml:space="preserve">Biểu đồ </w:t>
      </w:r>
      <w:r w:rsidRPr="00504452">
        <w:rPr>
          <w:rFonts w:ascii="Times New Roman" w:hAnsi="Times New Roman" w:cs="Times New Roman"/>
          <w:b/>
          <w:bCs/>
          <w:color w:val="000000"/>
          <w:lang w:val="vi-VN"/>
        </w:rPr>
        <w:t>1</w:t>
      </w:r>
      <w:r w:rsidRPr="00504452">
        <w:rPr>
          <w:rFonts w:ascii="Times New Roman" w:hAnsi="Times New Roman" w:cs="Times New Roman"/>
          <w:b/>
          <w:bCs/>
          <w:color w:val="000000"/>
        </w:rPr>
        <w:t>. Kim ngạch và tốc độ tăng trưởng xuất khẩu của Việt Nam- ASEAN giai đoạn 1990-202</w:t>
      </w:r>
      <w:r w:rsidRPr="00504452">
        <w:rPr>
          <w:rFonts w:ascii="Times New Roman" w:hAnsi="Times New Roman" w:cs="Times New Roman"/>
          <w:b/>
          <w:bCs/>
          <w:color w:val="000000"/>
          <w:lang w:val="vi-VN"/>
        </w:rPr>
        <w:t>4</w:t>
      </w:r>
    </w:p>
    <w:p w14:paraId="389E24C5" w14:textId="77777777" w:rsidR="00CC50E3" w:rsidRPr="00504452" w:rsidRDefault="00CC50E3" w:rsidP="00771F8E">
      <w:pPr>
        <w:spacing w:before="120" w:after="120"/>
        <w:ind w:firstLine="567"/>
        <w:jc w:val="right"/>
        <w:rPr>
          <w:rFonts w:ascii="Times New Roman" w:hAnsi="Times New Roman" w:cs="Times New Roman"/>
          <w:i/>
          <w:iCs/>
          <w:color w:val="000000"/>
        </w:rPr>
      </w:pPr>
      <w:r w:rsidRPr="00504452">
        <w:rPr>
          <w:rFonts w:ascii="Times New Roman" w:hAnsi="Times New Roman" w:cs="Times New Roman"/>
          <w:i/>
          <w:iCs/>
          <w:color w:val="000000"/>
        </w:rPr>
        <w:t>Đơn vị: triệu USD và %</w:t>
      </w:r>
    </w:p>
    <w:p w14:paraId="25F578E1" w14:textId="41ECE4DC" w:rsidR="00CC50E3" w:rsidRPr="00B5714C" w:rsidRDefault="002962B2" w:rsidP="00771F8E">
      <w:pPr>
        <w:spacing w:before="120" w:after="120"/>
        <w:ind w:firstLine="567"/>
        <w:jc w:val="both"/>
        <w:rPr>
          <w:rFonts w:ascii="Times New Roman" w:hAnsi="Times New Roman" w:cs="Times New Roman"/>
          <w:bCs/>
          <w:i/>
          <w:color w:val="000000"/>
          <w:sz w:val="28"/>
          <w:szCs w:val="28"/>
        </w:rPr>
      </w:pPr>
      <w:r w:rsidRPr="00B5714C">
        <w:rPr>
          <w:rFonts w:ascii="Times New Roman" w:hAnsi="Times New Roman" w:cs="Times New Roman"/>
          <w:bCs/>
          <w:i/>
          <w:noProof/>
          <w:color w:val="000000"/>
          <w:sz w:val="28"/>
          <w:szCs w:val="28"/>
        </w:rPr>
        <w:drawing>
          <wp:inline distT="0" distB="0" distL="0" distR="0" wp14:anchorId="3814B6C5" wp14:editId="5C0AC9ED">
            <wp:extent cx="5756910" cy="3022600"/>
            <wp:effectExtent l="0" t="0" r="0" b="0"/>
            <wp:docPr id="371115190" name="Picture 1" descr="A graph of different colored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15190" name="Picture 1" descr="A graph of different colored lines and numbe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6910" cy="3022600"/>
                    </a:xfrm>
                    <a:prstGeom prst="rect">
                      <a:avLst/>
                    </a:prstGeom>
                  </pic:spPr>
                </pic:pic>
              </a:graphicData>
            </a:graphic>
          </wp:inline>
        </w:drawing>
      </w:r>
    </w:p>
    <w:p w14:paraId="552B0503" w14:textId="7E724F12" w:rsidR="00CC50E3" w:rsidRPr="00B5714C" w:rsidRDefault="00CC50E3" w:rsidP="00771F8E">
      <w:pPr>
        <w:spacing w:before="120" w:after="0" w:line="240" w:lineRule="auto"/>
        <w:jc w:val="both"/>
        <w:rPr>
          <w:rFonts w:ascii="Times New Roman" w:hAnsi="Times New Roman" w:cs="Times New Roman"/>
          <w:b/>
          <w:bCs/>
          <w:i/>
          <w:iCs/>
          <w:color w:val="000000"/>
          <w:sz w:val="28"/>
          <w:szCs w:val="28"/>
        </w:rPr>
      </w:pPr>
      <w:r w:rsidRPr="00B5714C">
        <w:rPr>
          <w:rFonts w:ascii="Times New Roman" w:hAnsi="Times New Roman" w:cs="Times New Roman"/>
          <w:i/>
          <w:iCs/>
          <w:color w:val="000000"/>
          <w:sz w:val="28"/>
          <w:szCs w:val="28"/>
        </w:rPr>
        <w:t xml:space="preserve">Nguồn: </w:t>
      </w:r>
      <w:r w:rsidR="00CC462C">
        <w:rPr>
          <w:rFonts w:ascii="Times New Roman" w:hAnsi="Times New Roman" w:cs="Times New Roman"/>
          <w:i/>
          <w:iCs/>
          <w:color w:val="000000"/>
          <w:sz w:val="28"/>
          <w:szCs w:val="28"/>
        </w:rPr>
        <w:t>T</w:t>
      </w:r>
      <w:r w:rsidRPr="00B5714C">
        <w:rPr>
          <w:rFonts w:ascii="Times New Roman" w:hAnsi="Times New Roman" w:cs="Times New Roman"/>
          <w:i/>
          <w:iCs/>
          <w:color w:val="000000"/>
          <w:sz w:val="28"/>
          <w:szCs w:val="28"/>
        </w:rPr>
        <w:t>ính toán từ số liệu từ</w:t>
      </w:r>
      <w:r w:rsidR="002762B4" w:rsidRPr="00B5714C">
        <w:rPr>
          <w:rFonts w:ascii="Times New Roman" w:hAnsi="Times New Roman" w:cs="Times New Roman"/>
          <w:i/>
          <w:iCs/>
          <w:color w:val="000000"/>
          <w:sz w:val="28"/>
          <w:szCs w:val="28"/>
          <w:lang w:val="vi-VN"/>
        </w:rPr>
        <w:t xml:space="preserve"> cơ sở dữ liệu</w:t>
      </w:r>
      <w:r w:rsidRPr="00B5714C">
        <w:rPr>
          <w:rFonts w:ascii="Times New Roman" w:hAnsi="Times New Roman" w:cs="Times New Roman"/>
          <w:i/>
          <w:iCs/>
          <w:color w:val="000000"/>
          <w:sz w:val="28"/>
          <w:szCs w:val="28"/>
        </w:rPr>
        <w:t xml:space="preserve"> </w:t>
      </w:r>
      <w:r w:rsidR="002762B4" w:rsidRPr="00B5714C">
        <w:rPr>
          <w:rFonts w:ascii="Times New Roman" w:hAnsi="Times New Roman" w:cs="Times New Roman"/>
          <w:i/>
          <w:iCs/>
          <w:color w:val="000000"/>
          <w:sz w:val="28"/>
          <w:szCs w:val="28"/>
        </w:rPr>
        <w:t>International Trade in Goods (by partner country)</w:t>
      </w:r>
      <w:r w:rsidR="002762B4" w:rsidRPr="00B5714C">
        <w:rPr>
          <w:rFonts w:ascii="Times New Roman" w:hAnsi="Times New Roman" w:cs="Times New Roman"/>
          <w:b/>
          <w:bCs/>
          <w:i/>
          <w:iCs/>
          <w:color w:val="000000"/>
          <w:sz w:val="28"/>
          <w:szCs w:val="28"/>
        </w:rPr>
        <w:t> </w:t>
      </w:r>
      <w:r w:rsidRPr="00B5714C">
        <w:rPr>
          <w:rFonts w:ascii="Times New Roman" w:hAnsi="Times New Roman" w:cs="Times New Roman"/>
          <w:i/>
          <w:iCs/>
          <w:color w:val="000000"/>
          <w:sz w:val="28"/>
          <w:szCs w:val="28"/>
        </w:rPr>
        <w:t>(Quỹ Tiền tệ quốc tế, 202</w:t>
      </w:r>
      <w:r w:rsidRPr="00B5714C">
        <w:rPr>
          <w:rFonts w:ascii="Times New Roman" w:hAnsi="Times New Roman" w:cs="Times New Roman"/>
          <w:i/>
          <w:iCs/>
          <w:color w:val="000000"/>
          <w:sz w:val="28"/>
          <w:szCs w:val="28"/>
          <w:lang w:val="vi-VN"/>
        </w:rPr>
        <w:t>5</w:t>
      </w:r>
      <w:r w:rsidRPr="00B5714C">
        <w:rPr>
          <w:rFonts w:ascii="Times New Roman" w:hAnsi="Times New Roman" w:cs="Times New Roman"/>
          <w:i/>
          <w:iCs/>
          <w:color w:val="000000"/>
          <w:sz w:val="28"/>
          <w:szCs w:val="28"/>
        </w:rPr>
        <w:t>).</w:t>
      </w:r>
    </w:p>
    <w:p w14:paraId="59DADDB4" w14:textId="1E4A7C58" w:rsidR="00AE31D9" w:rsidRPr="00B5714C" w:rsidRDefault="00CC50E3" w:rsidP="00771F8E">
      <w:pPr>
        <w:spacing w:before="120" w:after="0" w:line="240" w:lineRule="auto"/>
        <w:ind w:firstLine="567"/>
        <w:jc w:val="both"/>
        <w:rPr>
          <w:rFonts w:ascii="Times New Roman" w:hAnsi="Times New Roman" w:cs="Times New Roman"/>
          <w:color w:val="000000"/>
          <w:sz w:val="28"/>
          <w:szCs w:val="28"/>
        </w:rPr>
      </w:pPr>
      <w:bookmarkStart w:id="1" w:name="OLE_LINK3"/>
      <w:bookmarkEnd w:id="0"/>
      <w:r w:rsidRPr="00B5714C">
        <w:rPr>
          <w:rFonts w:ascii="Times New Roman" w:hAnsi="Times New Roman" w:cs="Times New Roman"/>
          <w:color w:val="000000"/>
          <w:sz w:val="28"/>
          <w:szCs w:val="28"/>
        </w:rPr>
        <w:t xml:space="preserve">  </w:t>
      </w:r>
      <w:bookmarkEnd w:id="1"/>
      <w:r w:rsidR="00AE31D9" w:rsidRPr="00B5714C">
        <w:rPr>
          <w:rFonts w:ascii="Times New Roman" w:hAnsi="Times New Roman" w:cs="Times New Roman"/>
          <w:b/>
          <w:bCs/>
          <w:color w:val="000000"/>
          <w:sz w:val="28"/>
          <w:szCs w:val="28"/>
        </w:rPr>
        <w:t xml:space="preserve">  </w:t>
      </w:r>
      <w:r w:rsidR="00AE31D9" w:rsidRPr="00602578">
        <w:rPr>
          <w:rFonts w:ascii="Times New Roman" w:hAnsi="Times New Roman" w:cs="Times New Roman"/>
          <w:bCs/>
          <w:i/>
          <w:color w:val="000000"/>
          <w:sz w:val="28"/>
          <w:szCs w:val="28"/>
        </w:rPr>
        <w:t>Về quy mô nhập khẩu:</w:t>
      </w:r>
      <w:r w:rsidR="00AE31D9" w:rsidRPr="00B5714C">
        <w:rPr>
          <w:rFonts w:ascii="Times New Roman" w:hAnsi="Times New Roman" w:cs="Times New Roman"/>
          <w:b/>
          <w:bCs/>
          <w:color w:val="000000"/>
          <w:sz w:val="28"/>
          <w:szCs w:val="28"/>
        </w:rPr>
        <w:t> </w:t>
      </w:r>
      <w:r w:rsidR="00AE31D9" w:rsidRPr="00B5714C">
        <w:rPr>
          <w:rFonts w:ascii="Times New Roman" w:hAnsi="Times New Roman" w:cs="Times New Roman"/>
          <w:color w:val="000000"/>
          <w:sz w:val="28"/>
          <w:szCs w:val="28"/>
        </w:rPr>
        <w:t>Trong hơn 30 năm, nhập khẩu từ ASEAN duy trì mức tăng bình quân 15%/năm (chiếm trung bình 22,7% tổng kim ngạch). Tuy nhiên, từ năm 2011, tốc độ này chững lại (chỉ còn 4% vào năm 2020), diễn</w:t>
      </w:r>
      <w:r w:rsidR="00AE31D9" w:rsidRPr="00B5714C">
        <w:rPr>
          <w:rFonts w:ascii="Times New Roman" w:hAnsi="Times New Roman" w:cs="Times New Roman"/>
          <w:color w:val="000000"/>
          <w:sz w:val="28"/>
          <w:szCs w:val="28"/>
          <w:lang w:val="vi-VN"/>
        </w:rPr>
        <w:t xml:space="preserve"> biến ngược</w:t>
      </w:r>
      <w:r w:rsidR="00AE31D9" w:rsidRPr="00B5714C">
        <w:rPr>
          <w:rFonts w:ascii="Times New Roman" w:hAnsi="Times New Roman" w:cs="Times New Roman"/>
          <w:color w:val="000000"/>
          <w:sz w:val="28"/>
          <w:szCs w:val="28"/>
        </w:rPr>
        <w:t xml:space="preserve"> chiều với sự gia tăng nhập khẩu từ Trung Quốc.</w:t>
      </w:r>
    </w:p>
    <w:p w14:paraId="3C782299" w14:textId="025050FE" w:rsidR="00AE31D9" w:rsidRPr="00B5714C" w:rsidRDefault="00AE31D9" w:rsidP="00771F8E">
      <w:pPr>
        <w:spacing w:before="120" w:after="0" w:line="240" w:lineRule="auto"/>
        <w:ind w:firstLine="567"/>
        <w:jc w:val="both"/>
        <w:rPr>
          <w:rFonts w:ascii="Times New Roman" w:hAnsi="Times New Roman" w:cs="Times New Roman"/>
          <w:color w:val="000000"/>
          <w:sz w:val="28"/>
          <w:szCs w:val="28"/>
        </w:rPr>
      </w:pPr>
      <w:r w:rsidRPr="00602578">
        <w:rPr>
          <w:rFonts w:ascii="Times New Roman" w:hAnsi="Times New Roman" w:cs="Times New Roman"/>
          <w:bCs/>
          <w:i/>
          <w:color w:val="000000"/>
          <w:sz w:val="28"/>
          <w:szCs w:val="28"/>
        </w:rPr>
        <w:t xml:space="preserve"> Về đối tác thương mại:</w:t>
      </w:r>
      <w:r w:rsidRPr="00B5714C">
        <w:rPr>
          <w:rFonts w:ascii="Times New Roman" w:hAnsi="Times New Roman" w:cs="Times New Roman"/>
          <w:b/>
          <w:bCs/>
          <w:color w:val="000000"/>
          <w:sz w:val="28"/>
          <w:szCs w:val="28"/>
        </w:rPr>
        <w:t> </w:t>
      </w:r>
      <w:r w:rsidRPr="00B5714C">
        <w:rPr>
          <w:rFonts w:ascii="Times New Roman" w:hAnsi="Times New Roman" w:cs="Times New Roman"/>
          <w:color w:val="000000"/>
          <w:sz w:val="28"/>
          <w:szCs w:val="28"/>
        </w:rPr>
        <w:t xml:space="preserve">Giai đoạn 1990-2008, Singapore là nguồn cung hàng hóa lớn nhất. Từ sau 2008, Thái Lan vươn lên dẫn đầu, phản ánh tính bổ sung rõ nét trong cơ cấu sản phẩm giữa </w:t>
      </w:r>
      <w:r w:rsidR="00CC462C">
        <w:rPr>
          <w:rFonts w:ascii="Times New Roman" w:hAnsi="Times New Roman" w:cs="Times New Roman"/>
          <w:color w:val="000000"/>
          <w:sz w:val="28"/>
          <w:szCs w:val="28"/>
        </w:rPr>
        <w:t>2</w:t>
      </w:r>
      <w:r w:rsidR="00CC462C" w:rsidRPr="00B5714C">
        <w:rPr>
          <w:rFonts w:ascii="Times New Roman" w:hAnsi="Times New Roman" w:cs="Times New Roman"/>
          <w:color w:val="000000"/>
          <w:sz w:val="28"/>
          <w:szCs w:val="28"/>
        </w:rPr>
        <w:t xml:space="preserve"> </w:t>
      </w:r>
      <w:r w:rsidRPr="00B5714C">
        <w:rPr>
          <w:rFonts w:ascii="Times New Roman" w:hAnsi="Times New Roman" w:cs="Times New Roman"/>
          <w:color w:val="000000"/>
          <w:sz w:val="28"/>
          <w:szCs w:val="28"/>
        </w:rPr>
        <w:t>nền kinh tế.</w:t>
      </w:r>
    </w:p>
    <w:p w14:paraId="67D42A1C" w14:textId="2DF9B802" w:rsidR="00AE31D9" w:rsidRPr="00B5714C" w:rsidRDefault="00AE31D9" w:rsidP="00771F8E">
      <w:pPr>
        <w:spacing w:before="120" w:after="0" w:line="240" w:lineRule="auto"/>
        <w:ind w:firstLine="567"/>
        <w:jc w:val="both"/>
        <w:rPr>
          <w:rFonts w:ascii="Times New Roman" w:hAnsi="Times New Roman" w:cs="Times New Roman"/>
          <w:color w:val="000000"/>
          <w:sz w:val="28"/>
          <w:szCs w:val="28"/>
        </w:rPr>
      </w:pPr>
      <w:r w:rsidRPr="00B5714C">
        <w:rPr>
          <w:rFonts w:ascii="Times New Roman" w:hAnsi="Times New Roman" w:cs="Times New Roman"/>
          <w:b/>
          <w:bCs/>
          <w:color w:val="000000"/>
          <w:sz w:val="28"/>
          <w:szCs w:val="28"/>
        </w:rPr>
        <w:t xml:space="preserve">  </w:t>
      </w:r>
      <w:r w:rsidRPr="00602578">
        <w:rPr>
          <w:rFonts w:ascii="Times New Roman" w:hAnsi="Times New Roman" w:cs="Times New Roman"/>
          <w:bCs/>
          <w:i/>
          <w:color w:val="000000"/>
          <w:sz w:val="28"/>
          <w:szCs w:val="28"/>
        </w:rPr>
        <w:t>Về cán cân thương mại:</w:t>
      </w:r>
      <w:r w:rsidRPr="00B5714C">
        <w:rPr>
          <w:rFonts w:ascii="Times New Roman" w:hAnsi="Times New Roman" w:cs="Times New Roman"/>
          <w:b/>
          <w:bCs/>
          <w:color w:val="000000"/>
          <w:sz w:val="28"/>
          <w:szCs w:val="28"/>
        </w:rPr>
        <w:t> </w:t>
      </w:r>
      <w:r w:rsidRPr="00B5714C">
        <w:rPr>
          <w:rFonts w:ascii="Times New Roman" w:hAnsi="Times New Roman" w:cs="Times New Roman"/>
          <w:color w:val="000000"/>
          <w:sz w:val="28"/>
          <w:szCs w:val="28"/>
        </w:rPr>
        <w:t xml:space="preserve">Việt Nam luôn nhập siêu từ ASEAN, cho thấy sản xuất trong nước phụ thuộc lớn vào nguồn nguyên phụ liệu nội khối. Đây là cơ sở thực tiễn quan trọng cho giả thuyết: Khi rào cản được gỡ bỏ trong khuôn khổ AEC, </w:t>
      </w:r>
      <w:r w:rsidRPr="00B5714C">
        <w:rPr>
          <w:rFonts w:ascii="Times New Roman" w:hAnsi="Times New Roman" w:cs="Times New Roman"/>
          <w:color w:val="000000"/>
          <w:sz w:val="28"/>
          <w:szCs w:val="28"/>
        </w:rPr>
        <w:lastRenderedPageBreak/>
        <w:t>kinh tế Việt Nam sẽ hưởng lợi từ hiệu ứng “tạo lập thương mại” hơn là “chuyển hướng thương mại”.</w:t>
      </w:r>
      <w:r w:rsidR="00CC462C">
        <w:rPr>
          <w:rFonts w:ascii="Times New Roman" w:hAnsi="Times New Roman" w:cs="Times New Roman"/>
          <w:color w:val="000000"/>
          <w:sz w:val="28"/>
          <w:szCs w:val="28"/>
        </w:rPr>
        <w:t xml:space="preserve"> (Biểu đồ 2)</w:t>
      </w:r>
    </w:p>
    <w:p w14:paraId="40342054" w14:textId="51606EE7" w:rsidR="00CC50E3" w:rsidRPr="00504452" w:rsidRDefault="00CC50E3" w:rsidP="00771F8E">
      <w:pPr>
        <w:spacing w:before="120" w:after="0" w:line="240" w:lineRule="auto"/>
        <w:jc w:val="both"/>
        <w:rPr>
          <w:rFonts w:ascii="Times New Roman" w:hAnsi="Times New Roman" w:cs="Times New Roman"/>
          <w:color w:val="000000"/>
          <w:lang w:val="vi-VN"/>
        </w:rPr>
      </w:pPr>
      <w:r w:rsidRPr="00504452">
        <w:rPr>
          <w:rFonts w:ascii="Times New Roman" w:hAnsi="Times New Roman" w:cs="Times New Roman"/>
          <w:b/>
          <w:bCs/>
          <w:color w:val="000000"/>
        </w:rPr>
        <w:t xml:space="preserve">Biểu đồ </w:t>
      </w:r>
      <w:r w:rsidRPr="00504452">
        <w:rPr>
          <w:rFonts w:ascii="Times New Roman" w:hAnsi="Times New Roman" w:cs="Times New Roman"/>
          <w:b/>
          <w:bCs/>
          <w:color w:val="000000"/>
          <w:lang w:val="vi-VN"/>
        </w:rPr>
        <w:t>2</w:t>
      </w:r>
      <w:r w:rsidRPr="00504452">
        <w:rPr>
          <w:rFonts w:ascii="Times New Roman" w:hAnsi="Times New Roman" w:cs="Times New Roman"/>
          <w:b/>
          <w:bCs/>
          <w:color w:val="000000"/>
        </w:rPr>
        <w:t xml:space="preserve">. </w:t>
      </w:r>
      <w:r w:rsidR="00F167DF" w:rsidRPr="00504452">
        <w:rPr>
          <w:rFonts w:ascii="Times New Roman" w:hAnsi="Times New Roman" w:cs="Times New Roman"/>
          <w:b/>
          <w:bCs/>
          <w:color w:val="000000"/>
          <w:lang w:val="vi-VN"/>
        </w:rPr>
        <w:t>T</w:t>
      </w:r>
      <w:r w:rsidRPr="00504452">
        <w:rPr>
          <w:rFonts w:ascii="Times New Roman" w:hAnsi="Times New Roman" w:cs="Times New Roman"/>
          <w:b/>
          <w:bCs/>
          <w:color w:val="000000"/>
        </w:rPr>
        <w:t>ỷ trọng kim ngạch xuất khẩu và nhập khẩu từ các nước ASEAN giai đoạn 1990-202</w:t>
      </w:r>
      <w:r w:rsidRPr="00504452">
        <w:rPr>
          <w:rFonts w:ascii="Times New Roman" w:hAnsi="Times New Roman" w:cs="Times New Roman"/>
          <w:b/>
          <w:bCs/>
          <w:color w:val="000000"/>
          <w:lang w:val="vi-VN"/>
        </w:rPr>
        <w:t>4</w:t>
      </w:r>
    </w:p>
    <w:p w14:paraId="2AC90292" w14:textId="77777777" w:rsidR="00CC50E3" w:rsidRPr="00504452" w:rsidRDefault="00CC50E3" w:rsidP="00771F8E">
      <w:pPr>
        <w:spacing w:before="120" w:after="0" w:line="240" w:lineRule="auto"/>
        <w:ind w:firstLine="567"/>
        <w:jc w:val="right"/>
        <w:rPr>
          <w:rFonts w:ascii="Times New Roman" w:hAnsi="Times New Roman" w:cs="Times New Roman"/>
          <w:bCs/>
          <w:i/>
          <w:color w:val="000000"/>
        </w:rPr>
      </w:pPr>
      <w:r w:rsidRPr="00504452">
        <w:rPr>
          <w:rFonts w:ascii="Times New Roman" w:hAnsi="Times New Roman" w:cs="Times New Roman"/>
          <w:bCs/>
          <w:i/>
          <w:color w:val="000000"/>
        </w:rPr>
        <w:t>Đơn vị: %</w:t>
      </w:r>
    </w:p>
    <w:p w14:paraId="7C745C86" w14:textId="18978A11" w:rsidR="00CC50E3" w:rsidRPr="00B5714C" w:rsidRDefault="00F167DF" w:rsidP="00771F8E">
      <w:pPr>
        <w:spacing w:before="120" w:after="120"/>
        <w:jc w:val="both"/>
        <w:rPr>
          <w:rFonts w:ascii="Times New Roman" w:hAnsi="Times New Roman" w:cs="Times New Roman"/>
          <w:bCs/>
          <w:color w:val="000000"/>
          <w:sz w:val="28"/>
          <w:szCs w:val="28"/>
        </w:rPr>
      </w:pPr>
      <w:r w:rsidRPr="00B5714C">
        <w:rPr>
          <w:rFonts w:ascii="Times New Roman" w:hAnsi="Times New Roman" w:cs="Times New Roman"/>
          <w:noProof/>
        </w:rPr>
        <w:drawing>
          <wp:inline distT="0" distB="0" distL="0" distR="0" wp14:anchorId="08987968" wp14:editId="59EA2CEB">
            <wp:extent cx="5756910" cy="2767965"/>
            <wp:effectExtent l="0" t="0" r="8890" b="13335"/>
            <wp:docPr id="972673469" name="Chart 1">
              <a:extLst xmlns:a="http://schemas.openxmlformats.org/drawingml/2006/main">
                <a:ext uri="{FF2B5EF4-FFF2-40B4-BE49-F238E27FC236}">
                  <a16:creationId xmlns:a16="http://schemas.microsoft.com/office/drawing/2014/main" id="{1F4CAA25-011D-8C30-46AF-A5CB16EDBF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4D20E2" w14:textId="5E3FBFAB" w:rsidR="00CC50E3" w:rsidRPr="00504452" w:rsidRDefault="00CC50E3" w:rsidP="00771F8E">
      <w:pPr>
        <w:spacing w:before="120" w:after="120"/>
        <w:jc w:val="both"/>
        <w:rPr>
          <w:rFonts w:ascii="Times New Roman" w:hAnsi="Times New Roman" w:cs="Times New Roman"/>
          <w:bCs/>
          <w:i/>
          <w:color w:val="000000"/>
          <w:lang w:val="vi-VN"/>
        </w:rPr>
      </w:pPr>
      <w:r w:rsidRPr="00504452">
        <w:rPr>
          <w:rFonts w:ascii="Times New Roman" w:hAnsi="Times New Roman" w:cs="Times New Roman"/>
          <w:bCs/>
          <w:i/>
          <w:color w:val="000000"/>
        </w:rPr>
        <w:t xml:space="preserve">Nguồn: </w:t>
      </w:r>
      <w:r w:rsidR="00CC462C">
        <w:rPr>
          <w:rFonts w:ascii="Times New Roman" w:hAnsi="Times New Roman" w:cs="Times New Roman"/>
          <w:bCs/>
          <w:i/>
          <w:color w:val="000000"/>
        </w:rPr>
        <w:t>T</w:t>
      </w:r>
      <w:r w:rsidRPr="00504452">
        <w:rPr>
          <w:rFonts w:ascii="Times New Roman" w:hAnsi="Times New Roman" w:cs="Times New Roman"/>
          <w:bCs/>
          <w:i/>
          <w:color w:val="000000"/>
        </w:rPr>
        <w:t xml:space="preserve">ính toán từ </w:t>
      </w:r>
      <w:r w:rsidR="00F744E7" w:rsidRPr="00504452">
        <w:rPr>
          <w:rFonts w:ascii="Times New Roman" w:hAnsi="Times New Roman" w:cs="Times New Roman"/>
          <w:i/>
          <w:iCs/>
          <w:color w:val="000000"/>
          <w:lang w:val="vi-VN"/>
        </w:rPr>
        <w:t>cơ sở dữ liệu</w:t>
      </w:r>
      <w:r w:rsidR="00F744E7" w:rsidRPr="00504452">
        <w:rPr>
          <w:rFonts w:ascii="Times New Roman" w:hAnsi="Times New Roman" w:cs="Times New Roman"/>
          <w:i/>
          <w:iCs/>
          <w:color w:val="000000"/>
        </w:rPr>
        <w:t xml:space="preserve"> International Trade in Goods (by partner country)</w:t>
      </w:r>
      <w:r w:rsidR="00F744E7" w:rsidRPr="00504452">
        <w:rPr>
          <w:rFonts w:ascii="Times New Roman" w:hAnsi="Times New Roman" w:cs="Times New Roman"/>
          <w:bCs/>
          <w:i/>
          <w:color w:val="000000"/>
        </w:rPr>
        <w:t xml:space="preserve"> </w:t>
      </w:r>
      <w:r w:rsidRPr="00504452">
        <w:rPr>
          <w:rFonts w:ascii="Times New Roman" w:hAnsi="Times New Roman" w:cs="Times New Roman"/>
          <w:bCs/>
          <w:i/>
          <w:color w:val="000000"/>
        </w:rPr>
        <w:t>(Quỹ Tiền tệ quốc tế, 202</w:t>
      </w:r>
      <w:r w:rsidR="00F167DF" w:rsidRPr="00504452">
        <w:rPr>
          <w:rFonts w:ascii="Times New Roman" w:hAnsi="Times New Roman" w:cs="Times New Roman"/>
          <w:bCs/>
          <w:i/>
          <w:color w:val="000000"/>
          <w:lang w:val="vi-VN"/>
        </w:rPr>
        <w:t>5</w:t>
      </w:r>
      <w:r w:rsidRPr="00504452">
        <w:rPr>
          <w:rFonts w:ascii="Times New Roman" w:hAnsi="Times New Roman" w:cs="Times New Roman"/>
          <w:bCs/>
          <w:i/>
          <w:color w:val="000000"/>
        </w:rPr>
        <w:t>).</w:t>
      </w:r>
    </w:p>
    <w:p w14:paraId="586069E2" w14:textId="3AC6754A" w:rsidR="009B0195" w:rsidRPr="00B5714C" w:rsidRDefault="009B0195" w:rsidP="00771F8E">
      <w:pPr>
        <w:spacing w:before="120"/>
        <w:jc w:val="both"/>
        <w:rPr>
          <w:rFonts w:ascii="Times New Roman" w:hAnsi="Times New Roman" w:cs="Times New Roman"/>
          <w:b/>
          <w:bCs/>
          <w:color w:val="000000"/>
          <w:sz w:val="28"/>
          <w:szCs w:val="28"/>
        </w:rPr>
      </w:pPr>
      <w:r w:rsidRPr="00B5714C">
        <w:rPr>
          <w:rFonts w:ascii="Times New Roman" w:hAnsi="Times New Roman" w:cs="Times New Roman"/>
          <w:b/>
          <w:bCs/>
          <w:color w:val="000000"/>
          <w:sz w:val="28"/>
          <w:szCs w:val="28"/>
        </w:rPr>
        <w:t xml:space="preserve">4. Kết quả nghiên cứu </w:t>
      </w:r>
    </w:p>
    <w:p w14:paraId="03285206" w14:textId="6B25A7E9" w:rsidR="00AE31D9" w:rsidRPr="00504452" w:rsidRDefault="00AE31D9" w:rsidP="00771F8E">
      <w:pPr>
        <w:spacing w:before="120" w:after="0" w:line="240" w:lineRule="auto"/>
        <w:ind w:firstLine="567"/>
        <w:jc w:val="both"/>
        <w:rPr>
          <w:rFonts w:ascii="Times New Roman" w:hAnsi="Times New Roman" w:cs="Times New Roman"/>
          <w:color w:val="000000"/>
          <w:lang w:val="vi-VN"/>
        </w:rPr>
      </w:pPr>
      <w:r w:rsidRPr="00504452">
        <w:rPr>
          <w:rFonts w:ascii="Times New Roman" w:hAnsi="Times New Roman" w:cs="Times New Roman"/>
          <w:color w:val="000000"/>
        </w:rPr>
        <w:t>Với đặc thù dữ liệu mảng có chuỗi thời gian dài hơn số lượng quốc</w:t>
      </w:r>
      <w:r w:rsidRPr="00504452">
        <w:rPr>
          <w:rFonts w:ascii="Times New Roman" w:hAnsi="Times New Roman" w:cs="Times New Roman"/>
          <w:color w:val="000000"/>
          <w:lang w:val="vi-VN"/>
        </w:rPr>
        <w:t xml:space="preserve"> gia</w:t>
      </w:r>
      <w:r w:rsidRPr="00504452">
        <w:rPr>
          <w:rFonts w:ascii="Times New Roman" w:hAnsi="Times New Roman" w:cs="Times New Roman"/>
          <w:color w:val="000000"/>
        </w:rPr>
        <w:t xml:space="preserve"> (T &gt; N), nghiên cứu chọn phương pháp Bình phương tối thiểu tổng quát khả thi (FGLS) để ước lượng. FGLS ưu việt hơn OLS hay hiệu ứng cố định (FE) nhờ khả năng kiểm soát triệt để hiện tượng phương sai thay đổi và tự tương quan chuỗi bậc 1 (AR1) thường gặp trong dữ liệu thương mại, mang lại các ước lượng vững và hiệu quả. Kết quả được trình bày tại Bảng </w:t>
      </w:r>
      <w:r w:rsidR="00E4379A" w:rsidRPr="00504452">
        <w:rPr>
          <w:rFonts w:ascii="Times New Roman" w:hAnsi="Times New Roman" w:cs="Times New Roman"/>
          <w:color w:val="000000"/>
          <w:lang w:val="vi-VN"/>
        </w:rPr>
        <w:t>2</w:t>
      </w:r>
      <w:r w:rsidRPr="00504452">
        <w:rPr>
          <w:rFonts w:ascii="Times New Roman" w:hAnsi="Times New Roman" w:cs="Times New Roman"/>
          <w:color w:val="000000"/>
        </w:rPr>
        <w:t>.</w:t>
      </w:r>
    </w:p>
    <w:p w14:paraId="4891E709" w14:textId="21B84104" w:rsidR="00BE51C6" w:rsidRPr="00504452" w:rsidRDefault="00BE51C6" w:rsidP="00771F8E">
      <w:pPr>
        <w:spacing w:before="120" w:after="0" w:line="240" w:lineRule="auto"/>
        <w:jc w:val="both"/>
        <w:rPr>
          <w:rFonts w:ascii="Times New Roman" w:hAnsi="Times New Roman" w:cs="Times New Roman"/>
          <w:b/>
          <w:bCs/>
          <w:color w:val="000000"/>
          <w:lang w:val="vi-VN"/>
        </w:rPr>
      </w:pPr>
      <w:r w:rsidRPr="00504452">
        <w:rPr>
          <w:rFonts w:ascii="Times New Roman" w:hAnsi="Times New Roman" w:cs="Times New Roman"/>
          <w:b/>
          <w:bCs/>
          <w:i/>
          <w:iCs/>
          <w:color w:val="000000"/>
          <w:lang w:val="vi-VN"/>
        </w:rPr>
        <w:t xml:space="preserve">Bảng </w:t>
      </w:r>
      <w:r w:rsidR="00E4379A" w:rsidRPr="00504452">
        <w:rPr>
          <w:rFonts w:ascii="Times New Roman" w:hAnsi="Times New Roman" w:cs="Times New Roman"/>
          <w:b/>
          <w:bCs/>
          <w:i/>
          <w:iCs/>
          <w:color w:val="000000"/>
          <w:lang w:val="vi-VN"/>
        </w:rPr>
        <w:t>2</w:t>
      </w:r>
      <w:r w:rsidRPr="00504452">
        <w:rPr>
          <w:rFonts w:ascii="Times New Roman" w:hAnsi="Times New Roman" w:cs="Times New Roman"/>
          <w:b/>
          <w:bCs/>
          <w:i/>
          <w:iCs/>
          <w:color w:val="000000"/>
          <w:lang w:val="vi-VN"/>
        </w:rPr>
        <w:t>:</w:t>
      </w:r>
      <w:r w:rsidRPr="00504452">
        <w:rPr>
          <w:rFonts w:ascii="Times New Roman" w:hAnsi="Times New Roman" w:cs="Times New Roman"/>
          <w:b/>
          <w:bCs/>
          <w:color w:val="000000"/>
          <w:lang w:val="vi-VN"/>
        </w:rPr>
        <w:t xml:space="preserve"> Kết quả ước lượng mô hình trọng lực chuẩn tắc bằng phương pháp FGLS</w:t>
      </w:r>
    </w:p>
    <w:tbl>
      <w:tblPr>
        <w:tblW w:w="6758" w:type="dxa"/>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05"/>
        <w:gridCol w:w="2657"/>
        <w:gridCol w:w="1796"/>
      </w:tblGrid>
      <w:tr w:rsidR="00BE51C6" w:rsidRPr="00504452" w14:paraId="0CDF0F3B" w14:textId="77777777" w:rsidTr="00BE51C6">
        <w:trPr>
          <w:trHeight w:val="315"/>
        </w:trPr>
        <w:tc>
          <w:tcPr>
            <w:tcW w:w="0" w:type="auto"/>
            <w:tcMar>
              <w:top w:w="30" w:type="dxa"/>
              <w:left w:w="45" w:type="dxa"/>
              <w:bottom w:w="30" w:type="dxa"/>
              <w:right w:w="45" w:type="dxa"/>
            </w:tcMar>
            <w:vAlign w:val="bottom"/>
            <w:hideMark/>
          </w:tcPr>
          <w:p w14:paraId="78AFDF6B" w14:textId="77777777" w:rsidR="00BE51C6" w:rsidRPr="00504452" w:rsidRDefault="00BE51C6" w:rsidP="00771F8E">
            <w:pPr>
              <w:spacing w:before="120" w:after="0" w:line="240" w:lineRule="auto"/>
              <w:rPr>
                <w:rFonts w:ascii="Times New Roman" w:eastAsia="Times New Roman" w:hAnsi="Times New Roman" w:cs="Times New Roman"/>
                <w:b/>
                <w:bCs/>
                <w:kern w:val="0"/>
                <w14:ligatures w14:val="none"/>
              </w:rPr>
            </w:pPr>
            <w:r w:rsidRPr="00504452">
              <w:rPr>
                <w:rFonts w:ascii="Times New Roman" w:eastAsia="Times New Roman" w:hAnsi="Times New Roman" w:cs="Times New Roman"/>
                <w:b/>
                <w:bCs/>
                <w:kern w:val="0"/>
                <w14:ligatures w14:val="none"/>
              </w:rPr>
              <w:t>Biến độc lập</w:t>
            </w:r>
          </w:p>
        </w:tc>
        <w:tc>
          <w:tcPr>
            <w:tcW w:w="2657" w:type="dxa"/>
            <w:tcMar>
              <w:top w:w="30" w:type="dxa"/>
              <w:left w:w="45" w:type="dxa"/>
              <w:bottom w:w="30" w:type="dxa"/>
              <w:right w:w="45" w:type="dxa"/>
            </w:tcMar>
            <w:vAlign w:val="bottom"/>
            <w:hideMark/>
          </w:tcPr>
          <w:p w14:paraId="0E1B112C" w14:textId="77777777" w:rsidR="00BE51C6" w:rsidRPr="00504452" w:rsidRDefault="00BE51C6" w:rsidP="00771F8E">
            <w:pPr>
              <w:spacing w:before="120" w:after="0" w:line="240" w:lineRule="auto"/>
              <w:rPr>
                <w:rFonts w:ascii="Times New Roman" w:eastAsia="Times New Roman" w:hAnsi="Times New Roman" w:cs="Times New Roman"/>
                <w:b/>
                <w:bCs/>
                <w:kern w:val="0"/>
                <w14:ligatures w14:val="none"/>
              </w:rPr>
            </w:pPr>
            <w:r w:rsidRPr="00504452">
              <w:rPr>
                <w:rFonts w:ascii="Times New Roman" w:eastAsia="Times New Roman" w:hAnsi="Times New Roman" w:cs="Times New Roman"/>
                <w:b/>
                <w:bCs/>
                <w:kern w:val="0"/>
                <w14:ligatures w14:val="none"/>
              </w:rPr>
              <w:t>Hệ số ước lượng</w:t>
            </w:r>
          </w:p>
        </w:tc>
        <w:tc>
          <w:tcPr>
            <w:tcW w:w="1796" w:type="dxa"/>
            <w:tcMar>
              <w:top w:w="30" w:type="dxa"/>
              <w:left w:w="45" w:type="dxa"/>
              <w:bottom w:w="30" w:type="dxa"/>
              <w:right w:w="45" w:type="dxa"/>
            </w:tcMar>
            <w:vAlign w:val="bottom"/>
            <w:hideMark/>
          </w:tcPr>
          <w:p w14:paraId="3F6E7DDB" w14:textId="77777777" w:rsidR="00BE51C6" w:rsidRPr="00504452" w:rsidRDefault="00BE51C6" w:rsidP="00771F8E">
            <w:pPr>
              <w:spacing w:before="120" w:after="0" w:line="240" w:lineRule="auto"/>
              <w:rPr>
                <w:rFonts w:ascii="Times New Roman" w:eastAsia="Times New Roman" w:hAnsi="Times New Roman" w:cs="Times New Roman"/>
                <w:b/>
                <w:bCs/>
                <w:kern w:val="0"/>
                <w14:ligatures w14:val="none"/>
              </w:rPr>
            </w:pPr>
            <w:r w:rsidRPr="00504452">
              <w:rPr>
                <w:rFonts w:ascii="Times New Roman" w:eastAsia="Times New Roman" w:hAnsi="Times New Roman" w:cs="Times New Roman"/>
                <w:b/>
                <w:bCs/>
                <w:kern w:val="0"/>
                <w14:ligatures w14:val="none"/>
              </w:rPr>
              <w:t>Sai số chuẩn</w:t>
            </w:r>
          </w:p>
        </w:tc>
      </w:tr>
      <w:tr w:rsidR="00BE51C6" w:rsidRPr="00504452" w14:paraId="6A0EF382" w14:textId="77777777" w:rsidTr="00BE51C6">
        <w:trPr>
          <w:trHeight w:val="315"/>
        </w:trPr>
        <w:tc>
          <w:tcPr>
            <w:tcW w:w="0" w:type="auto"/>
            <w:tcMar>
              <w:top w:w="30" w:type="dxa"/>
              <w:left w:w="45" w:type="dxa"/>
              <w:bottom w:w="30" w:type="dxa"/>
              <w:right w:w="45" w:type="dxa"/>
            </w:tcMar>
            <w:vAlign w:val="bottom"/>
            <w:hideMark/>
          </w:tcPr>
          <w:p w14:paraId="645807A6"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ln(GDP Đối tác)</w:t>
            </w:r>
          </w:p>
        </w:tc>
        <w:tc>
          <w:tcPr>
            <w:tcW w:w="2657" w:type="dxa"/>
            <w:tcMar>
              <w:top w:w="30" w:type="dxa"/>
              <w:left w:w="45" w:type="dxa"/>
              <w:bottom w:w="30" w:type="dxa"/>
              <w:right w:w="45" w:type="dxa"/>
            </w:tcMar>
            <w:vAlign w:val="bottom"/>
            <w:hideMark/>
          </w:tcPr>
          <w:p w14:paraId="202A5482"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1.000</w:t>
            </w:r>
            <w:r w:rsidRPr="00504452">
              <w:rPr>
                <w:rFonts w:ascii="Times New Roman" w:eastAsia="Times New Roman" w:hAnsi="Times New Roman" w:cs="Times New Roman"/>
                <w:kern w:val="0"/>
                <w:vertAlign w:val="superscript"/>
                <w14:ligatures w14:val="none"/>
              </w:rPr>
              <w:t>***</w:t>
            </w:r>
          </w:p>
        </w:tc>
        <w:tc>
          <w:tcPr>
            <w:tcW w:w="1796" w:type="dxa"/>
            <w:tcMar>
              <w:top w:w="30" w:type="dxa"/>
              <w:left w:w="45" w:type="dxa"/>
              <w:bottom w:w="30" w:type="dxa"/>
              <w:right w:w="45" w:type="dxa"/>
            </w:tcMar>
            <w:vAlign w:val="bottom"/>
            <w:hideMark/>
          </w:tcPr>
          <w:p w14:paraId="12F8B39B"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-0.102</w:t>
            </w:r>
          </w:p>
        </w:tc>
      </w:tr>
      <w:tr w:rsidR="00BE51C6" w:rsidRPr="00504452" w14:paraId="1FF8B886" w14:textId="77777777" w:rsidTr="00BE51C6">
        <w:trPr>
          <w:trHeight w:val="315"/>
        </w:trPr>
        <w:tc>
          <w:tcPr>
            <w:tcW w:w="0" w:type="auto"/>
            <w:tcMar>
              <w:top w:w="30" w:type="dxa"/>
              <w:left w:w="45" w:type="dxa"/>
              <w:bottom w:w="30" w:type="dxa"/>
              <w:right w:w="45" w:type="dxa"/>
            </w:tcMar>
            <w:vAlign w:val="bottom"/>
            <w:hideMark/>
          </w:tcPr>
          <w:p w14:paraId="5AA0B6E3"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ln(GDP Việt Nam)</w:t>
            </w:r>
          </w:p>
        </w:tc>
        <w:tc>
          <w:tcPr>
            <w:tcW w:w="2657" w:type="dxa"/>
            <w:tcMar>
              <w:top w:w="30" w:type="dxa"/>
              <w:left w:w="45" w:type="dxa"/>
              <w:bottom w:w="30" w:type="dxa"/>
              <w:right w:w="45" w:type="dxa"/>
            </w:tcMar>
            <w:vAlign w:val="bottom"/>
            <w:hideMark/>
          </w:tcPr>
          <w:p w14:paraId="62951B8C"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1.714</w:t>
            </w:r>
            <w:r w:rsidRPr="00504452">
              <w:rPr>
                <w:rFonts w:ascii="Times New Roman" w:eastAsia="Times New Roman" w:hAnsi="Times New Roman" w:cs="Times New Roman"/>
                <w:kern w:val="0"/>
                <w:vertAlign w:val="superscript"/>
                <w14:ligatures w14:val="none"/>
              </w:rPr>
              <w:t>***</w:t>
            </w:r>
          </w:p>
        </w:tc>
        <w:tc>
          <w:tcPr>
            <w:tcW w:w="1796" w:type="dxa"/>
            <w:tcMar>
              <w:top w:w="30" w:type="dxa"/>
              <w:left w:w="45" w:type="dxa"/>
              <w:bottom w:w="30" w:type="dxa"/>
              <w:right w:w="45" w:type="dxa"/>
            </w:tcMar>
            <w:vAlign w:val="bottom"/>
            <w:hideMark/>
          </w:tcPr>
          <w:p w14:paraId="0D4EB815"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-0.113</w:t>
            </w:r>
          </w:p>
        </w:tc>
      </w:tr>
      <w:tr w:rsidR="00BE51C6" w:rsidRPr="00504452" w14:paraId="12B20C46" w14:textId="77777777" w:rsidTr="00BE51C6">
        <w:trPr>
          <w:trHeight w:val="315"/>
        </w:trPr>
        <w:tc>
          <w:tcPr>
            <w:tcW w:w="0" w:type="auto"/>
            <w:tcMar>
              <w:top w:w="30" w:type="dxa"/>
              <w:left w:w="45" w:type="dxa"/>
              <w:bottom w:w="30" w:type="dxa"/>
              <w:right w:w="45" w:type="dxa"/>
            </w:tcMar>
            <w:vAlign w:val="bottom"/>
            <w:hideMark/>
          </w:tcPr>
          <w:p w14:paraId="23CBBDAE"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ln(Khoảng cách)</w:t>
            </w:r>
          </w:p>
        </w:tc>
        <w:tc>
          <w:tcPr>
            <w:tcW w:w="2657" w:type="dxa"/>
            <w:tcMar>
              <w:top w:w="30" w:type="dxa"/>
              <w:left w:w="45" w:type="dxa"/>
              <w:bottom w:w="30" w:type="dxa"/>
              <w:right w:w="45" w:type="dxa"/>
            </w:tcMar>
            <w:vAlign w:val="bottom"/>
            <w:hideMark/>
          </w:tcPr>
          <w:p w14:paraId="5A387D3F"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-1.128</w:t>
            </w:r>
            <w:r w:rsidRPr="00504452">
              <w:rPr>
                <w:rFonts w:ascii="Times New Roman" w:eastAsia="Times New Roman" w:hAnsi="Times New Roman" w:cs="Times New Roman"/>
                <w:kern w:val="0"/>
                <w:vertAlign w:val="superscript"/>
                <w14:ligatures w14:val="none"/>
              </w:rPr>
              <w:t>***</w:t>
            </w:r>
          </w:p>
        </w:tc>
        <w:tc>
          <w:tcPr>
            <w:tcW w:w="1796" w:type="dxa"/>
            <w:tcMar>
              <w:top w:w="30" w:type="dxa"/>
              <w:left w:w="45" w:type="dxa"/>
              <w:bottom w:w="30" w:type="dxa"/>
              <w:right w:w="45" w:type="dxa"/>
            </w:tcMar>
            <w:vAlign w:val="bottom"/>
            <w:hideMark/>
          </w:tcPr>
          <w:p w14:paraId="4429CD34"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-0.252</w:t>
            </w:r>
          </w:p>
        </w:tc>
      </w:tr>
      <w:tr w:rsidR="00BE51C6" w:rsidRPr="00504452" w14:paraId="2230CC78" w14:textId="77777777" w:rsidTr="00BE51C6">
        <w:trPr>
          <w:trHeight w:val="315"/>
        </w:trPr>
        <w:tc>
          <w:tcPr>
            <w:tcW w:w="0" w:type="auto"/>
            <w:tcMar>
              <w:top w:w="30" w:type="dxa"/>
              <w:left w:w="45" w:type="dxa"/>
              <w:bottom w:w="30" w:type="dxa"/>
              <w:right w:w="45" w:type="dxa"/>
            </w:tcMar>
            <w:vAlign w:val="bottom"/>
            <w:hideMark/>
          </w:tcPr>
          <w:p w14:paraId="538D9EBD"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Hằng số (_cons)</w:t>
            </w:r>
          </w:p>
        </w:tc>
        <w:tc>
          <w:tcPr>
            <w:tcW w:w="2657" w:type="dxa"/>
            <w:tcMar>
              <w:top w:w="30" w:type="dxa"/>
              <w:left w:w="45" w:type="dxa"/>
              <w:bottom w:w="30" w:type="dxa"/>
              <w:right w:w="45" w:type="dxa"/>
            </w:tcMar>
            <w:vAlign w:val="bottom"/>
            <w:hideMark/>
          </w:tcPr>
          <w:p w14:paraId="7B0F932C"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-17.137</w:t>
            </w:r>
            <w:r w:rsidRPr="00504452">
              <w:rPr>
                <w:rFonts w:ascii="Times New Roman" w:eastAsia="Times New Roman" w:hAnsi="Times New Roman" w:cs="Times New Roman"/>
                <w:kern w:val="0"/>
                <w:vertAlign w:val="superscript"/>
                <w14:ligatures w14:val="none"/>
              </w:rPr>
              <w:t>***</w:t>
            </w:r>
          </w:p>
        </w:tc>
        <w:tc>
          <w:tcPr>
            <w:tcW w:w="1796" w:type="dxa"/>
            <w:tcMar>
              <w:top w:w="30" w:type="dxa"/>
              <w:left w:w="45" w:type="dxa"/>
              <w:bottom w:w="30" w:type="dxa"/>
              <w:right w:w="45" w:type="dxa"/>
            </w:tcMar>
            <w:vAlign w:val="bottom"/>
            <w:hideMark/>
          </w:tcPr>
          <w:p w14:paraId="1F8DE903"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-1.798</w:t>
            </w:r>
          </w:p>
        </w:tc>
      </w:tr>
      <w:tr w:rsidR="00BE51C6" w:rsidRPr="00504452" w14:paraId="4E3BEF81" w14:textId="77777777" w:rsidTr="00BE51C6">
        <w:trPr>
          <w:trHeight w:val="315"/>
        </w:trPr>
        <w:tc>
          <w:tcPr>
            <w:tcW w:w="0" w:type="auto"/>
            <w:tcMar>
              <w:top w:w="30" w:type="dxa"/>
              <w:left w:w="0" w:type="dxa"/>
              <w:bottom w:w="30" w:type="dxa"/>
              <w:right w:w="0" w:type="dxa"/>
            </w:tcMar>
            <w:vAlign w:val="bottom"/>
            <w:hideMark/>
          </w:tcPr>
          <w:p w14:paraId="4520C9CC"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Thống kê kiểm định</w:t>
            </w:r>
          </w:p>
        </w:tc>
        <w:tc>
          <w:tcPr>
            <w:tcW w:w="2657" w:type="dxa"/>
            <w:tcMar>
              <w:top w:w="30" w:type="dxa"/>
              <w:left w:w="45" w:type="dxa"/>
              <w:bottom w:w="30" w:type="dxa"/>
              <w:right w:w="45" w:type="dxa"/>
            </w:tcMar>
            <w:vAlign w:val="bottom"/>
            <w:hideMark/>
          </w:tcPr>
          <w:p w14:paraId="15EA656A"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p>
        </w:tc>
        <w:tc>
          <w:tcPr>
            <w:tcW w:w="1796" w:type="dxa"/>
            <w:tcMar>
              <w:top w:w="30" w:type="dxa"/>
              <w:left w:w="45" w:type="dxa"/>
              <w:bottom w:w="30" w:type="dxa"/>
              <w:right w:w="45" w:type="dxa"/>
            </w:tcMar>
            <w:vAlign w:val="bottom"/>
            <w:hideMark/>
          </w:tcPr>
          <w:p w14:paraId="5C413FDD" w14:textId="77777777" w:rsidR="00BE51C6" w:rsidRPr="00504452" w:rsidRDefault="00BE51C6" w:rsidP="00771F8E">
            <w:pPr>
              <w:spacing w:before="120" w:after="0" w:line="240" w:lineRule="auto"/>
              <w:jc w:val="center"/>
              <w:rPr>
                <w:rFonts w:ascii="Times New Roman" w:eastAsia="Times New Roman" w:hAnsi="Times New Roman" w:cs="Times New Roman"/>
                <w:kern w:val="0"/>
                <w14:ligatures w14:val="none"/>
              </w:rPr>
            </w:pPr>
          </w:p>
        </w:tc>
      </w:tr>
      <w:tr w:rsidR="00BE51C6" w:rsidRPr="00504452" w14:paraId="1343C810" w14:textId="77777777" w:rsidTr="00BE51C6">
        <w:trPr>
          <w:trHeight w:val="315"/>
        </w:trPr>
        <w:tc>
          <w:tcPr>
            <w:tcW w:w="0" w:type="auto"/>
            <w:tcMar>
              <w:top w:w="30" w:type="dxa"/>
              <w:left w:w="45" w:type="dxa"/>
              <w:bottom w:w="30" w:type="dxa"/>
              <w:right w:w="45" w:type="dxa"/>
            </w:tcMar>
            <w:vAlign w:val="bottom"/>
            <w:hideMark/>
          </w:tcPr>
          <w:p w14:paraId="6C60091E"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Số quan sát (Obs)</w:t>
            </w:r>
          </w:p>
        </w:tc>
        <w:tc>
          <w:tcPr>
            <w:tcW w:w="2657" w:type="dxa"/>
            <w:tcMar>
              <w:top w:w="30" w:type="dxa"/>
              <w:left w:w="45" w:type="dxa"/>
              <w:bottom w:w="30" w:type="dxa"/>
              <w:right w:w="45" w:type="dxa"/>
            </w:tcMar>
            <w:vAlign w:val="bottom"/>
            <w:hideMark/>
          </w:tcPr>
          <w:p w14:paraId="3B4ABB43"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490</w:t>
            </w:r>
          </w:p>
        </w:tc>
        <w:tc>
          <w:tcPr>
            <w:tcW w:w="1796" w:type="dxa"/>
            <w:tcMar>
              <w:top w:w="30" w:type="dxa"/>
              <w:left w:w="45" w:type="dxa"/>
              <w:bottom w:w="30" w:type="dxa"/>
              <w:right w:w="45" w:type="dxa"/>
            </w:tcMar>
            <w:vAlign w:val="bottom"/>
            <w:hideMark/>
          </w:tcPr>
          <w:p w14:paraId="3CFEBA74"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p>
        </w:tc>
      </w:tr>
      <w:tr w:rsidR="00BE51C6" w:rsidRPr="00504452" w14:paraId="5BCCFF77" w14:textId="77777777" w:rsidTr="00BE51C6">
        <w:trPr>
          <w:trHeight w:val="315"/>
        </w:trPr>
        <w:tc>
          <w:tcPr>
            <w:tcW w:w="0" w:type="auto"/>
            <w:tcMar>
              <w:top w:w="30" w:type="dxa"/>
              <w:left w:w="45" w:type="dxa"/>
              <w:bottom w:w="30" w:type="dxa"/>
              <w:right w:w="45" w:type="dxa"/>
            </w:tcMar>
            <w:vAlign w:val="bottom"/>
            <w:hideMark/>
          </w:tcPr>
          <w:p w14:paraId="2A5ED213" w14:textId="7ADE2999"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Số quốc</w:t>
            </w:r>
            <w:r w:rsidRPr="00504452">
              <w:rPr>
                <w:rFonts w:ascii="Times New Roman" w:eastAsia="Times New Roman" w:hAnsi="Times New Roman" w:cs="Times New Roman"/>
                <w:kern w:val="0"/>
                <w:lang w:val="vi-VN"/>
                <w14:ligatures w14:val="none"/>
              </w:rPr>
              <w:t xml:space="preserve"> gia </w:t>
            </w:r>
            <w:r w:rsidRPr="00504452">
              <w:rPr>
                <w:rFonts w:ascii="Times New Roman" w:eastAsia="Times New Roman" w:hAnsi="Times New Roman" w:cs="Times New Roman"/>
                <w:kern w:val="0"/>
                <w14:ligatures w14:val="none"/>
              </w:rPr>
              <w:t>(N)</w:t>
            </w:r>
          </w:p>
        </w:tc>
        <w:tc>
          <w:tcPr>
            <w:tcW w:w="2657" w:type="dxa"/>
            <w:tcMar>
              <w:top w:w="30" w:type="dxa"/>
              <w:left w:w="45" w:type="dxa"/>
              <w:bottom w:w="30" w:type="dxa"/>
              <w:right w:w="45" w:type="dxa"/>
            </w:tcMar>
            <w:vAlign w:val="bottom"/>
            <w:hideMark/>
          </w:tcPr>
          <w:p w14:paraId="12ADE897"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14</w:t>
            </w:r>
          </w:p>
        </w:tc>
        <w:tc>
          <w:tcPr>
            <w:tcW w:w="1796" w:type="dxa"/>
            <w:tcMar>
              <w:top w:w="30" w:type="dxa"/>
              <w:left w:w="45" w:type="dxa"/>
              <w:bottom w:w="30" w:type="dxa"/>
              <w:right w:w="45" w:type="dxa"/>
            </w:tcMar>
            <w:vAlign w:val="bottom"/>
            <w:hideMark/>
          </w:tcPr>
          <w:p w14:paraId="34C0997C"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p>
        </w:tc>
      </w:tr>
      <w:tr w:rsidR="00BE51C6" w:rsidRPr="00504452" w14:paraId="3E132D40" w14:textId="77777777" w:rsidTr="00BE51C6">
        <w:trPr>
          <w:trHeight w:val="315"/>
        </w:trPr>
        <w:tc>
          <w:tcPr>
            <w:tcW w:w="0" w:type="auto"/>
            <w:tcMar>
              <w:top w:w="30" w:type="dxa"/>
              <w:left w:w="45" w:type="dxa"/>
              <w:bottom w:w="30" w:type="dxa"/>
              <w:right w:w="45" w:type="dxa"/>
            </w:tcMar>
            <w:vAlign w:val="bottom"/>
            <w:hideMark/>
          </w:tcPr>
          <w:p w14:paraId="627154C4" w14:textId="457EDDA5" w:rsidR="00BE51C6" w:rsidRPr="00504452" w:rsidRDefault="00E4379A"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Độ</w:t>
            </w:r>
            <w:r w:rsidR="00BE51C6" w:rsidRPr="00504452">
              <w:rPr>
                <w:rFonts w:ascii="Times New Roman" w:eastAsia="Times New Roman" w:hAnsi="Times New Roman" w:cs="Times New Roman"/>
                <w:kern w:val="0"/>
                <w14:ligatures w14:val="none"/>
              </w:rPr>
              <w:t xml:space="preserve"> dài thời gian (T)</w:t>
            </w:r>
          </w:p>
        </w:tc>
        <w:tc>
          <w:tcPr>
            <w:tcW w:w="2657" w:type="dxa"/>
            <w:tcMar>
              <w:top w:w="30" w:type="dxa"/>
              <w:left w:w="45" w:type="dxa"/>
              <w:bottom w:w="30" w:type="dxa"/>
              <w:right w:w="45" w:type="dxa"/>
            </w:tcMar>
            <w:vAlign w:val="bottom"/>
            <w:hideMark/>
          </w:tcPr>
          <w:p w14:paraId="30CDC98E"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35</w:t>
            </w:r>
          </w:p>
        </w:tc>
        <w:tc>
          <w:tcPr>
            <w:tcW w:w="1796" w:type="dxa"/>
            <w:tcMar>
              <w:top w:w="30" w:type="dxa"/>
              <w:left w:w="45" w:type="dxa"/>
              <w:bottom w:w="30" w:type="dxa"/>
              <w:right w:w="45" w:type="dxa"/>
            </w:tcMar>
            <w:vAlign w:val="bottom"/>
            <w:hideMark/>
          </w:tcPr>
          <w:p w14:paraId="61BA2B12"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p>
        </w:tc>
      </w:tr>
      <w:tr w:rsidR="00BE51C6" w:rsidRPr="00504452" w14:paraId="5EC3D394" w14:textId="77777777" w:rsidTr="00BE51C6">
        <w:trPr>
          <w:trHeight w:val="315"/>
        </w:trPr>
        <w:tc>
          <w:tcPr>
            <w:tcW w:w="0" w:type="auto"/>
            <w:tcMar>
              <w:top w:w="30" w:type="dxa"/>
              <w:left w:w="45" w:type="dxa"/>
              <w:bottom w:w="30" w:type="dxa"/>
              <w:right w:w="45" w:type="dxa"/>
            </w:tcMar>
            <w:vAlign w:val="bottom"/>
            <w:hideMark/>
          </w:tcPr>
          <w:p w14:paraId="00BBD6AE"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Thống kê Wald χ</w:t>
            </w:r>
            <w:r w:rsidRPr="00504452">
              <w:rPr>
                <w:rFonts w:ascii="Times New Roman" w:eastAsia="Times New Roman" w:hAnsi="Times New Roman" w:cs="Times New Roman"/>
                <w:kern w:val="0"/>
                <w:vertAlign w:val="superscript"/>
                <w14:ligatures w14:val="none"/>
              </w:rPr>
              <w:t>2</w:t>
            </w:r>
            <w:r w:rsidRPr="00504452">
              <w:rPr>
                <w:rFonts w:ascii="Times New Roman" w:eastAsia="Times New Roman" w:hAnsi="Times New Roman" w:cs="Times New Roman"/>
                <w:kern w:val="0"/>
                <w14:ligatures w14:val="none"/>
              </w:rPr>
              <w:t>(3)</w:t>
            </w:r>
          </w:p>
        </w:tc>
        <w:tc>
          <w:tcPr>
            <w:tcW w:w="2657" w:type="dxa"/>
            <w:tcMar>
              <w:top w:w="30" w:type="dxa"/>
              <w:left w:w="45" w:type="dxa"/>
              <w:bottom w:w="30" w:type="dxa"/>
              <w:right w:w="45" w:type="dxa"/>
            </w:tcMar>
            <w:vAlign w:val="bottom"/>
            <w:hideMark/>
          </w:tcPr>
          <w:p w14:paraId="4127904D" w14:textId="77777777" w:rsidR="00BE51C6" w:rsidRPr="00504452" w:rsidRDefault="00BE51C6" w:rsidP="00771F8E">
            <w:pPr>
              <w:spacing w:before="120" w:after="0" w:line="240" w:lineRule="auto"/>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631.15</w:t>
            </w:r>
            <w:r w:rsidRPr="00504452">
              <w:rPr>
                <w:rFonts w:ascii="Times New Roman" w:eastAsia="Times New Roman" w:hAnsi="Times New Roman" w:cs="Times New Roman"/>
                <w:kern w:val="0"/>
                <w:vertAlign w:val="superscript"/>
                <w14:ligatures w14:val="none"/>
              </w:rPr>
              <w:t>***</w:t>
            </w:r>
          </w:p>
        </w:tc>
        <w:tc>
          <w:tcPr>
            <w:tcW w:w="1796" w:type="dxa"/>
            <w:tcMar>
              <w:top w:w="30" w:type="dxa"/>
              <w:left w:w="45" w:type="dxa"/>
              <w:bottom w:w="30" w:type="dxa"/>
              <w:right w:w="45" w:type="dxa"/>
            </w:tcMar>
            <w:vAlign w:val="bottom"/>
            <w:hideMark/>
          </w:tcPr>
          <w:p w14:paraId="25D7B191" w14:textId="77777777" w:rsidR="00BE51C6" w:rsidRPr="00504452" w:rsidRDefault="00BE51C6" w:rsidP="00771F8E">
            <w:pPr>
              <w:spacing w:before="120" w:after="0" w:line="240" w:lineRule="auto"/>
              <w:rPr>
                <w:rFonts w:ascii="Times New Roman" w:eastAsia="Times New Roman" w:hAnsi="Times New Roman" w:cs="Times New Roman"/>
                <w:kern w:val="0"/>
                <w14:ligatures w14:val="none"/>
              </w:rPr>
            </w:pPr>
          </w:p>
        </w:tc>
      </w:tr>
      <w:tr w:rsidR="00BE51C6" w:rsidRPr="00504452" w14:paraId="4F9F0CD4" w14:textId="77777777" w:rsidTr="00BE51C6">
        <w:trPr>
          <w:trHeight w:val="315"/>
        </w:trPr>
        <w:tc>
          <w:tcPr>
            <w:tcW w:w="0" w:type="auto"/>
            <w:tcMar>
              <w:top w:w="30" w:type="dxa"/>
              <w:left w:w="45" w:type="dxa"/>
              <w:bottom w:w="30" w:type="dxa"/>
              <w:right w:w="45" w:type="dxa"/>
            </w:tcMar>
            <w:vAlign w:val="bottom"/>
            <w:hideMark/>
          </w:tcPr>
          <w:p w14:paraId="1998AEAF" w14:textId="77777777" w:rsidR="00BE51C6" w:rsidRPr="00504452" w:rsidRDefault="00BE51C6" w:rsidP="00771F8E">
            <w:pPr>
              <w:spacing w:before="120" w:after="0" w:line="240" w:lineRule="auto"/>
              <w:jc w:val="both"/>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lastRenderedPageBreak/>
              <w:t>Hệ số AR(1)</w:t>
            </w:r>
          </w:p>
        </w:tc>
        <w:tc>
          <w:tcPr>
            <w:tcW w:w="2657" w:type="dxa"/>
            <w:tcMar>
              <w:top w:w="30" w:type="dxa"/>
              <w:left w:w="45" w:type="dxa"/>
              <w:bottom w:w="30" w:type="dxa"/>
              <w:right w:w="45" w:type="dxa"/>
            </w:tcMar>
            <w:vAlign w:val="bottom"/>
            <w:hideMark/>
          </w:tcPr>
          <w:p w14:paraId="117221DB" w14:textId="77777777" w:rsidR="00BE51C6" w:rsidRPr="00504452" w:rsidRDefault="00BE51C6" w:rsidP="00771F8E">
            <w:pPr>
              <w:spacing w:before="120" w:after="0" w:line="240" w:lineRule="auto"/>
              <w:jc w:val="right"/>
              <w:rPr>
                <w:rFonts w:ascii="Times New Roman" w:eastAsia="Times New Roman" w:hAnsi="Times New Roman" w:cs="Times New Roman"/>
                <w:kern w:val="0"/>
                <w14:ligatures w14:val="none"/>
              </w:rPr>
            </w:pPr>
            <w:r w:rsidRPr="00504452">
              <w:rPr>
                <w:rFonts w:ascii="Times New Roman" w:eastAsia="Times New Roman" w:hAnsi="Times New Roman" w:cs="Times New Roman"/>
                <w:kern w:val="0"/>
                <w14:ligatures w14:val="none"/>
              </w:rPr>
              <w:t>0.9131</w:t>
            </w:r>
          </w:p>
        </w:tc>
        <w:tc>
          <w:tcPr>
            <w:tcW w:w="1796" w:type="dxa"/>
            <w:vAlign w:val="center"/>
            <w:hideMark/>
          </w:tcPr>
          <w:p w14:paraId="62897D76" w14:textId="77777777" w:rsidR="00BE51C6" w:rsidRPr="00504452" w:rsidRDefault="00BE51C6" w:rsidP="00771F8E">
            <w:pPr>
              <w:spacing w:before="120" w:after="0" w:line="240" w:lineRule="auto"/>
              <w:rPr>
                <w:rFonts w:ascii="Times New Roman" w:eastAsia="Times New Roman" w:hAnsi="Times New Roman" w:cs="Times New Roman"/>
                <w:kern w:val="0"/>
                <w14:ligatures w14:val="none"/>
              </w:rPr>
            </w:pPr>
          </w:p>
        </w:tc>
      </w:tr>
    </w:tbl>
    <w:p w14:paraId="7E22DBA9" w14:textId="77777777" w:rsidR="00A50209" w:rsidRPr="00504452" w:rsidRDefault="00A50209" w:rsidP="00771F8E">
      <w:pPr>
        <w:spacing w:before="120" w:after="0" w:line="240" w:lineRule="auto"/>
        <w:jc w:val="both"/>
        <w:rPr>
          <w:rFonts w:ascii="Times New Roman" w:hAnsi="Times New Roman" w:cs="Times New Roman"/>
          <w:b/>
          <w:bCs/>
          <w:color w:val="000000"/>
          <w:lang w:val="vi-VN"/>
        </w:rPr>
      </w:pPr>
      <w:r w:rsidRPr="00504452">
        <w:rPr>
          <w:rFonts w:ascii="Times New Roman" w:hAnsi="Times New Roman" w:cs="Times New Roman"/>
          <w:b/>
          <w:bCs/>
          <w:color w:val="000000"/>
          <w:lang w:val="vi-VN"/>
        </w:rPr>
        <w:t xml:space="preserve">Ghi chú: </w:t>
      </w:r>
      <w:r w:rsidRPr="00504452">
        <w:rPr>
          <w:rFonts w:ascii="Times New Roman" w:hAnsi="Times New Roman" w:cs="Times New Roman"/>
          <w:b/>
          <w:bCs/>
          <w:color w:val="000000"/>
          <w:vertAlign w:val="superscript"/>
          <w:lang w:val="vi-VN"/>
        </w:rPr>
        <w:t>***, **, *</w:t>
      </w:r>
      <w:r w:rsidRPr="00504452">
        <w:rPr>
          <w:rFonts w:ascii="Times New Roman" w:hAnsi="Times New Roman" w:cs="Times New Roman"/>
          <w:b/>
          <w:bCs/>
          <w:color w:val="000000"/>
          <w:lang w:val="vi-VN"/>
        </w:rPr>
        <w:t xml:space="preserve"> tương ứng với mức ý nghĩa thống kê 1%, 5%, và 10%. Giá trị trong ngoặc đơn là sai số chuẩn. </w:t>
      </w:r>
    </w:p>
    <w:p w14:paraId="42A7DDB1" w14:textId="7F2E12C8" w:rsidR="00231295" w:rsidRPr="00504452" w:rsidRDefault="00A50209" w:rsidP="00771F8E">
      <w:pPr>
        <w:spacing w:before="120" w:after="0" w:line="240" w:lineRule="auto"/>
        <w:jc w:val="center"/>
        <w:rPr>
          <w:rFonts w:ascii="Times New Roman" w:hAnsi="Times New Roman" w:cs="Times New Roman"/>
          <w:i/>
          <w:iCs/>
          <w:color w:val="000000"/>
          <w:lang w:val="vi-VN"/>
        </w:rPr>
      </w:pPr>
      <w:r w:rsidRPr="00504452">
        <w:rPr>
          <w:rFonts w:ascii="Times New Roman" w:hAnsi="Times New Roman" w:cs="Times New Roman"/>
          <w:i/>
          <w:iCs/>
          <w:color w:val="000000"/>
          <w:lang w:val="vi-VN"/>
        </w:rPr>
        <w:t>Nguồn: Tính toán của tác giả</w:t>
      </w:r>
      <w:r w:rsidR="00E91EBC" w:rsidRPr="00504452">
        <w:rPr>
          <w:rFonts w:ascii="Times New Roman" w:hAnsi="Times New Roman" w:cs="Times New Roman"/>
          <w:i/>
          <w:iCs/>
          <w:color w:val="000000"/>
          <w:lang w:val="vi-VN"/>
        </w:rPr>
        <w:t xml:space="preserve"> bằng phần mềm Stata.</w:t>
      </w:r>
    </w:p>
    <w:p w14:paraId="135BCC74" w14:textId="076A4DDD" w:rsidR="00AE31D9" w:rsidRPr="00BA0C47" w:rsidRDefault="00AE31D9" w:rsidP="00771F8E">
      <w:pPr>
        <w:spacing w:before="120" w:after="0" w:line="240" w:lineRule="auto"/>
        <w:ind w:firstLine="567"/>
        <w:jc w:val="both"/>
        <w:rPr>
          <w:rFonts w:ascii="Times New Roman" w:hAnsi="Times New Roman" w:cs="Times New Roman"/>
          <w:color w:val="000000"/>
        </w:rPr>
      </w:pPr>
      <w:r w:rsidRPr="00BA0C47">
        <w:rPr>
          <w:rFonts w:ascii="Times New Roman" w:hAnsi="Times New Roman" w:cs="Times New Roman"/>
          <w:color w:val="000000"/>
        </w:rPr>
        <w:t xml:space="preserve">Bảng </w:t>
      </w:r>
      <w:r w:rsidR="00E4379A" w:rsidRPr="00BA0C47">
        <w:rPr>
          <w:rFonts w:ascii="Times New Roman" w:hAnsi="Times New Roman" w:cs="Times New Roman"/>
          <w:color w:val="000000"/>
          <w:lang w:val="vi-VN"/>
        </w:rPr>
        <w:t>2 thể hiện</w:t>
      </w:r>
      <w:r w:rsidRPr="00BA0C47">
        <w:rPr>
          <w:rFonts w:ascii="Times New Roman" w:hAnsi="Times New Roman" w:cs="Times New Roman"/>
          <w:color w:val="000000"/>
        </w:rPr>
        <w:t xml:space="preserve"> kết quả ước lượng bằng phương pháp FGLS. Việc chọn FGLS là tối ưu do hệ số tự tương quan AR(1) rất cao (0.9131</w:t>
      </w:r>
      <w:r w:rsidRPr="00BA0C47">
        <w:rPr>
          <w:rFonts w:ascii="Times New Roman" w:hAnsi="Times New Roman" w:cs="Times New Roman"/>
          <w:color w:val="000000"/>
          <w:lang w:val="vi-VN"/>
        </w:rPr>
        <w:t xml:space="preserve">. </w:t>
      </w:r>
      <w:r w:rsidRPr="00BA0C47">
        <w:rPr>
          <w:rFonts w:ascii="Times New Roman" w:hAnsi="Times New Roman" w:cs="Times New Roman"/>
          <w:color w:val="000000"/>
        </w:rPr>
        <w:t>Thống kê Wald xác nhận mô hình tổng thể có ý nghĩa thống kê ở mức 99%.</w:t>
      </w:r>
      <w:r w:rsidRPr="00BA0C47">
        <w:rPr>
          <w:rFonts w:ascii="Times New Roman" w:hAnsi="Times New Roman" w:cs="Times New Roman"/>
          <w:color w:val="000000"/>
          <w:lang w:val="vi-VN"/>
        </w:rPr>
        <w:t xml:space="preserve"> </w:t>
      </w:r>
      <w:r w:rsidRPr="00BA0C47">
        <w:rPr>
          <w:rFonts w:ascii="Times New Roman" w:hAnsi="Times New Roman" w:cs="Times New Roman"/>
          <w:color w:val="000000"/>
        </w:rPr>
        <w:t>Kết quả cho thấy</w:t>
      </w:r>
      <w:r w:rsidR="009D027C">
        <w:rPr>
          <w:rFonts w:ascii="Times New Roman" w:hAnsi="Times New Roman" w:cs="Times New Roman"/>
          <w:color w:val="000000"/>
        </w:rPr>
        <w:t>,</w:t>
      </w:r>
      <w:r w:rsidRPr="00BA0C47">
        <w:rPr>
          <w:rFonts w:ascii="Times New Roman" w:hAnsi="Times New Roman" w:cs="Times New Roman"/>
          <w:color w:val="000000"/>
        </w:rPr>
        <w:t xml:space="preserve"> các biến quan</w:t>
      </w:r>
      <w:r w:rsidRPr="00BA0C47">
        <w:rPr>
          <w:rFonts w:ascii="Times New Roman" w:hAnsi="Times New Roman" w:cs="Times New Roman"/>
          <w:color w:val="000000"/>
          <w:lang w:val="vi-VN"/>
        </w:rPr>
        <w:t xml:space="preserve"> trọng</w:t>
      </w:r>
      <w:r w:rsidRPr="00BA0C47">
        <w:rPr>
          <w:rFonts w:ascii="Times New Roman" w:hAnsi="Times New Roman" w:cs="Times New Roman"/>
          <w:color w:val="000000"/>
        </w:rPr>
        <w:t xml:space="preserve"> đều mang dấu kỳ vọng và có ý nghĩa thống kê 1%:</w:t>
      </w:r>
    </w:p>
    <w:p w14:paraId="43BF4420" w14:textId="12490B55" w:rsidR="00AE31D9" w:rsidRPr="00BA0C47" w:rsidRDefault="00AE31D9"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Quy mô kinh tế (GDP):</w:t>
      </w:r>
      <w:r w:rsidRPr="00602578">
        <w:rPr>
          <w:rFonts w:ascii="Times New Roman" w:hAnsi="Times New Roman" w:cs="Times New Roman"/>
          <w:i/>
          <w:color w:val="000000"/>
        </w:rPr>
        <w:t> </w:t>
      </w:r>
      <w:r w:rsidRPr="00BA0C47">
        <w:rPr>
          <w:rFonts w:ascii="Times New Roman" w:hAnsi="Times New Roman" w:cs="Times New Roman"/>
          <w:color w:val="000000"/>
        </w:rPr>
        <w:t xml:space="preserve">Hệ số co giãn theo GDP đối tác </w:t>
      </w:r>
      <w:r w:rsidRPr="00BA0C47">
        <w:rPr>
          <w:rFonts w:ascii="Times New Roman" w:hAnsi="Times New Roman" w:cs="Times New Roman"/>
          <w:color w:val="000000"/>
          <w:lang w:val="vi-VN"/>
        </w:rPr>
        <w:t xml:space="preserve">có ý nghĩa là </w:t>
      </w:r>
      <w:r w:rsidRPr="00BA0C47">
        <w:rPr>
          <w:rFonts w:ascii="Times New Roman" w:hAnsi="Times New Roman" w:cs="Times New Roman"/>
          <w:color w:val="000000"/>
        </w:rPr>
        <w:t xml:space="preserve">GDP đối tác tăng 1% làm thương mại tăng tương ứng 1%. Đáng chú ý, hệ số co giãn theo GDP Việt Nam đạt mức rất cao là 1.714. Điều này phản ánh rõ nét đặc trưng của một nền kinh tế có "độ mở" lớn, chiến lược tăng trưởng </w:t>
      </w:r>
      <w:r w:rsidRPr="00BA0C47">
        <w:rPr>
          <w:rFonts w:ascii="Times New Roman" w:hAnsi="Times New Roman" w:cs="Times New Roman"/>
          <w:color w:val="000000"/>
          <w:lang w:val="vi-VN"/>
        </w:rPr>
        <w:t>hướng về</w:t>
      </w:r>
      <w:r w:rsidRPr="00BA0C47">
        <w:rPr>
          <w:rFonts w:ascii="Times New Roman" w:hAnsi="Times New Roman" w:cs="Times New Roman"/>
          <w:color w:val="000000"/>
        </w:rPr>
        <w:t xml:space="preserve"> nhập khẩu.</w:t>
      </w:r>
    </w:p>
    <w:p w14:paraId="1BA557A1" w14:textId="48E62447" w:rsidR="00AE31D9" w:rsidRPr="00BA0C47" w:rsidRDefault="00E4379A"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lang w:val="vi-VN"/>
        </w:rPr>
        <w:t>Khoảng cách</w:t>
      </w:r>
      <w:r w:rsidR="00AE31D9" w:rsidRPr="00602578">
        <w:rPr>
          <w:rFonts w:ascii="Times New Roman" w:hAnsi="Times New Roman" w:cs="Times New Roman"/>
          <w:bCs/>
          <w:i/>
          <w:color w:val="000000"/>
        </w:rPr>
        <w:t xml:space="preserve"> địa lý:</w:t>
      </w:r>
      <w:r w:rsidR="00AE31D9" w:rsidRPr="00BA0C47">
        <w:rPr>
          <w:rFonts w:ascii="Times New Roman" w:hAnsi="Times New Roman" w:cs="Times New Roman"/>
          <w:color w:val="000000"/>
        </w:rPr>
        <w:t> Khi khoảng cách tăng 1%, kim ngạch thương mại giảm 1,13% do sự gia tăng của các chi phí vận tải, thời gian và rào cản thông tin. Mức hệ số này nằm trong phổ tiêu chuẩn của các nghiên cứu thực chứng thế giới (-0.9 đến -1.5), khẳng định tính vững chắc của mô hình đối với Việt Nam.</w:t>
      </w:r>
    </w:p>
    <w:p w14:paraId="2E36B589" w14:textId="66B1F3FD" w:rsidR="00E4379A" w:rsidRPr="00BA0C47" w:rsidRDefault="00E4379A" w:rsidP="00771F8E">
      <w:pPr>
        <w:spacing w:before="120" w:after="0" w:line="240" w:lineRule="auto"/>
        <w:ind w:firstLine="567"/>
        <w:jc w:val="both"/>
        <w:rPr>
          <w:rFonts w:ascii="Times New Roman" w:hAnsi="Times New Roman" w:cs="Times New Roman"/>
          <w:color w:val="000000"/>
          <w:lang w:val="vi-VN"/>
        </w:rPr>
      </w:pPr>
      <w:r w:rsidRPr="00BA0C47">
        <w:rPr>
          <w:rFonts w:ascii="Times New Roman" w:hAnsi="Times New Roman" w:cs="Times New Roman"/>
          <w:color w:val="000000"/>
        </w:rPr>
        <w:t>Trên</w:t>
      </w:r>
      <w:r w:rsidRPr="00BA0C47">
        <w:rPr>
          <w:rFonts w:ascii="Times New Roman" w:hAnsi="Times New Roman" w:cs="Times New Roman"/>
          <w:color w:val="000000"/>
          <w:lang w:val="vi-VN"/>
        </w:rPr>
        <w:t xml:space="preserve"> cơ sở mô hình cơ bản, nghiên cứu tiếp tục ước lượng mô hình trọng lượng mở rộng. Kết quả được trình bày trong </w:t>
      </w:r>
      <w:r w:rsidR="009D027C">
        <w:rPr>
          <w:rFonts w:ascii="Times New Roman" w:hAnsi="Times New Roman" w:cs="Times New Roman"/>
          <w:color w:val="000000"/>
        </w:rPr>
        <w:t>B</w:t>
      </w:r>
      <w:r w:rsidRPr="00BA0C47">
        <w:rPr>
          <w:rFonts w:ascii="Times New Roman" w:hAnsi="Times New Roman" w:cs="Times New Roman"/>
          <w:color w:val="000000"/>
          <w:lang w:val="vi-VN"/>
        </w:rPr>
        <w:t>ảng 3</w:t>
      </w:r>
      <w:r w:rsidR="009D027C">
        <w:rPr>
          <w:rFonts w:ascii="Times New Roman" w:hAnsi="Times New Roman" w:cs="Times New Roman"/>
          <w:color w:val="000000"/>
        </w:rPr>
        <w:t>.</w:t>
      </w:r>
      <w:r w:rsidRPr="00BA0C47">
        <w:rPr>
          <w:rFonts w:ascii="Times New Roman" w:hAnsi="Times New Roman" w:cs="Times New Roman"/>
          <w:color w:val="000000"/>
          <w:lang w:val="vi-VN"/>
        </w:rPr>
        <w:t xml:space="preserve">  </w:t>
      </w:r>
    </w:p>
    <w:p w14:paraId="75D2500D" w14:textId="53EA2114" w:rsidR="00231295" w:rsidRPr="00BA0C47" w:rsidRDefault="009339C0" w:rsidP="00771F8E">
      <w:pPr>
        <w:spacing w:before="120" w:after="0" w:line="240" w:lineRule="auto"/>
        <w:jc w:val="both"/>
        <w:rPr>
          <w:rFonts w:ascii="Times New Roman" w:hAnsi="Times New Roman" w:cs="Times New Roman"/>
          <w:b/>
          <w:bCs/>
          <w:color w:val="000000"/>
          <w:lang w:val="vi-VN"/>
        </w:rPr>
      </w:pPr>
      <w:r w:rsidRPr="00BA0C47">
        <w:rPr>
          <w:rFonts w:ascii="Times New Roman" w:hAnsi="Times New Roman" w:cs="Times New Roman"/>
          <w:b/>
          <w:bCs/>
          <w:color w:val="000000"/>
          <w:lang w:val="vi-VN"/>
        </w:rPr>
        <w:t xml:space="preserve">Bảng </w:t>
      </w:r>
      <w:r w:rsidR="00E4379A" w:rsidRPr="00BA0C47">
        <w:rPr>
          <w:rFonts w:ascii="Times New Roman" w:hAnsi="Times New Roman" w:cs="Times New Roman"/>
          <w:b/>
          <w:bCs/>
          <w:color w:val="000000"/>
          <w:lang w:val="vi-VN"/>
        </w:rPr>
        <w:t>3</w:t>
      </w:r>
      <w:r w:rsidR="009D027C">
        <w:rPr>
          <w:rFonts w:ascii="Times New Roman" w:hAnsi="Times New Roman" w:cs="Times New Roman"/>
          <w:b/>
          <w:bCs/>
          <w:color w:val="000000"/>
        </w:rPr>
        <w:t>.</w:t>
      </w:r>
      <w:r w:rsidRPr="00BA0C47">
        <w:rPr>
          <w:rFonts w:ascii="Times New Roman" w:hAnsi="Times New Roman" w:cs="Times New Roman"/>
          <w:color w:val="000000"/>
          <w:lang w:val="vi-VN"/>
        </w:rPr>
        <w:t xml:space="preserve"> </w:t>
      </w:r>
      <w:r w:rsidRPr="00BA0C47">
        <w:rPr>
          <w:rFonts w:ascii="Times New Roman" w:hAnsi="Times New Roman" w:cs="Times New Roman"/>
          <w:b/>
          <w:bCs/>
          <w:color w:val="000000"/>
          <w:lang w:val="vi-VN"/>
        </w:rPr>
        <w:t xml:space="preserve">Kết quả ước lượng các phương pháp trong </w:t>
      </w:r>
      <w:r w:rsidR="00FB7196" w:rsidRPr="00BA0C47">
        <w:rPr>
          <w:rFonts w:ascii="Times New Roman" w:hAnsi="Times New Roman" w:cs="Times New Roman"/>
          <w:b/>
          <w:bCs/>
          <w:color w:val="000000"/>
          <w:lang w:val="vi-VN"/>
        </w:rPr>
        <w:t>m</w:t>
      </w:r>
      <w:r w:rsidRPr="00BA0C47">
        <w:rPr>
          <w:rFonts w:ascii="Times New Roman" w:hAnsi="Times New Roman" w:cs="Times New Roman"/>
          <w:b/>
          <w:bCs/>
          <w:color w:val="000000"/>
          <w:lang w:val="vi-VN"/>
        </w:rPr>
        <w:t xml:space="preserve">ô hình </w:t>
      </w:r>
      <w:r w:rsidR="00FB7196" w:rsidRPr="00BA0C47">
        <w:rPr>
          <w:rFonts w:ascii="Times New Roman" w:hAnsi="Times New Roman" w:cs="Times New Roman"/>
          <w:b/>
          <w:bCs/>
          <w:color w:val="000000"/>
          <w:lang w:val="vi-VN"/>
        </w:rPr>
        <w:t>t</w:t>
      </w:r>
      <w:r w:rsidRPr="00BA0C47">
        <w:rPr>
          <w:rFonts w:ascii="Times New Roman" w:hAnsi="Times New Roman" w:cs="Times New Roman"/>
          <w:b/>
          <w:bCs/>
          <w:color w:val="000000"/>
          <w:lang w:val="vi-VN"/>
        </w:rPr>
        <w:t xml:space="preserve">rọng lực dạng mở rộng </w:t>
      </w:r>
    </w:p>
    <w:tbl>
      <w:tblPr>
        <w:tblW w:w="9420" w:type="dxa"/>
        <w:tblInd w:w="-118" w:type="dxa"/>
        <w:tblBorders>
          <w:top w:val="single" w:sz="4" w:space="0" w:color="auto"/>
          <w:bottom w:val="single" w:sz="4" w:space="0" w:color="auto"/>
        </w:tblBorders>
        <w:tblLayout w:type="fixed"/>
        <w:tblLook w:val="0000" w:firstRow="0" w:lastRow="0" w:firstColumn="0" w:lastColumn="0" w:noHBand="0" w:noVBand="0"/>
      </w:tblPr>
      <w:tblGrid>
        <w:gridCol w:w="1860"/>
        <w:gridCol w:w="1860"/>
        <w:gridCol w:w="1860"/>
        <w:gridCol w:w="1860"/>
        <w:gridCol w:w="1980"/>
      </w:tblGrid>
      <w:tr w:rsidR="009339C0" w:rsidRPr="00BA0C47" w14:paraId="202C51CE" w14:textId="77777777" w:rsidTr="00B8323E">
        <w:tc>
          <w:tcPr>
            <w:tcW w:w="1860" w:type="dxa"/>
            <w:tcBorders>
              <w:top w:val="single" w:sz="4" w:space="0" w:color="auto"/>
              <w:bottom w:val="single" w:sz="4" w:space="0" w:color="auto"/>
            </w:tcBorders>
            <w:tcMar>
              <w:top w:w="60" w:type="nil"/>
              <w:left w:w="40" w:type="nil"/>
              <w:bottom w:w="40" w:type="nil"/>
              <w:right w:w="60" w:type="nil"/>
            </w:tcMar>
            <w:vAlign w:val="bottom"/>
          </w:tcPr>
          <w:p w14:paraId="5A7992C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Biến độc lập</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05002A1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(1) FEM</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725B99BB"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(2) REM</w:t>
            </w:r>
          </w:p>
        </w:tc>
        <w:tc>
          <w:tcPr>
            <w:tcW w:w="1860" w:type="dxa"/>
            <w:tcBorders>
              <w:top w:val="single" w:sz="4" w:space="0" w:color="auto"/>
              <w:bottom w:val="single" w:sz="4" w:space="0" w:color="auto"/>
            </w:tcBorders>
            <w:tcMar>
              <w:top w:w="60" w:type="nil"/>
              <w:left w:w="40" w:type="nil"/>
              <w:bottom w:w="40" w:type="nil"/>
              <w:right w:w="60" w:type="nil"/>
            </w:tcMar>
            <w:vAlign w:val="bottom"/>
          </w:tcPr>
          <w:p w14:paraId="3F2591EC"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rPr>
            </w:pPr>
            <w:r w:rsidRPr="00BA0C47">
              <w:rPr>
                <w:rFonts w:ascii="Times New Roman" w:hAnsi="Times New Roman" w:cs="Times New Roman"/>
                <w:b/>
                <w:bCs/>
                <w:kern w:val="0"/>
              </w:rPr>
              <w:t>(3) FGLS</w:t>
            </w:r>
          </w:p>
        </w:tc>
        <w:tc>
          <w:tcPr>
            <w:tcW w:w="1980" w:type="dxa"/>
            <w:tcBorders>
              <w:top w:val="single" w:sz="4" w:space="0" w:color="auto"/>
              <w:bottom w:val="single" w:sz="4" w:space="0" w:color="auto"/>
            </w:tcBorders>
            <w:tcMar>
              <w:left w:w="40" w:type="nil"/>
              <w:bottom w:w="40" w:type="nil"/>
            </w:tcMar>
            <w:vAlign w:val="bottom"/>
          </w:tcPr>
          <w:p w14:paraId="1F5BCF4C" w14:textId="27C78C7A" w:rsidR="009339C0" w:rsidRPr="00BA0C47" w:rsidRDefault="009339C0" w:rsidP="00771F8E">
            <w:pPr>
              <w:autoSpaceDE w:val="0"/>
              <w:autoSpaceDN w:val="0"/>
              <w:adjustRightInd w:val="0"/>
              <w:spacing w:before="120" w:after="0" w:line="240" w:lineRule="auto"/>
              <w:rPr>
                <w:rFonts w:ascii="Times New Roman" w:hAnsi="Times New Roman" w:cs="Times New Roman"/>
                <w:b/>
                <w:bCs/>
                <w:kern w:val="0"/>
                <w:lang w:val="vi-VN"/>
              </w:rPr>
            </w:pPr>
            <w:r w:rsidRPr="00BA0C47">
              <w:rPr>
                <w:rFonts w:ascii="Times New Roman" w:hAnsi="Times New Roman" w:cs="Times New Roman"/>
                <w:b/>
                <w:bCs/>
                <w:kern w:val="0"/>
              </w:rPr>
              <w:t xml:space="preserve">(4) PPML </w:t>
            </w:r>
          </w:p>
        </w:tc>
      </w:tr>
      <w:tr w:rsidR="009339C0" w:rsidRPr="00BA0C47" w14:paraId="5725340B" w14:textId="77777777" w:rsidTr="00B8323E">
        <w:tc>
          <w:tcPr>
            <w:tcW w:w="1860" w:type="dxa"/>
            <w:tcBorders>
              <w:top w:val="single" w:sz="4" w:space="0" w:color="auto"/>
            </w:tcBorders>
            <w:tcMar>
              <w:top w:w="60" w:type="nil"/>
              <w:left w:w="40" w:type="nil"/>
              <w:bottom w:w="40" w:type="nil"/>
              <w:right w:w="60" w:type="nil"/>
            </w:tcMar>
            <w:vAlign w:val="bottom"/>
          </w:tcPr>
          <w:p w14:paraId="5F4B125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ln_gdp</w:t>
            </w:r>
          </w:p>
        </w:tc>
        <w:tc>
          <w:tcPr>
            <w:tcW w:w="1860" w:type="dxa"/>
            <w:tcBorders>
              <w:top w:val="single" w:sz="4" w:space="0" w:color="auto"/>
            </w:tcBorders>
            <w:tcMar>
              <w:top w:w="60" w:type="nil"/>
              <w:left w:w="40" w:type="nil"/>
              <w:bottom w:w="40" w:type="nil"/>
              <w:right w:w="60" w:type="nil"/>
            </w:tcMar>
            <w:vAlign w:val="bottom"/>
          </w:tcPr>
          <w:p w14:paraId="5E0B90E2"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0.431</w:t>
            </w:r>
            <w:r w:rsidRPr="00BA0C47">
              <w:rPr>
                <w:rFonts w:ascii="Times New Roman" w:hAnsi="Times New Roman" w:cs="Times New Roman"/>
                <w:kern w:val="0"/>
                <w:vertAlign w:val="superscript"/>
              </w:rPr>
              <w:t>***</w:t>
            </w:r>
            <w:r w:rsidRPr="00BA0C47">
              <w:rPr>
                <w:rFonts w:ascii="Times New Roman" w:hAnsi="Times New Roman" w:cs="Times New Roman"/>
                <w:kern w:val="0"/>
              </w:rPr>
              <w:t>(0.154)</w:t>
            </w:r>
          </w:p>
        </w:tc>
        <w:tc>
          <w:tcPr>
            <w:tcW w:w="1860" w:type="dxa"/>
            <w:tcBorders>
              <w:top w:val="single" w:sz="4" w:space="0" w:color="auto"/>
            </w:tcBorders>
            <w:tcMar>
              <w:top w:w="60" w:type="nil"/>
              <w:left w:w="40" w:type="nil"/>
              <w:bottom w:w="40" w:type="nil"/>
              <w:right w:w="60" w:type="nil"/>
            </w:tcMar>
            <w:vAlign w:val="bottom"/>
          </w:tcPr>
          <w:p w14:paraId="7CC222E9"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0.776</w:t>
            </w:r>
            <w:r w:rsidRPr="00BA0C47">
              <w:rPr>
                <w:rFonts w:ascii="Times New Roman" w:hAnsi="Times New Roman" w:cs="Times New Roman"/>
                <w:kern w:val="0"/>
                <w:vertAlign w:val="superscript"/>
              </w:rPr>
              <w:t>***</w:t>
            </w:r>
            <w:r w:rsidRPr="00BA0C47">
              <w:rPr>
                <w:rFonts w:ascii="Times New Roman" w:hAnsi="Times New Roman" w:cs="Times New Roman"/>
                <w:kern w:val="0"/>
              </w:rPr>
              <w:t>(0.110)</w:t>
            </w:r>
          </w:p>
        </w:tc>
        <w:tc>
          <w:tcPr>
            <w:tcW w:w="1860" w:type="dxa"/>
            <w:tcBorders>
              <w:top w:val="single" w:sz="4" w:space="0" w:color="auto"/>
            </w:tcBorders>
            <w:tcMar>
              <w:top w:w="60" w:type="nil"/>
              <w:left w:w="40" w:type="nil"/>
              <w:bottom w:w="40" w:type="nil"/>
              <w:right w:w="60" w:type="nil"/>
            </w:tcMar>
            <w:vAlign w:val="bottom"/>
          </w:tcPr>
          <w:p w14:paraId="3EC24BAA" w14:textId="4352A692" w:rsidR="009339C0" w:rsidRPr="00BA0C47" w:rsidRDefault="006F7702"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lang w:val="vi-VN"/>
              </w:rPr>
              <w:t>1.057</w:t>
            </w:r>
            <w:r w:rsidR="009339C0" w:rsidRPr="00BA0C47">
              <w:rPr>
                <w:rFonts w:ascii="Times New Roman" w:hAnsi="Times New Roman" w:cs="Times New Roman"/>
                <w:kern w:val="0"/>
                <w:vertAlign w:val="superscript"/>
              </w:rPr>
              <w:t>***</w:t>
            </w:r>
            <w:r w:rsidR="009339C0" w:rsidRPr="00BA0C47">
              <w:rPr>
                <w:rFonts w:ascii="Times New Roman" w:hAnsi="Times New Roman" w:cs="Times New Roman"/>
                <w:kern w:val="0"/>
              </w:rPr>
              <w:t>(0.101)</w:t>
            </w:r>
          </w:p>
        </w:tc>
        <w:tc>
          <w:tcPr>
            <w:tcW w:w="1980" w:type="dxa"/>
            <w:tcBorders>
              <w:top w:val="single" w:sz="4" w:space="0" w:color="auto"/>
            </w:tcBorders>
            <w:tcMar>
              <w:top w:w="60" w:type="nil"/>
              <w:left w:w="40" w:type="nil"/>
              <w:bottom w:w="40" w:type="nil"/>
              <w:right w:w="60" w:type="nil"/>
            </w:tcMar>
            <w:vAlign w:val="bottom"/>
          </w:tcPr>
          <w:p w14:paraId="3EDD9EE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0.447</w:t>
            </w:r>
            <w:r w:rsidRPr="00BA0C47">
              <w:rPr>
                <w:rFonts w:ascii="Times New Roman" w:hAnsi="Times New Roman" w:cs="Times New Roman"/>
                <w:kern w:val="0"/>
                <w:vertAlign w:val="superscript"/>
              </w:rPr>
              <w:t>***</w:t>
            </w:r>
            <w:r w:rsidRPr="00BA0C47">
              <w:rPr>
                <w:rFonts w:ascii="Times New Roman" w:hAnsi="Times New Roman" w:cs="Times New Roman"/>
                <w:kern w:val="0"/>
              </w:rPr>
              <w:t>(0.106)</w:t>
            </w:r>
          </w:p>
        </w:tc>
      </w:tr>
      <w:tr w:rsidR="009339C0" w:rsidRPr="00BA0C47" w14:paraId="45E53258" w14:textId="77777777" w:rsidTr="00B8323E">
        <w:tc>
          <w:tcPr>
            <w:tcW w:w="1860" w:type="dxa"/>
            <w:tcMar>
              <w:top w:w="60" w:type="nil"/>
              <w:left w:w="40" w:type="nil"/>
              <w:bottom w:w="40" w:type="nil"/>
              <w:right w:w="60" w:type="nil"/>
            </w:tcMar>
            <w:vAlign w:val="bottom"/>
          </w:tcPr>
          <w:p w14:paraId="494A7212"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ln_gdp_vn</w:t>
            </w:r>
          </w:p>
        </w:tc>
        <w:tc>
          <w:tcPr>
            <w:tcW w:w="1860" w:type="dxa"/>
            <w:tcMar>
              <w:top w:w="60" w:type="nil"/>
              <w:left w:w="40" w:type="nil"/>
              <w:bottom w:w="40" w:type="nil"/>
              <w:right w:w="60" w:type="nil"/>
            </w:tcMar>
            <w:vAlign w:val="bottom"/>
          </w:tcPr>
          <w:p w14:paraId="480701D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2.555</w:t>
            </w:r>
            <w:r w:rsidRPr="00BA0C47">
              <w:rPr>
                <w:rFonts w:ascii="Times New Roman" w:hAnsi="Times New Roman" w:cs="Times New Roman"/>
                <w:kern w:val="0"/>
                <w:vertAlign w:val="superscript"/>
              </w:rPr>
              <w:t>***</w:t>
            </w:r>
            <w:r w:rsidRPr="00BA0C47">
              <w:rPr>
                <w:rFonts w:ascii="Times New Roman" w:hAnsi="Times New Roman" w:cs="Times New Roman"/>
                <w:kern w:val="0"/>
              </w:rPr>
              <w:t>(0.131)</w:t>
            </w:r>
          </w:p>
        </w:tc>
        <w:tc>
          <w:tcPr>
            <w:tcW w:w="1860" w:type="dxa"/>
            <w:tcMar>
              <w:top w:w="60" w:type="nil"/>
              <w:left w:w="40" w:type="nil"/>
              <w:bottom w:w="40" w:type="nil"/>
              <w:right w:w="60" w:type="nil"/>
            </w:tcMar>
            <w:vAlign w:val="bottom"/>
          </w:tcPr>
          <w:p w14:paraId="4FDE851F"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2.347</w:t>
            </w:r>
            <w:r w:rsidRPr="00BA0C47">
              <w:rPr>
                <w:rFonts w:ascii="Times New Roman" w:hAnsi="Times New Roman" w:cs="Times New Roman"/>
                <w:kern w:val="0"/>
                <w:vertAlign w:val="superscript"/>
              </w:rPr>
              <w:t>***</w:t>
            </w:r>
            <w:r w:rsidRPr="00BA0C47">
              <w:rPr>
                <w:rFonts w:ascii="Times New Roman" w:hAnsi="Times New Roman" w:cs="Times New Roman"/>
                <w:kern w:val="0"/>
              </w:rPr>
              <w:t>(0.114)</w:t>
            </w:r>
          </w:p>
        </w:tc>
        <w:tc>
          <w:tcPr>
            <w:tcW w:w="1860" w:type="dxa"/>
            <w:tcMar>
              <w:top w:w="60" w:type="nil"/>
              <w:left w:w="40" w:type="nil"/>
              <w:bottom w:w="40" w:type="nil"/>
              <w:right w:w="60" w:type="nil"/>
            </w:tcMar>
            <w:vAlign w:val="bottom"/>
          </w:tcPr>
          <w:p w14:paraId="26A5E54F" w14:textId="20D494F6"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w:t>
            </w:r>
            <w:r w:rsidR="006F7702" w:rsidRPr="00BA0C47">
              <w:rPr>
                <w:rFonts w:ascii="Times New Roman" w:hAnsi="Times New Roman" w:cs="Times New Roman"/>
                <w:kern w:val="0"/>
                <w:lang w:val="vi-VN"/>
              </w:rPr>
              <w:t>124</w:t>
            </w:r>
            <w:r w:rsidRPr="00BA0C47">
              <w:rPr>
                <w:rFonts w:ascii="Times New Roman" w:hAnsi="Times New Roman" w:cs="Times New Roman"/>
                <w:kern w:val="0"/>
                <w:vertAlign w:val="superscript"/>
              </w:rPr>
              <w:t>***</w:t>
            </w:r>
            <w:r w:rsidRPr="00BA0C47">
              <w:rPr>
                <w:rFonts w:ascii="Times New Roman" w:hAnsi="Times New Roman" w:cs="Times New Roman"/>
                <w:kern w:val="0"/>
              </w:rPr>
              <w:t>(0.105)</w:t>
            </w:r>
          </w:p>
        </w:tc>
        <w:tc>
          <w:tcPr>
            <w:tcW w:w="1980" w:type="dxa"/>
            <w:tcMar>
              <w:top w:w="60" w:type="nil"/>
              <w:left w:w="40" w:type="nil"/>
              <w:bottom w:w="40" w:type="nil"/>
              <w:right w:w="60" w:type="nil"/>
            </w:tcMar>
            <w:vAlign w:val="bottom"/>
          </w:tcPr>
          <w:p w14:paraId="455AC285"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2.046</w:t>
            </w:r>
            <w:r w:rsidRPr="00BA0C47">
              <w:rPr>
                <w:rFonts w:ascii="Times New Roman" w:hAnsi="Times New Roman" w:cs="Times New Roman"/>
                <w:kern w:val="0"/>
                <w:vertAlign w:val="superscript"/>
              </w:rPr>
              <w:t>***</w:t>
            </w:r>
            <w:r w:rsidRPr="00BA0C47">
              <w:rPr>
                <w:rFonts w:ascii="Times New Roman" w:hAnsi="Times New Roman" w:cs="Times New Roman"/>
                <w:kern w:val="0"/>
              </w:rPr>
              <w:t>(0.167)</w:t>
            </w:r>
          </w:p>
        </w:tc>
      </w:tr>
      <w:tr w:rsidR="009339C0" w:rsidRPr="00BA0C47" w14:paraId="11A49D91" w14:textId="77777777" w:rsidTr="00B8323E">
        <w:tc>
          <w:tcPr>
            <w:tcW w:w="1860" w:type="dxa"/>
            <w:tcMar>
              <w:top w:w="60" w:type="nil"/>
              <w:left w:w="40" w:type="nil"/>
              <w:bottom w:w="40" w:type="nil"/>
              <w:right w:w="60" w:type="nil"/>
            </w:tcMar>
            <w:vAlign w:val="bottom"/>
          </w:tcPr>
          <w:p w14:paraId="04C9457F"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ln_dist</w:t>
            </w:r>
          </w:p>
        </w:tc>
        <w:tc>
          <w:tcPr>
            <w:tcW w:w="1860" w:type="dxa"/>
            <w:tcMar>
              <w:top w:w="60" w:type="nil"/>
              <w:left w:w="40" w:type="nil"/>
              <w:bottom w:w="40" w:type="nil"/>
              <w:right w:w="60" w:type="nil"/>
            </w:tcMar>
            <w:vAlign w:val="bottom"/>
          </w:tcPr>
          <w:p w14:paraId="387BBF5A"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(omitted)</w:t>
            </w:r>
          </w:p>
        </w:tc>
        <w:tc>
          <w:tcPr>
            <w:tcW w:w="1860" w:type="dxa"/>
            <w:tcMar>
              <w:top w:w="60" w:type="nil"/>
              <w:left w:w="40" w:type="nil"/>
              <w:bottom w:w="40" w:type="nil"/>
              <w:right w:w="60" w:type="nil"/>
            </w:tcMar>
            <w:vAlign w:val="bottom"/>
          </w:tcPr>
          <w:p w14:paraId="7E68AB9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-0.279(0.395)</w:t>
            </w:r>
          </w:p>
        </w:tc>
        <w:tc>
          <w:tcPr>
            <w:tcW w:w="1860" w:type="dxa"/>
            <w:tcMar>
              <w:top w:w="60" w:type="nil"/>
              <w:left w:w="40" w:type="nil"/>
              <w:bottom w:w="40" w:type="nil"/>
              <w:right w:w="60" w:type="nil"/>
            </w:tcMar>
            <w:vAlign w:val="bottom"/>
          </w:tcPr>
          <w:p w14:paraId="108BE680"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-0.702</w:t>
            </w:r>
            <w:r w:rsidRPr="00BA0C47">
              <w:rPr>
                <w:rFonts w:ascii="Times New Roman" w:hAnsi="Times New Roman" w:cs="Times New Roman"/>
                <w:kern w:val="0"/>
                <w:vertAlign w:val="superscript"/>
              </w:rPr>
              <w:t>***</w:t>
            </w:r>
            <w:r w:rsidRPr="00BA0C47">
              <w:rPr>
                <w:rFonts w:ascii="Times New Roman" w:hAnsi="Times New Roman" w:cs="Times New Roman"/>
                <w:kern w:val="0"/>
              </w:rPr>
              <w:t>(0.182)</w:t>
            </w:r>
          </w:p>
        </w:tc>
        <w:tc>
          <w:tcPr>
            <w:tcW w:w="1980" w:type="dxa"/>
            <w:tcMar>
              <w:top w:w="60" w:type="nil"/>
              <w:left w:w="40" w:type="nil"/>
              <w:bottom w:w="40" w:type="nil"/>
              <w:right w:w="60" w:type="nil"/>
            </w:tcMar>
            <w:vAlign w:val="bottom"/>
          </w:tcPr>
          <w:p w14:paraId="62166EC6"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-0.457</w:t>
            </w:r>
            <w:r w:rsidRPr="00BA0C47">
              <w:rPr>
                <w:rFonts w:ascii="Times New Roman" w:hAnsi="Times New Roman" w:cs="Times New Roman"/>
                <w:kern w:val="0"/>
                <w:vertAlign w:val="superscript"/>
              </w:rPr>
              <w:t>**</w:t>
            </w:r>
            <w:r w:rsidRPr="00BA0C47">
              <w:rPr>
                <w:rFonts w:ascii="Times New Roman" w:hAnsi="Times New Roman" w:cs="Times New Roman"/>
                <w:kern w:val="0"/>
              </w:rPr>
              <w:t>(0.200)</w:t>
            </w:r>
          </w:p>
        </w:tc>
      </w:tr>
      <w:tr w:rsidR="009339C0" w:rsidRPr="00BA0C47" w14:paraId="285AB425" w14:textId="77777777" w:rsidTr="00B8323E">
        <w:tc>
          <w:tcPr>
            <w:tcW w:w="1860" w:type="dxa"/>
            <w:tcMar>
              <w:top w:w="60" w:type="nil"/>
              <w:left w:w="40" w:type="nil"/>
              <w:bottom w:w="40" w:type="nil"/>
              <w:right w:w="60" w:type="nil"/>
            </w:tcMar>
            <w:vAlign w:val="bottom"/>
          </w:tcPr>
          <w:p w14:paraId="733D6BE9"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ln_rer</w:t>
            </w:r>
          </w:p>
        </w:tc>
        <w:tc>
          <w:tcPr>
            <w:tcW w:w="1860" w:type="dxa"/>
            <w:tcMar>
              <w:top w:w="60" w:type="nil"/>
              <w:left w:w="40" w:type="nil"/>
              <w:bottom w:w="40" w:type="nil"/>
              <w:right w:w="60" w:type="nil"/>
            </w:tcMar>
            <w:vAlign w:val="bottom"/>
          </w:tcPr>
          <w:p w14:paraId="1661B83E"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-0.173</w:t>
            </w:r>
            <w:r w:rsidRPr="00BA0C47">
              <w:rPr>
                <w:rFonts w:ascii="Times New Roman" w:hAnsi="Times New Roman" w:cs="Times New Roman"/>
                <w:kern w:val="0"/>
                <w:vertAlign w:val="superscript"/>
              </w:rPr>
              <w:t>***</w:t>
            </w:r>
            <w:r w:rsidRPr="00BA0C47">
              <w:rPr>
                <w:rFonts w:ascii="Times New Roman" w:hAnsi="Times New Roman" w:cs="Times New Roman"/>
                <w:kern w:val="0"/>
              </w:rPr>
              <w:t>(0.064)</w:t>
            </w:r>
          </w:p>
        </w:tc>
        <w:tc>
          <w:tcPr>
            <w:tcW w:w="1860" w:type="dxa"/>
            <w:tcMar>
              <w:top w:w="60" w:type="nil"/>
              <w:left w:w="40" w:type="nil"/>
              <w:bottom w:w="40" w:type="nil"/>
              <w:right w:w="60" w:type="nil"/>
            </w:tcMar>
            <w:vAlign w:val="bottom"/>
          </w:tcPr>
          <w:p w14:paraId="3DE5D9E5"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-0.112</w:t>
            </w:r>
            <w:r w:rsidRPr="00BA0C47">
              <w:rPr>
                <w:rFonts w:ascii="Times New Roman" w:hAnsi="Times New Roman" w:cs="Times New Roman"/>
                <w:kern w:val="0"/>
                <w:vertAlign w:val="superscript"/>
              </w:rPr>
              <w:t>**</w:t>
            </w:r>
            <w:r w:rsidRPr="00BA0C47">
              <w:rPr>
                <w:rFonts w:ascii="Times New Roman" w:hAnsi="Times New Roman" w:cs="Times New Roman"/>
                <w:kern w:val="0"/>
              </w:rPr>
              <w:t>(0.044)</w:t>
            </w:r>
          </w:p>
        </w:tc>
        <w:tc>
          <w:tcPr>
            <w:tcW w:w="1860" w:type="dxa"/>
            <w:tcMar>
              <w:top w:w="60" w:type="nil"/>
              <w:left w:w="40" w:type="nil"/>
              <w:bottom w:w="40" w:type="nil"/>
              <w:right w:w="60" w:type="nil"/>
            </w:tcMar>
            <w:vAlign w:val="bottom"/>
          </w:tcPr>
          <w:p w14:paraId="35E508F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0.001(0.034)</w:t>
            </w:r>
          </w:p>
        </w:tc>
        <w:tc>
          <w:tcPr>
            <w:tcW w:w="1980" w:type="dxa"/>
            <w:tcMar>
              <w:top w:w="60" w:type="nil"/>
              <w:left w:w="40" w:type="nil"/>
              <w:bottom w:w="40" w:type="nil"/>
              <w:right w:w="60" w:type="nil"/>
            </w:tcMar>
            <w:vAlign w:val="bottom"/>
          </w:tcPr>
          <w:p w14:paraId="2E951531"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0.001(0.034)</w:t>
            </w:r>
          </w:p>
        </w:tc>
      </w:tr>
      <w:tr w:rsidR="009339C0" w:rsidRPr="00BA0C47" w14:paraId="590D5B65" w14:textId="77777777" w:rsidTr="00B8323E">
        <w:tc>
          <w:tcPr>
            <w:tcW w:w="1860" w:type="dxa"/>
            <w:tcMar>
              <w:top w:w="60" w:type="nil"/>
              <w:left w:w="40" w:type="nil"/>
              <w:bottom w:w="40" w:type="nil"/>
              <w:right w:w="60" w:type="nil"/>
            </w:tcMar>
            <w:vAlign w:val="bottom"/>
          </w:tcPr>
          <w:p w14:paraId="3ABDC3E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Border (Biên giới)</w:t>
            </w:r>
          </w:p>
        </w:tc>
        <w:tc>
          <w:tcPr>
            <w:tcW w:w="1860" w:type="dxa"/>
            <w:tcMar>
              <w:top w:w="60" w:type="nil"/>
              <w:left w:w="40" w:type="nil"/>
              <w:bottom w:w="40" w:type="nil"/>
              <w:right w:w="60" w:type="nil"/>
            </w:tcMar>
            <w:vAlign w:val="bottom"/>
          </w:tcPr>
          <w:p w14:paraId="1D10AA24"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(omitted)</w:t>
            </w:r>
          </w:p>
        </w:tc>
        <w:tc>
          <w:tcPr>
            <w:tcW w:w="1860" w:type="dxa"/>
            <w:tcMar>
              <w:top w:w="60" w:type="nil"/>
              <w:left w:w="40" w:type="nil"/>
              <w:bottom w:w="40" w:type="nil"/>
              <w:right w:w="60" w:type="nil"/>
            </w:tcMar>
            <w:vAlign w:val="bottom"/>
          </w:tcPr>
          <w:p w14:paraId="235BF64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0.545(0.517)</w:t>
            </w:r>
          </w:p>
        </w:tc>
        <w:tc>
          <w:tcPr>
            <w:tcW w:w="1860" w:type="dxa"/>
            <w:tcMar>
              <w:top w:w="60" w:type="nil"/>
              <w:left w:w="40" w:type="nil"/>
              <w:bottom w:w="40" w:type="nil"/>
              <w:right w:w="60" w:type="nil"/>
            </w:tcMar>
            <w:vAlign w:val="bottom"/>
          </w:tcPr>
          <w:p w14:paraId="1A03DB69"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-0.109(0.252)</w:t>
            </w:r>
          </w:p>
        </w:tc>
        <w:tc>
          <w:tcPr>
            <w:tcW w:w="1980" w:type="dxa"/>
            <w:tcMar>
              <w:top w:w="60" w:type="nil"/>
              <w:left w:w="40" w:type="nil"/>
              <w:bottom w:w="40" w:type="nil"/>
              <w:right w:w="60" w:type="nil"/>
            </w:tcMar>
            <w:vAlign w:val="bottom"/>
          </w:tcPr>
          <w:p w14:paraId="210507EA"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-0.002(0.263)</w:t>
            </w:r>
          </w:p>
        </w:tc>
      </w:tr>
      <w:tr w:rsidR="009339C0" w:rsidRPr="00BA0C47" w14:paraId="3C03E3EA" w14:textId="77777777" w:rsidTr="00B8323E">
        <w:tc>
          <w:tcPr>
            <w:tcW w:w="1860" w:type="dxa"/>
            <w:tcMar>
              <w:top w:w="60" w:type="nil"/>
              <w:left w:w="40" w:type="nil"/>
              <w:bottom w:w="40" w:type="nil"/>
              <w:right w:w="60" w:type="nil"/>
            </w:tcMar>
            <w:vAlign w:val="bottom"/>
          </w:tcPr>
          <w:p w14:paraId="70782527"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ASEAN (Khối)</w:t>
            </w:r>
          </w:p>
        </w:tc>
        <w:tc>
          <w:tcPr>
            <w:tcW w:w="1860" w:type="dxa"/>
            <w:tcMar>
              <w:top w:w="60" w:type="nil"/>
              <w:left w:w="40" w:type="nil"/>
              <w:bottom w:w="40" w:type="nil"/>
              <w:right w:w="60" w:type="nil"/>
            </w:tcMar>
            <w:vAlign w:val="bottom"/>
          </w:tcPr>
          <w:p w14:paraId="4C3645D9"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(omitted)</w:t>
            </w:r>
          </w:p>
        </w:tc>
        <w:tc>
          <w:tcPr>
            <w:tcW w:w="1860" w:type="dxa"/>
            <w:tcMar>
              <w:top w:w="60" w:type="nil"/>
              <w:left w:w="40" w:type="nil"/>
              <w:bottom w:w="40" w:type="nil"/>
              <w:right w:w="60" w:type="nil"/>
            </w:tcMar>
            <w:vAlign w:val="bottom"/>
          </w:tcPr>
          <w:p w14:paraId="5922794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0.030(0.685)</w:t>
            </w:r>
          </w:p>
        </w:tc>
        <w:tc>
          <w:tcPr>
            <w:tcW w:w="1860" w:type="dxa"/>
            <w:tcMar>
              <w:top w:w="60" w:type="nil"/>
              <w:left w:w="40" w:type="nil"/>
              <w:bottom w:w="40" w:type="nil"/>
              <w:right w:w="60" w:type="nil"/>
            </w:tcMar>
            <w:vAlign w:val="bottom"/>
          </w:tcPr>
          <w:p w14:paraId="1A92DA9B"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-0.521(0.372)</w:t>
            </w:r>
          </w:p>
        </w:tc>
        <w:tc>
          <w:tcPr>
            <w:tcW w:w="1980" w:type="dxa"/>
            <w:tcMar>
              <w:top w:w="60" w:type="nil"/>
              <w:left w:w="40" w:type="nil"/>
              <w:bottom w:w="40" w:type="nil"/>
              <w:right w:w="60" w:type="nil"/>
            </w:tcMar>
            <w:vAlign w:val="bottom"/>
          </w:tcPr>
          <w:p w14:paraId="0ED928EE"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-0.336(0.611)</w:t>
            </w:r>
          </w:p>
        </w:tc>
      </w:tr>
      <w:tr w:rsidR="009339C0" w:rsidRPr="00BA0C47" w14:paraId="626922AE" w14:textId="77777777" w:rsidTr="00B8323E">
        <w:tc>
          <w:tcPr>
            <w:tcW w:w="1860" w:type="dxa"/>
            <w:tcMar>
              <w:top w:w="60" w:type="nil"/>
              <w:left w:w="40" w:type="nil"/>
              <w:bottom w:w="40" w:type="nil"/>
              <w:right w:w="60" w:type="nil"/>
            </w:tcMar>
            <w:vAlign w:val="bottom"/>
          </w:tcPr>
          <w:p w14:paraId="7C4B5D59"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AEC (Cộng đồng kinh tế)</w:t>
            </w:r>
          </w:p>
        </w:tc>
        <w:tc>
          <w:tcPr>
            <w:tcW w:w="1860" w:type="dxa"/>
            <w:tcMar>
              <w:top w:w="60" w:type="nil"/>
              <w:left w:w="40" w:type="nil"/>
              <w:bottom w:w="40" w:type="nil"/>
              <w:right w:w="60" w:type="nil"/>
            </w:tcMar>
            <w:vAlign w:val="bottom"/>
          </w:tcPr>
          <w:p w14:paraId="72491B4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-0.755</w:t>
            </w:r>
            <w:r w:rsidRPr="00BA0C47">
              <w:rPr>
                <w:rFonts w:ascii="Times New Roman" w:hAnsi="Times New Roman" w:cs="Times New Roman"/>
                <w:kern w:val="0"/>
                <w:vertAlign w:val="superscript"/>
              </w:rPr>
              <w:t>***(</w:t>
            </w:r>
            <w:r w:rsidRPr="00BA0C47">
              <w:rPr>
                <w:rFonts w:ascii="Times New Roman" w:hAnsi="Times New Roman" w:cs="Times New Roman"/>
                <w:kern w:val="0"/>
              </w:rPr>
              <w:t>0.120)</w:t>
            </w:r>
          </w:p>
        </w:tc>
        <w:tc>
          <w:tcPr>
            <w:tcW w:w="1860" w:type="dxa"/>
            <w:tcMar>
              <w:top w:w="60" w:type="nil"/>
              <w:left w:w="40" w:type="nil"/>
              <w:bottom w:w="40" w:type="nil"/>
              <w:right w:w="60" w:type="nil"/>
            </w:tcMar>
            <w:vAlign w:val="bottom"/>
          </w:tcPr>
          <w:p w14:paraId="79A7C3F6"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-0.782</w:t>
            </w:r>
            <w:r w:rsidRPr="00BA0C47">
              <w:rPr>
                <w:rFonts w:ascii="Times New Roman" w:hAnsi="Times New Roman" w:cs="Times New Roman"/>
                <w:kern w:val="0"/>
                <w:vertAlign w:val="superscript"/>
              </w:rPr>
              <w:t>***</w:t>
            </w:r>
            <w:r w:rsidRPr="00BA0C47">
              <w:rPr>
                <w:rFonts w:ascii="Times New Roman" w:hAnsi="Times New Roman" w:cs="Times New Roman"/>
                <w:kern w:val="0"/>
              </w:rPr>
              <w:t>(0.123)</w:t>
            </w:r>
          </w:p>
        </w:tc>
        <w:tc>
          <w:tcPr>
            <w:tcW w:w="1860" w:type="dxa"/>
            <w:tcMar>
              <w:top w:w="60" w:type="nil"/>
              <w:left w:w="40" w:type="nil"/>
              <w:bottom w:w="40" w:type="nil"/>
              <w:right w:w="60" w:type="nil"/>
            </w:tcMar>
            <w:vAlign w:val="bottom"/>
          </w:tcPr>
          <w:p w14:paraId="3415A07D" w14:textId="725851AD"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w:t>
            </w:r>
            <w:r w:rsidR="006F7702" w:rsidRPr="00BA0C47">
              <w:rPr>
                <w:rFonts w:ascii="Times New Roman" w:hAnsi="Times New Roman" w:cs="Times New Roman"/>
                <w:kern w:val="0"/>
                <w:lang w:val="vi-VN"/>
              </w:rPr>
              <w:t>673</w:t>
            </w:r>
            <w:r w:rsidRPr="00BA0C47">
              <w:rPr>
                <w:rFonts w:ascii="Times New Roman" w:hAnsi="Times New Roman" w:cs="Times New Roman"/>
                <w:kern w:val="0"/>
                <w:vertAlign w:val="superscript"/>
              </w:rPr>
              <w:t>**</w:t>
            </w:r>
            <w:r w:rsidRPr="00BA0C47">
              <w:rPr>
                <w:rFonts w:ascii="Times New Roman" w:hAnsi="Times New Roman" w:cs="Times New Roman"/>
                <w:kern w:val="0"/>
              </w:rPr>
              <w:t>(0.090)</w:t>
            </w:r>
          </w:p>
        </w:tc>
        <w:tc>
          <w:tcPr>
            <w:tcW w:w="1980" w:type="dxa"/>
            <w:tcMar>
              <w:top w:w="60" w:type="nil"/>
              <w:left w:w="40" w:type="nil"/>
              <w:bottom w:w="40" w:type="nil"/>
              <w:right w:w="60" w:type="nil"/>
            </w:tcMar>
            <w:vAlign w:val="bottom"/>
          </w:tcPr>
          <w:p w14:paraId="3CBAB972"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-0.653</w:t>
            </w:r>
            <w:r w:rsidRPr="00BA0C47">
              <w:rPr>
                <w:rFonts w:ascii="Times New Roman" w:hAnsi="Times New Roman" w:cs="Times New Roman"/>
                <w:kern w:val="0"/>
                <w:vertAlign w:val="superscript"/>
              </w:rPr>
              <w:t>***</w:t>
            </w:r>
            <w:r w:rsidRPr="00BA0C47">
              <w:rPr>
                <w:rFonts w:ascii="Times New Roman" w:hAnsi="Times New Roman" w:cs="Times New Roman"/>
                <w:kern w:val="0"/>
              </w:rPr>
              <w:t>(0.226)</w:t>
            </w:r>
          </w:p>
        </w:tc>
      </w:tr>
      <w:tr w:rsidR="009339C0" w:rsidRPr="00BA0C47" w14:paraId="2CE40964" w14:textId="77777777" w:rsidTr="00B8323E">
        <w:tc>
          <w:tcPr>
            <w:tcW w:w="1860" w:type="dxa"/>
            <w:tcMar>
              <w:top w:w="60" w:type="nil"/>
              <w:left w:w="40" w:type="nil"/>
              <w:bottom w:w="40" w:type="nil"/>
              <w:right w:w="60" w:type="nil"/>
            </w:tcMar>
            <w:vAlign w:val="bottom"/>
          </w:tcPr>
          <w:p w14:paraId="766445FF"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JoinASEAN</w:t>
            </w:r>
          </w:p>
        </w:tc>
        <w:tc>
          <w:tcPr>
            <w:tcW w:w="1860" w:type="dxa"/>
            <w:tcMar>
              <w:top w:w="60" w:type="nil"/>
              <w:left w:w="40" w:type="nil"/>
              <w:bottom w:w="40" w:type="nil"/>
              <w:right w:w="60" w:type="nil"/>
            </w:tcMar>
            <w:vAlign w:val="bottom"/>
          </w:tcPr>
          <w:p w14:paraId="7FDE5134"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0.369(0.239)</w:t>
            </w:r>
          </w:p>
        </w:tc>
        <w:tc>
          <w:tcPr>
            <w:tcW w:w="1860" w:type="dxa"/>
            <w:tcMar>
              <w:top w:w="60" w:type="nil"/>
              <w:left w:w="40" w:type="nil"/>
              <w:bottom w:w="40" w:type="nil"/>
              <w:right w:w="60" w:type="nil"/>
            </w:tcMar>
            <w:vAlign w:val="bottom"/>
          </w:tcPr>
          <w:p w14:paraId="0EDE249D"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0.295(0.247)</w:t>
            </w:r>
          </w:p>
        </w:tc>
        <w:tc>
          <w:tcPr>
            <w:tcW w:w="1860" w:type="dxa"/>
            <w:tcMar>
              <w:top w:w="60" w:type="nil"/>
              <w:left w:w="40" w:type="nil"/>
              <w:bottom w:w="40" w:type="nil"/>
              <w:right w:w="60" w:type="nil"/>
            </w:tcMar>
            <w:vAlign w:val="bottom"/>
          </w:tcPr>
          <w:p w14:paraId="7B2F6416"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-0.036(0.092)</w:t>
            </w:r>
          </w:p>
        </w:tc>
        <w:tc>
          <w:tcPr>
            <w:tcW w:w="1980" w:type="dxa"/>
            <w:tcMar>
              <w:top w:w="60" w:type="nil"/>
              <w:left w:w="40" w:type="nil"/>
              <w:bottom w:w="40" w:type="nil"/>
              <w:right w:w="60" w:type="nil"/>
            </w:tcMar>
            <w:vAlign w:val="bottom"/>
          </w:tcPr>
          <w:p w14:paraId="641FA404"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-0.156(0.338)</w:t>
            </w:r>
          </w:p>
        </w:tc>
      </w:tr>
      <w:tr w:rsidR="009339C0" w:rsidRPr="00BA0C47" w14:paraId="5840B2E5" w14:textId="77777777" w:rsidTr="00B8323E">
        <w:tc>
          <w:tcPr>
            <w:tcW w:w="1860" w:type="dxa"/>
            <w:tcMar>
              <w:top w:w="60" w:type="nil"/>
              <w:left w:w="40" w:type="nil"/>
              <w:bottom w:w="40" w:type="nil"/>
              <w:right w:w="60" w:type="nil"/>
            </w:tcMar>
            <w:vAlign w:val="bottom"/>
          </w:tcPr>
          <w:p w14:paraId="4349164C"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Hằng số (_cons)</w:t>
            </w:r>
          </w:p>
        </w:tc>
        <w:tc>
          <w:tcPr>
            <w:tcW w:w="1860" w:type="dxa"/>
            <w:tcMar>
              <w:top w:w="60" w:type="nil"/>
              <w:left w:w="40" w:type="nil"/>
              <w:bottom w:w="40" w:type="nil"/>
              <w:right w:w="60" w:type="nil"/>
            </w:tcMar>
            <w:vAlign w:val="bottom"/>
          </w:tcPr>
          <w:p w14:paraId="65E93AB2"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-27.479</w:t>
            </w:r>
            <w:r w:rsidRPr="00BA0C47">
              <w:rPr>
                <w:rFonts w:ascii="Times New Roman" w:hAnsi="Times New Roman" w:cs="Times New Roman"/>
                <w:kern w:val="0"/>
                <w:vertAlign w:val="superscript"/>
              </w:rPr>
              <w:t>***(</w:t>
            </w:r>
            <w:r w:rsidRPr="00BA0C47">
              <w:rPr>
                <w:rFonts w:ascii="Times New Roman" w:hAnsi="Times New Roman" w:cs="Times New Roman"/>
                <w:kern w:val="0"/>
              </w:rPr>
              <w:t>1.376)</w:t>
            </w:r>
          </w:p>
        </w:tc>
        <w:tc>
          <w:tcPr>
            <w:tcW w:w="1860" w:type="dxa"/>
            <w:tcMar>
              <w:top w:w="60" w:type="nil"/>
              <w:left w:w="40" w:type="nil"/>
              <w:bottom w:w="40" w:type="nil"/>
              <w:right w:w="60" w:type="nil"/>
            </w:tcMar>
            <w:vAlign w:val="bottom"/>
          </w:tcPr>
          <w:p w14:paraId="3F7DBDBE"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-27.777</w:t>
            </w:r>
            <w:r w:rsidRPr="00BA0C47">
              <w:rPr>
                <w:rFonts w:ascii="Times New Roman" w:hAnsi="Times New Roman" w:cs="Times New Roman"/>
                <w:kern w:val="0"/>
                <w:vertAlign w:val="superscript"/>
              </w:rPr>
              <w:t>***(</w:t>
            </w:r>
            <w:r w:rsidRPr="00BA0C47">
              <w:rPr>
                <w:rFonts w:ascii="Times New Roman" w:hAnsi="Times New Roman" w:cs="Times New Roman"/>
                <w:kern w:val="0"/>
              </w:rPr>
              <w:t>3.322)</w:t>
            </w:r>
          </w:p>
        </w:tc>
        <w:tc>
          <w:tcPr>
            <w:tcW w:w="1860" w:type="dxa"/>
            <w:tcMar>
              <w:top w:w="60" w:type="nil"/>
              <w:left w:w="40" w:type="nil"/>
              <w:bottom w:w="40" w:type="nil"/>
              <w:right w:w="60" w:type="nil"/>
            </w:tcMar>
            <w:vAlign w:val="bottom"/>
          </w:tcPr>
          <w:p w14:paraId="55E4FE42"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-17.722</w:t>
            </w:r>
            <w:r w:rsidRPr="00BA0C47">
              <w:rPr>
                <w:rFonts w:ascii="Times New Roman" w:hAnsi="Times New Roman" w:cs="Times New Roman"/>
                <w:kern w:val="0"/>
                <w:vertAlign w:val="superscript"/>
              </w:rPr>
              <w:t>***</w:t>
            </w:r>
            <w:r w:rsidRPr="00BA0C47">
              <w:rPr>
                <w:rFonts w:ascii="Times New Roman" w:hAnsi="Times New Roman" w:cs="Times New Roman"/>
                <w:kern w:val="0"/>
              </w:rPr>
              <w:t>(1.749)</w:t>
            </w:r>
          </w:p>
        </w:tc>
        <w:tc>
          <w:tcPr>
            <w:tcW w:w="1980" w:type="dxa"/>
            <w:tcMar>
              <w:left w:w="40" w:type="nil"/>
              <w:bottom w:w="40" w:type="nil"/>
            </w:tcMar>
            <w:vAlign w:val="bottom"/>
          </w:tcPr>
          <w:p w14:paraId="4CFB1AD1"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-18.046</w:t>
            </w:r>
            <w:r w:rsidRPr="00BA0C47">
              <w:rPr>
                <w:rFonts w:ascii="Times New Roman" w:hAnsi="Times New Roman" w:cs="Times New Roman"/>
                <w:kern w:val="0"/>
                <w:vertAlign w:val="superscript"/>
              </w:rPr>
              <w:t>***</w:t>
            </w:r>
            <w:r w:rsidRPr="00BA0C47">
              <w:rPr>
                <w:rFonts w:ascii="Times New Roman" w:hAnsi="Times New Roman" w:cs="Times New Roman"/>
                <w:kern w:val="0"/>
              </w:rPr>
              <w:t>(2.475)</w:t>
            </w:r>
          </w:p>
        </w:tc>
      </w:tr>
      <w:tr w:rsidR="009339C0" w:rsidRPr="00BA0C47" w14:paraId="06015BF2" w14:textId="77777777" w:rsidTr="00B8323E">
        <w:tc>
          <w:tcPr>
            <w:tcW w:w="1860" w:type="dxa"/>
            <w:tcMar>
              <w:top w:w="60" w:type="nil"/>
              <w:left w:w="40" w:type="nil"/>
              <w:bottom w:w="40" w:type="nil"/>
              <w:right w:w="60" w:type="nil"/>
            </w:tcMar>
            <w:vAlign w:val="bottom"/>
          </w:tcPr>
          <w:p w14:paraId="451BD568"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Số quan sát (Obs)</w:t>
            </w:r>
          </w:p>
        </w:tc>
        <w:tc>
          <w:tcPr>
            <w:tcW w:w="1860" w:type="dxa"/>
            <w:tcMar>
              <w:top w:w="60" w:type="nil"/>
              <w:left w:w="40" w:type="nil"/>
              <w:bottom w:w="40" w:type="nil"/>
              <w:right w:w="60" w:type="nil"/>
            </w:tcMar>
            <w:vAlign w:val="bottom"/>
          </w:tcPr>
          <w:p w14:paraId="57D6C4EE"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402</w:t>
            </w:r>
          </w:p>
        </w:tc>
        <w:tc>
          <w:tcPr>
            <w:tcW w:w="1860" w:type="dxa"/>
            <w:tcMar>
              <w:top w:w="60" w:type="nil"/>
              <w:left w:w="40" w:type="nil"/>
              <w:bottom w:w="40" w:type="nil"/>
              <w:right w:w="60" w:type="nil"/>
            </w:tcMar>
            <w:vAlign w:val="bottom"/>
          </w:tcPr>
          <w:p w14:paraId="654DC99B"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402</w:t>
            </w:r>
          </w:p>
        </w:tc>
        <w:tc>
          <w:tcPr>
            <w:tcW w:w="1860" w:type="dxa"/>
            <w:tcMar>
              <w:top w:w="60" w:type="nil"/>
              <w:left w:w="40" w:type="nil"/>
              <w:bottom w:w="40" w:type="nil"/>
              <w:right w:w="60" w:type="nil"/>
            </w:tcMar>
            <w:vAlign w:val="bottom"/>
          </w:tcPr>
          <w:p w14:paraId="743C35C4"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402</w:t>
            </w:r>
          </w:p>
        </w:tc>
        <w:tc>
          <w:tcPr>
            <w:tcW w:w="1980" w:type="dxa"/>
            <w:tcMar>
              <w:top w:w="60" w:type="nil"/>
              <w:left w:w="40" w:type="nil"/>
              <w:bottom w:w="40" w:type="nil"/>
              <w:right w:w="60" w:type="nil"/>
            </w:tcMar>
            <w:vAlign w:val="bottom"/>
          </w:tcPr>
          <w:p w14:paraId="44E7A713" w14:textId="4D435630"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lang w:val="vi-VN"/>
              </w:rPr>
            </w:pPr>
            <w:r w:rsidRPr="00BA0C47">
              <w:rPr>
                <w:rFonts w:ascii="Times New Roman" w:hAnsi="Times New Roman" w:cs="Times New Roman"/>
                <w:kern w:val="0"/>
              </w:rPr>
              <w:t>4</w:t>
            </w:r>
            <w:r w:rsidR="00E44030" w:rsidRPr="00BA0C47">
              <w:rPr>
                <w:rFonts w:ascii="Times New Roman" w:hAnsi="Times New Roman" w:cs="Times New Roman"/>
                <w:kern w:val="0"/>
                <w:lang w:val="vi-VN"/>
              </w:rPr>
              <w:t>02</w:t>
            </w:r>
          </w:p>
        </w:tc>
      </w:tr>
      <w:tr w:rsidR="009339C0" w:rsidRPr="00BA0C47" w14:paraId="732FDC4B" w14:textId="77777777" w:rsidTr="00B8323E">
        <w:tc>
          <w:tcPr>
            <w:tcW w:w="1860" w:type="dxa"/>
            <w:tcMar>
              <w:top w:w="60" w:type="nil"/>
              <w:left w:w="40" w:type="nil"/>
              <w:bottom w:w="40" w:type="nil"/>
              <w:right w:w="60" w:type="nil"/>
            </w:tcMar>
            <w:vAlign w:val="bottom"/>
          </w:tcPr>
          <w:p w14:paraId="7D3116CC"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Số quốc gia (Groups)</w:t>
            </w:r>
          </w:p>
        </w:tc>
        <w:tc>
          <w:tcPr>
            <w:tcW w:w="1860" w:type="dxa"/>
            <w:tcMar>
              <w:top w:w="60" w:type="nil"/>
              <w:left w:w="40" w:type="nil"/>
              <w:bottom w:w="40" w:type="nil"/>
              <w:right w:w="60" w:type="nil"/>
            </w:tcMar>
            <w:vAlign w:val="bottom"/>
          </w:tcPr>
          <w:p w14:paraId="5F447FAD"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14</w:t>
            </w:r>
          </w:p>
        </w:tc>
        <w:tc>
          <w:tcPr>
            <w:tcW w:w="1860" w:type="dxa"/>
            <w:tcMar>
              <w:top w:w="60" w:type="nil"/>
              <w:left w:w="40" w:type="nil"/>
              <w:bottom w:w="40" w:type="nil"/>
              <w:right w:w="60" w:type="nil"/>
            </w:tcMar>
            <w:vAlign w:val="bottom"/>
          </w:tcPr>
          <w:p w14:paraId="61E2FB85"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14</w:t>
            </w:r>
          </w:p>
        </w:tc>
        <w:tc>
          <w:tcPr>
            <w:tcW w:w="1860" w:type="dxa"/>
            <w:tcMar>
              <w:top w:w="60" w:type="nil"/>
              <w:left w:w="40" w:type="nil"/>
              <w:bottom w:w="40" w:type="nil"/>
              <w:right w:w="60" w:type="nil"/>
            </w:tcMar>
            <w:vAlign w:val="bottom"/>
          </w:tcPr>
          <w:p w14:paraId="5BD7F7D4"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14</w:t>
            </w:r>
          </w:p>
        </w:tc>
        <w:tc>
          <w:tcPr>
            <w:tcW w:w="1980" w:type="dxa"/>
            <w:tcMar>
              <w:top w:w="60" w:type="nil"/>
              <w:left w:w="40" w:type="nil"/>
              <w:bottom w:w="40" w:type="nil"/>
              <w:right w:w="60" w:type="nil"/>
            </w:tcMar>
            <w:vAlign w:val="bottom"/>
          </w:tcPr>
          <w:p w14:paraId="074B6A0B" w14:textId="77777777" w:rsidR="009339C0" w:rsidRPr="00BA0C47" w:rsidRDefault="009339C0" w:rsidP="00771F8E">
            <w:pPr>
              <w:autoSpaceDE w:val="0"/>
              <w:autoSpaceDN w:val="0"/>
              <w:adjustRightInd w:val="0"/>
              <w:spacing w:before="120" w:after="0" w:line="240" w:lineRule="auto"/>
              <w:jc w:val="center"/>
              <w:rPr>
                <w:rFonts w:ascii="Times New Roman" w:hAnsi="Times New Roman" w:cs="Times New Roman"/>
                <w:kern w:val="0"/>
              </w:rPr>
            </w:pPr>
            <w:r w:rsidRPr="00BA0C47">
              <w:rPr>
                <w:rFonts w:ascii="Times New Roman" w:hAnsi="Times New Roman" w:cs="Times New Roman"/>
                <w:kern w:val="0"/>
              </w:rPr>
              <w:t>14</w:t>
            </w:r>
          </w:p>
        </w:tc>
      </w:tr>
      <w:tr w:rsidR="009339C0" w:rsidRPr="00BA0C47" w14:paraId="1033E022" w14:textId="77777777" w:rsidTr="00B8323E">
        <w:tc>
          <w:tcPr>
            <w:tcW w:w="1860" w:type="dxa"/>
            <w:tcMar>
              <w:top w:w="60" w:type="nil"/>
              <w:left w:w="40" w:type="nil"/>
              <w:bottom w:w="40" w:type="nil"/>
              <w:right w:w="60" w:type="nil"/>
            </w:tcMar>
            <w:vAlign w:val="bottom"/>
          </w:tcPr>
          <w:p w14:paraId="0E232136"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R</w:t>
            </w:r>
            <w:r w:rsidRPr="00BA0C47">
              <w:rPr>
                <w:rFonts w:ascii="Times New Roman" w:hAnsi="Times New Roman" w:cs="Times New Roman"/>
                <w:kern w:val="0"/>
                <w:vertAlign w:val="superscript"/>
              </w:rPr>
              <w:t>2</w:t>
            </w:r>
          </w:p>
        </w:tc>
        <w:tc>
          <w:tcPr>
            <w:tcW w:w="1860" w:type="dxa"/>
            <w:tcMar>
              <w:top w:w="60" w:type="nil"/>
              <w:left w:w="40" w:type="nil"/>
              <w:bottom w:w="40" w:type="nil"/>
              <w:right w:w="60" w:type="nil"/>
            </w:tcMar>
            <w:vAlign w:val="bottom"/>
          </w:tcPr>
          <w:p w14:paraId="74BDC0BF"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0.819 (within)</w:t>
            </w:r>
          </w:p>
        </w:tc>
        <w:tc>
          <w:tcPr>
            <w:tcW w:w="1860" w:type="dxa"/>
            <w:tcMar>
              <w:top w:w="60" w:type="nil"/>
              <w:left w:w="40" w:type="nil"/>
              <w:bottom w:w="40" w:type="nil"/>
              <w:right w:w="60" w:type="nil"/>
            </w:tcMar>
            <w:vAlign w:val="bottom"/>
          </w:tcPr>
          <w:p w14:paraId="2E985F11"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0.791 (overall)</w:t>
            </w:r>
          </w:p>
        </w:tc>
        <w:tc>
          <w:tcPr>
            <w:tcW w:w="1860" w:type="dxa"/>
            <w:tcMar>
              <w:top w:w="60" w:type="nil"/>
              <w:left w:w="40" w:type="nil"/>
              <w:bottom w:w="40" w:type="nil"/>
              <w:right w:w="60" w:type="nil"/>
            </w:tcMar>
            <w:vAlign w:val="bottom"/>
          </w:tcPr>
          <w:p w14:paraId="2683D66F"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w:t>
            </w:r>
          </w:p>
        </w:tc>
        <w:tc>
          <w:tcPr>
            <w:tcW w:w="1980" w:type="dxa"/>
            <w:tcMar>
              <w:top w:w="60" w:type="nil"/>
              <w:left w:w="40" w:type="nil"/>
              <w:bottom w:w="40" w:type="nil"/>
              <w:right w:w="60" w:type="nil"/>
            </w:tcMar>
            <w:vAlign w:val="bottom"/>
          </w:tcPr>
          <w:p w14:paraId="2AC63033"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0.919 (Pseudo)</w:t>
            </w:r>
          </w:p>
        </w:tc>
      </w:tr>
      <w:tr w:rsidR="009339C0" w:rsidRPr="00BA0C47" w14:paraId="58011214" w14:textId="77777777" w:rsidTr="00B8323E">
        <w:tc>
          <w:tcPr>
            <w:tcW w:w="1860" w:type="dxa"/>
            <w:tcMar>
              <w:top w:w="60" w:type="nil"/>
              <w:left w:w="40" w:type="nil"/>
              <w:bottom w:w="40" w:type="nil"/>
              <w:right w:w="60" w:type="nil"/>
            </w:tcMar>
            <w:vAlign w:val="bottom"/>
          </w:tcPr>
          <w:p w14:paraId="312A3665"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Wald Chi</w:t>
            </w:r>
            <w:r w:rsidRPr="00BA0C47">
              <w:rPr>
                <w:rFonts w:ascii="Times New Roman" w:hAnsi="Times New Roman" w:cs="Times New Roman"/>
                <w:kern w:val="0"/>
                <w:vertAlign w:val="superscript"/>
              </w:rPr>
              <w:t>2</w:t>
            </w:r>
            <w:r w:rsidRPr="00BA0C47">
              <w:rPr>
                <w:rFonts w:ascii="Times New Roman" w:hAnsi="Times New Roman" w:cs="Times New Roman"/>
                <w:kern w:val="0"/>
              </w:rPr>
              <w:t xml:space="preserve"> (Prob &gt; chi</w:t>
            </w:r>
            <w:r w:rsidRPr="00BA0C47">
              <w:rPr>
                <w:rFonts w:ascii="Times New Roman" w:hAnsi="Times New Roman" w:cs="Times New Roman"/>
                <w:kern w:val="0"/>
                <w:vertAlign w:val="superscript"/>
              </w:rPr>
              <w:t>2</w:t>
            </w:r>
            <w:r w:rsidRPr="00BA0C47">
              <w:rPr>
                <w:rFonts w:ascii="Times New Roman" w:hAnsi="Times New Roman" w:cs="Times New Roman"/>
                <w:kern w:val="0"/>
              </w:rPr>
              <w:t>)</w:t>
            </w:r>
          </w:p>
        </w:tc>
        <w:tc>
          <w:tcPr>
            <w:tcW w:w="1860" w:type="dxa"/>
            <w:tcMar>
              <w:top w:w="60" w:type="nil"/>
              <w:left w:w="40" w:type="nil"/>
              <w:bottom w:w="40" w:type="nil"/>
              <w:right w:w="60" w:type="nil"/>
            </w:tcMar>
            <w:vAlign w:val="bottom"/>
          </w:tcPr>
          <w:p w14:paraId="3B758374"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F = 347.26</w:t>
            </w:r>
            <w:r w:rsidRPr="00BA0C47">
              <w:rPr>
                <w:rFonts w:ascii="Times New Roman" w:hAnsi="Times New Roman" w:cs="Times New Roman"/>
                <w:kern w:val="0"/>
                <w:vertAlign w:val="superscript"/>
              </w:rPr>
              <w:t>***</w:t>
            </w:r>
          </w:p>
        </w:tc>
        <w:tc>
          <w:tcPr>
            <w:tcW w:w="1860" w:type="dxa"/>
            <w:tcMar>
              <w:top w:w="60" w:type="nil"/>
              <w:left w:w="40" w:type="nil"/>
              <w:bottom w:w="40" w:type="nil"/>
              <w:right w:w="60" w:type="nil"/>
            </w:tcMar>
            <w:vAlign w:val="bottom"/>
          </w:tcPr>
          <w:p w14:paraId="2640CCEA"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1725.92</w:t>
            </w:r>
            <w:r w:rsidRPr="00BA0C47">
              <w:rPr>
                <w:rFonts w:ascii="Times New Roman" w:hAnsi="Times New Roman" w:cs="Times New Roman"/>
                <w:kern w:val="0"/>
                <w:vertAlign w:val="superscript"/>
              </w:rPr>
              <w:t>***</w:t>
            </w:r>
          </w:p>
        </w:tc>
        <w:tc>
          <w:tcPr>
            <w:tcW w:w="1860" w:type="dxa"/>
            <w:tcMar>
              <w:top w:w="60" w:type="nil"/>
              <w:left w:w="40" w:type="nil"/>
              <w:bottom w:w="40" w:type="nil"/>
              <w:right w:w="60" w:type="nil"/>
            </w:tcMar>
            <w:vAlign w:val="bottom"/>
          </w:tcPr>
          <w:p w14:paraId="1F01E355"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910.45</w:t>
            </w:r>
            <w:r w:rsidRPr="00BA0C47">
              <w:rPr>
                <w:rFonts w:ascii="Times New Roman" w:hAnsi="Times New Roman" w:cs="Times New Roman"/>
                <w:kern w:val="0"/>
                <w:vertAlign w:val="superscript"/>
              </w:rPr>
              <w:t>***</w:t>
            </w:r>
          </w:p>
        </w:tc>
        <w:tc>
          <w:tcPr>
            <w:tcW w:w="1980" w:type="dxa"/>
            <w:tcMar>
              <w:top w:w="60" w:type="nil"/>
              <w:left w:w="40" w:type="nil"/>
              <w:bottom w:w="40" w:type="nil"/>
              <w:right w:w="60" w:type="nil"/>
            </w:tcMar>
            <w:vAlign w:val="bottom"/>
          </w:tcPr>
          <w:p w14:paraId="267B01CE" w14:textId="77777777" w:rsidR="009339C0" w:rsidRPr="00BA0C47" w:rsidRDefault="009339C0" w:rsidP="00771F8E">
            <w:pPr>
              <w:autoSpaceDE w:val="0"/>
              <w:autoSpaceDN w:val="0"/>
              <w:adjustRightInd w:val="0"/>
              <w:spacing w:before="120" w:after="0" w:line="240" w:lineRule="auto"/>
              <w:rPr>
                <w:rFonts w:ascii="Times New Roman" w:hAnsi="Times New Roman" w:cs="Times New Roman"/>
                <w:kern w:val="0"/>
              </w:rPr>
            </w:pPr>
            <w:r w:rsidRPr="00BA0C47">
              <w:rPr>
                <w:rFonts w:ascii="Times New Roman" w:hAnsi="Times New Roman" w:cs="Times New Roman"/>
                <w:kern w:val="0"/>
              </w:rPr>
              <w:t>-</w:t>
            </w:r>
          </w:p>
        </w:tc>
      </w:tr>
    </w:tbl>
    <w:p w14:paraId="4C996851" w14:textId="0243BC87"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t>Ghi chú:</w:t>
      </w:r>
      <w:r w:rsidR="00B8323E" w:rsidRPr="00BA0C47">
        <w:rPr>
          <w:rFonts w:ascii="Times New Roman" w:hAnsi="Times New Roman" w:cs="Times New Roman"/>
          <w:i/>
          <w:iCs/>
          <w:color w:val="000000"/>
          <w:sz w:val="20"/>
          <w:szCs w:val="20"/>
          <w:lang w:val="vi-VN"/>
        </w:rPr>
        <w:t xml:space="preserve"> </w:t>
      </w:r>
      <w:r w:rsidRPr="00BA0C47">
        <w:rPr>
          <w:rFonts w:ascii="Times New Roman" w:hAnsi="Times New Roman" w:cs="Times New Roman"/>
          <w:i/>
          <w:iCs/>
          <w:color w:val="000000"/>
          <w:sz w:val="20"/>
          <w:szCs w:val="20"/>
          <w:lang w:val="vi-VN"/>
        </w:rPr>
        <w:t>Sai số chuẩn (Standard Errors) được đặt trong ngoặc đơn. Đối với PPML là sai số chuẩn vững theo cụm (Cluster-robust standard errors).</w:t>
      </w:r>
    </w:p>
    <w:p w14:paraId="258C438B" w14:textId="78660C94"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lastRenderedPageBreak/>
        <w:t>Mức ý nghĩa thống kê: *** p &lt; 0.01; ** p &lt; 0.05; * p &lt; 0.1.</w:t>
      </w:r>
    </w:p>
    <w:p w14:paraId="69F07865" w14:textId="5543D453" w:rsidR="009339C0" w:rsidRPr="00BA0C47" w:rsidRDefault="009339C0" w:rsidP="00771F8E">
      <w:pPr>
        <w:spacing w:before="120" w:after="0" w:line="240" w:lineRule="auto"/>
        <w:jc w:val="both"/>
        <w:rPr>
          <w:rFonts w:ascii="Times New Roman" w:hAnsi="Times New Roman" w:cs="Times New Roman"/>
          <w:i/>
          <w:iCs/>
          <w:color w:val="000000"/>
          <w:sz w:val="20"/>
          <w:szCs w:val="20"/>
          <w:lang w:val="vi-VN"/>
        </w:rPr>
      </w:pPr>
      <w:r w:rsidRPr="00BA0C47">
        <w:rPr>
          <w:rFonts w:ascii="Times New Roman" w:hAnsi="Times New Roman" w:cs="Times New Roman"/>
          <w:i/>
          <w:iCs/>
          <w:color w:val="000000"/>
          <w:sz w:val="20"/>
          <w:szCs w:val="20"/>
          <w:lang w:val="vi-VN"/>
        </w:rPr>
        <w:t xml:space="preserve">Kiểm định Hausman giữa FEM và REM: Chi2(5) = 11.60 (Prob&gt;chi2 = 0.0407) =&gt; </w:t>
      </w:r>
      <w:r w:rsidR="00E4379A" w:rsidRPr="00BA0C47">
        <w:rPr>
          <w:rFonts w:ascii="Times New Roman" w:hAnsi="Times New Roman" w:cs="Times New Roman"/>
          <w:i/>
          <w:iCs/>
          <w:color w:val="000000"/>
          <w:sz w:val="20"/>
          <w:szCs w:val="20"/>
          <w:lang w:val="vi-VN"/>
        </w:rPr>
        <w:t>Lựa chọn</w:t>
      </w:r>
      <w:r w:rsidRPr="00BA0C47">
        <w:rPr>
          <w:rFonts w:ascii="Times New Roman" w:hAnsi="Times New Roman" w:cs="Times New Roman"/>
          <w:i/>
          <w:iCs/>
          <w:color w:val="000000"/>
          <w:sz w:val="20"/>
          <w:szCs w:val="20"/>
          <w:lang w:val="vi-VN"/>
        </w:rPr>
        <w:t xml:space="preserve"> mô hình FEM REM.</w:t>
      </w:r>
    </w:p>
    <w:p w14:paraId="22014CE2" w14:textId="414411F9" w:rsidR="00E4379A" w:rsidRPr="00BA0C47" w:rsidRDefault="00B8323E" w:rsidP="00771F8E">
      <w:pPr>
        <w:spacing w:before="120" w:after="0" w:line="240" w:lineRule="auto"/>
        <w:ind w:firstLine="567"/>
        <w:jc w:val="center"/>
        <w:rPr>
          <w:rFonts w:ascii="Times New Roman" w:hAnsi="Times New Roman" w:cs="Times New Roman"/>
          <w:i/>
          <w:iCs/>
          <w:color w:val="000000"/>
          <w:lang w:val="vi-VN"/>
        </w:rPr>
      </w:pPr>
      <w:r w:rsidRPr="00BA0C47">
        <w:rPr>
          <w:rFonts w:ascii="Times New Roman" w:hAnsi="Times New Roman" w:cs="Times New Roman"/>
          <w:i/>
          <w:iCs/>
          <w:color w:val="000000"/>
          <w:lang w:val="vi-VN"/>
        </w:rPr>
        <w:t>Nguồn: Tính toán của tác giả dựa trên phần mềm Stata</w:t>
      </w:r>
    </w:p>
    <w:p w14:paraId="10E9666D" w14:textId="77777777" w:rsidR="00E4379A" w:rsidRPr="00BA0C47" w:rsidRDefault="009B00A0" w:rsidP="00771F8E">
      <w:pPr>
        <w:spacing w:before="120" w:after="0" w:line="240" w:lineRule="auto"/>
        <w:ind w:firstLine="567"/>
        <w:jc w:val="both"/>
        <w:rPr>
          <w:rFonts w:ascii="Times New Roman" w:hAnsi="Times New Roman" w:cs="Times New Roman"/>
          <w:color w:val="000000"/>
          <w:lang w:val="vi-VN"/>
        </w:rPr>
      </w:pPr>
      <w:r w:rsidRPr="00BA0C47">
        <w:rPr>
          <w:rFonts w:ascii="Times New Roman" w:hAnsi="Times New Roman" w:cs="Times New Roman"/>
          <w:color w:val="000000"/>
        </w:rPr>
        <w:t xml:space="preserve">Bảng </w:t>
      </w:r>
      <w:r w:rsidR="00E4379A" w:rsidRPr="00BA0C47">
        <w:rPr>
          <w:rFonts w:ascii="Times New Roman" w:hAnsi="Times New Roman" w:cs="Times New Roman"/>
          <w:color w:val="000000"/>
          <w:lang w:val="vi-VN"/>
        </w:rPr>
        <w:t xml:space="preserve">3 </w:t>
      </w:r>
      <w:r w:rsidRPr="00BA0C47">
        <w:rPr>
          <w:rFonts w:ascii="Times New Roman" w:hAnsi="Times New Roman" w:cs="Times New Roman"/>
          <w:color w:val="000000"/>
        </w:rPr>
        <w:t>trình bày kết quả từ</w:t>
      </w:r>
      <w:r w:rsidRPr="00BA0C47">
        <w:rPr>
          <w:rFonts w:ascii="Times New Roman" w:hAnsi="Times New Roman" w:cs="Times New Roman"/>
          <w:color w:val="000000"/>
          <w:lang w:val="vi-VN"/>
        </w:rPr>
        <w:t xml:space="preserve"> các phương pháp</w:t>
      </w:r>
      <w:r w:rsidRPr="00BA0C47">
        <w:rPr>
          <w:rFonts w:ascii="Times New Roman" w:hAnsi="Times New Roman" w:cs="Times New Roman"/>
          <w:color w:val="000000"/>
        </w:rPr>
        <w:t xml:space="preserve"> FEM, REM, FGLS và PPML. Dù kiểm định Hausman </w:t>
      </w:r>
      <w:r w:rsidR="00E4379A" w:rsidRPr="00BA0C47">
        <w:rPr>
          <w:rFonts w:ascii="Times New Roman" w:hAnsi="Times New Roman" w:cs="Times New Roman"/>
          <w:color w:val="000000"/>
        </w:rPr>
        <w:t>lựa</w:t>
      </w:r>
      <w:r w:rsidR="00E4379A" w:rsidRPr="00BA0C47">
        <w:rPr>
          <w:rFonts w:ascii="Times New Roman" w:hAnsi="Times New Roman" w:cs="Times New Roman"/>
          <w:color w:val="000000"/>
          <w:lang w:val="vi-VN"/>
        </w:rPr>
        <w:t xml:space="preserve"> chọn</w:t>
      </w:r>
      <w:r w:rsidRPr="00BA0C47">
        <w:rPr>
          <w:rFonts w:ascii="Times New Roman" w:hAnsi="Times New Roman" w:cs="Times New Roman"/>
          <w:color w:val="000000"/>
        </w:rPr>
        <w:t xml:space="preserve"> FEM, phương pháp này lại loại bỏ các biến bất biến cốt lõi (khoảng cách, biên giới). Do đó, bài viết sử dụng PPML làm mô hình giải thích chính (Pseudo R</w:t>
      </w:r>
      <w:r w:rsidRPr="00BA0C47">
        <w:rPr>
          <w:rFonts w:ascii="Times New Roman" w:hAnsi="Times New Roman" w:cs="Times New Roman"/>
          <w:color w:val="000000"/>
          <w:vertAlign w:val="superscript"/>
        </w:rPr>
        <w:t>2</w:t>
      </w:r>
      <w:r w:rsidRPr="00BA0C47">
        <w:rPr>
          <w:rFonts w:ascii="Times New Roman" w:hAnsi="Times New Roman" w:cs="Times New Roman"/>
          <w:color w:val="000000"/>
        </w:rPr>
        <w:t xml:space="preserve"> = 0.919) nhờ khả năng giữ lại các quan sát bằng 0 và xử lý triệt để hiện tượng phương sai thay đổi. </w:t>
      </w:r>
    </w:p>
    <w:p w14:paraId="2CF9C42D" w14:textId="4E4D9211" w:rsidR="009B00A0" w:rsidRPr="00BA0C47" w:rsidRDefault="009B00A0" w:rsidP="00771F8E">
      <w:pPr>
        <w:spacing w:before="120" w:after="0" w:line="240" w:lineRule="auto"/>
        <w:ind w:firstLine="567"/>
        <w:jc w:val="both"/>
        <w:rPr>
          <w:rFonts w:ascii="Times New Roman" w:hAnsi="Times New Roman" w:cs="Times New Roman"/>
          <w:color w:val="000000"/>
        </w:rPr>
      </w:pPr>
      <w:r w:rsidRPr="00602578">
        <w:rPr>
          <w:rFonts w:ascii="Times New Roman" w:hAnsi="Times New Roman" w:cs="Times New Roman"/>
          <w:b/>
          <w:bCs/>
          <w:i/>
          <w:color w:val="000000"/>
        </w:rPr>
        <w:t xml:space="preserve">Tác động của quy mô kinh tế và </w:t>
      </w:r>
      <w:r w:rsidR="00E4379A" w:rsidRPr="00602578">
        <w:rPr>
          <w:rFonts w:ascii="Times New Roman" w:hAnsi="Times New Roman" w:cs="Times New Roman"/>
          <w:b/>
          <w:bCs/>
          <w:i/>
          <w:color w:val="000000"/>
        </w:rPr>
        <w:t>khoảng</w:t>
      </w:r>
      <w:r w:rsidR="00E4379A" w:rsidRPr="00602578">
        <w:rPr>
          <w:rFonts w:ascii="Times New Roman" w:hAnsi="Times New Roman" w:cs="Times New Roman"/>
          <w:b/>
          <w:bCs/>
          <w:i/>
          <w:color w:val="000000"/>
          <w:lang w:val="vi-VN"/>
        </w:rPr>
        <w:t xml:space="preserve"> cách</w:t>
      </w:r>
      <w:r w:rsidRPr="00602578">
        <w:rPr>
          <w:rFonts w:ascii="Times New Roman" w:hAnsi="Times New Roman" w:cs="Times New Roman"/>
          <w:b/>
          <w:bCs/>
          <w:i/>
          <w:color w:val="000000"/>
        </w:rPr>
        <w:t xml:space="preserve"> địa lý</w:t>
      </w:r>
      <w:r w:rsidRPr="00602578">
        <w:rPr>
          <w:rFonts w:ascii="Times New Roman" w:hAnsi="Times New Roman" w:cs="Times New Roman"/>
          <w:b/>
          <w:bCs/>
          <w:i/>
          <w:color w:val="000000"/>
          <w:lang w:val="vi-VN"/>
        </w:rPr>
        <w:t>:</w:t>
      </w:r>
      <w:r w:rsidRPr="00BA0C47">
        <w:rPr>
          <w:rFonts w:ascii="Times New Roman" w:hAnsi="Times New Roman" w:cs="Times New Roman"/>
          <w:b/>
          <w:bCs/>
          <w:color w:val="000000"/>
          <w:lang w:val="vi-VN"/>
        </w:rPr>
        <w:t xml:space="preserve"> </w:t>
      </w:r>
      <w:r w:rsidRPr="00BA0C47">
        <w:rPr>
          <w:rFonts w:ascii="Times New Roman" w:hAnsi="Times New Roman" w:cs="Times New Roman"/>
          <w:color w:val="000000"/>
        </w:rPr>
        <w:t>Mô hình PPML xác nhận các</w:t>
      </w:r>
      <w:r w:rsidRPr="00BA0C47">
        <w:rPr>
          <w:rFonts w:ascii="Times New Roman" w:hAnsi="Times New Roman" w:cs="Times New Roman"/>
          <w:color w:val="000000"/>
          <w:lang w:val="vi-VN"/>
        </w:rPr>
        <w:t xml:space="preserve"> dấu của biến quan trọng trong mô hình </w:t>
      </w:r>
      <w:r w:rsidRPr="00BA0C47">
        <w:rPr>
          <w:rFonts w:ascii="Times New Roman" w:hAnsi="Times New Roman" w:cs="Times New Roman"/>
          <w:color w:val="000000"/>
        </w:rPr>
        <w:t>trọng lực:</w:t>
      </w:r>
    </w:p>
    <w:p w14:paraId="04E7C3F3" w14:textId="5803D2E2"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Quy mô kinh tế (GDP):</w:t>
      </w:r>
      <w:r w:rsidRPr="00BA0C47">
        <w:rPr>
          <w:rFonts w:ascii="Times New Roman" w:hAnsi="Times New Roman" w:cs="Times New Roman"/>
          <w:color w:val="000000"/>
        </w:rPr>
        <w:t> </w:t>
      </w:r>
      <w:r w:rsidRPr="00BA0C47">
        <w:rPr>
          <w:rFonts w:ascii="Times New Roman" w:hAnsi="Times New Roman" w:cs="Times New Roman"/>
          <w:color w:val="000000"/>
          <w:lang w:val="vi-VN"/>
        </w:rPr>
        <w:t>mang t</w:t>
      </w:r>
      <w:r w:rsidRPr="00BA0C47">
        <w:rPr>
          <w:rFonts w:ascii="Times New Roman" w:hAnsi="Times New Roman" w:cs="Times New Roman"/>
          <w:color w:val="000000"/>
        </w:rPr>
        <w:t>ác động dương ở mức ý nghĩa 1%. GDP đối tác tăng 1% làm kim ngạch tăng 0</w:t>
      </w:r>
      <w:r w:rsidR="009D027C">
        <w:rPr>
          <w:rFonts w:ascii="Times New Roman" w:hAnsi="Times New Roman" w:cs="Times New Roman"/>
          <w:color w:val="000000"/>
        </w:rPr>
        <w:t>,</w:t>
      </w:r>
      <w:r w:rsidRPr="00BA0C47">
        <w:rPr>
          <w:rFonts w:ascii="Times New Roman" w:hAnsi="Times New Roman" w:cs="Times New Roman"/>
          <w:color w:val="000000"/>
        </w:rPr>
        <w:t xml:space="preserve">447%. Đáng chú ý, hệ số co giãn theo GDP Việt Nam </w:t>
      </w:r>
      <w:r w:rsidRPr="00BA0C47">
        <w:rPr>
          <w:rFonts w:ascii="Times New Roman" w:hAnsi="Times New Roman" w:cs="Times New Roman"/>
          <w:color w:val="000000"/>
          <w:lang w:val="vi-VN"/>
        </w:rPr>
        <w:t xml:space="preserve">khá </w:t>
      </w:r>
      <w:r w:rsidRPr="00BA0C47">
        <w:rPr>
          <w:rFonts w:ascii="Times New Roman" w:hAnsi="Times New Roman" w:cs="Times New Roman"/>
          <w:color w:val="000000"/>
        </w:rPr>
        <w:t>lớn (2.046), khẳng định năng lực sản xuất nội tại mới là đòn bẩy quyết định đến quy mô thương</w:t>
      </w:r>
      <w:r w:rsidRPr="00BA0C47">
        <w:rPr>
          <w:rFonts w:ascii="Times New Roman" w:hAnsi="Times New Roman" w:cs="Times New Roman"/>
          <w:color w:val="000000"/>
          <w:lang w:val="vi-VN"/>
        </w:rPr>
        <w:t xml:space="preserve"> mại</w:t>
      </w:r>
      <w:r w:rsidRPr="00BA0C47">
        <w:rPr>
          <w:rFonts w:ascii="Times New Roman" w:hAnsi="Times New Roman" w:cs="Times New Roman"/>
          <w:color w:val="000000"/>
        </w:rPr>
        <w:t>.</w:t>
      </w:r>
    </w:p>
    <w:p w14:paraId="4A54ED56" w14:textId="45F654E7" w:rsidR="009B00A0" w:rsidRPr="00BA0C47" w:rsidRDefault="00E4379A"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lang w:val="vi-VN"/>
        </w:rPr>
        <w:t>Khoảng cách</w:t>
      </w:r>
      <w:r w:rsidR="009B00A0" w:rsidRPr="00602578">
        <w:rPr>
          <w:rFonts w:ascii="Times New Roman" w:hAnsi="Times New Roman" w:cs="Times New Roman"/>
          <w:bCs/>
          <w:i/>
          <w:color w:val="000000"/>
        </w:rPr>
        <w:t xml:space="preserve"> địa lý:</w:t>
      </w:r>
      <w:r w:rsidR="009B00A0" w:rsidRPr="00BA0C47">
        <w:rPr>
          <w:rFonts w:ascii="Times New Roman" w:hAnsi="Times New Roman" w:cs="Times New Roman"/>
          <w:color w:val="000000"/>
        </w:rPr>
        <w:t xml:space="preserve"> Hệ số khoảng cách mang dấu âm (-0.457, ý nghĩa 5%). Khoảng cách tăng 1% làm </w:t>
      </w:r>
      <w:r w:rsidR="009B00A0" w:rsidRPr="00BA0C47">
        <w:rPr>
          <w:rFonts w:ascii="Times New Roman" w:hAnsi="Times New Roman" w:cs="Times New Roman"/>
          <w:color w:val="000000"/>
          <w:lang w:val="vi-VN"/>
        </w:rPr>
        <w:t>giảm</w:t>
      </w:r>
      <w:r w:rsidR="009B00A0" w:rsidRPr="00BA0C47">
        <w:rPr>
          <w:rFonts w:ascii="Times New Roman" w:hAnsi="Times New Roman" w:cs="Times New Roman"/>
          <w:color w:val="000000"/>
        </w:rPr>
        <w:t xml:space="preserve"> 0.457% giao thương, chứng tỏ chi phí logistics vẫn là lực cản đáng kể.</w:t>
      </w:r>
    </w:p>
    <w:p w14:paraId="3721CE97" w14:textId="25BE010B" w:rsidR="009B00A0" w:rsidRPr="00BA0C47" w:rsidRDefault="00E4379A" w:rsidP="00771F8E">
      <w:pPr>
        <w:spacing w:before="120" w:after="0" w:line="240" w:lineRule="auto"/>
        <w:ind w:firstLine="567"/>
        <w:jc w:val="both"/>
        <w:rPr>
          <w:rFonts w:ascii="Times New Roman" w:hAnsi="Times New Roman" w:cs="Times New Roman"/>
          <w:color w:val="000000"/>
          <w:lang w:val="vi-VN"/>
        </w:rPr>
      </w:pPr>
      <w:r w:rsidRPr="00BA0C47">
        <w:rPr>
          <w:rFonts w:ascii="Times New Roman" w:hAnsi="Times New Roman" w:cs="Times New Roman"/>
          <w:b/>
          <w:bCs/>
          <w:color w:val="000000"/>
          <w:lang w:val="vi-VN"/>
        </w:rPr>
        <w:t xml:space="preserve"> </w:t>
      </w:r>
      <w:r w:rsidR="009B00A0" w:rsidRPr="00602578">
        <w:rPr>
          <w:rFonts w:ascii="Times New Roman" w:hAnsi="Times New Roman" w:cs="Times New Roman"/>
          <w:b/>
          <w:bCs/>
          <w:i/>
          <w:color w:val="000000"/>
        </w:rPr>
        <w:t>Tác động của Tỷ giá thực song phương (RER):</w:t>
      </w:r>
      <w:r w:rsidR="009B00A0" w:rsidRPr="00BA0C47">
        <w:rPr>
          <w:rFonts w:ascii="Times New Roman" w:hAnsi="Times New Roman" w:cs="Times New Roman"/>
          <w:color w:val="000000"/>
        </w:rPr>
        <w:t xml:space="preserve"> Biến tỷ giá hoàn toàn không có ý nghĩa thống kê. Nguyên nhân do cấu trúc thương mại Việt Nam phụ thuộc sâu sắc vào chuỗi cung ứng toàn cầu (nhập nguyên liệu để xuất thành phẩm) và khu vực FDI, khiến tác động của tỷ giá bị bù trừ qua lại giữa </w:t>
      </w:r>
      <w:r w:rsidR="009D027C">
        <w:rPr>
          <w:rFonts w:ascii="Times New Roman" w:hAnsi="Times New Roman" w:cs="Times New Roman"/>
          <w:color w:val="000000"/>
        </w:rPr>
        <w:t>2</w:t>
      </w:r>
      <w:r w:rsidR="009D027C" w:rsidRPr="00BA0C47">
        <w:rPr>
          <w:rFonts w:ascii="Times New Roman" w:hAnsi="Times New Roman" w:cs="Times New Roman"/>
          <w:color w:val="000000"/>
        </w:rPr>
        <w:t xml:space="preserve"> </w:t>
      </w:r>
      <w:r w:rsidR="009B00A0" w:rsidRPr="00BA0C47">
        <w:rPr>
          <w:rFonts w:ascii="Times New Roman" w:hAnsi="Times New Roman" w:cs="Times New Roman"/>
          <w:color w:val="000000"/>
        </w:rPr>
        <w:t>chiều xuất - nhập</w:t>
      </w:r>
      <w:r w:rsidR="009B00A0" w:rsidRPr="00BA0C47">
        <w:rPr>
          <w:rFonts w:ascii="Times New Roman" w:hAnsi="Times New Roman" w:cs="Times New Roman"/>
          <w:color w:val="000000"/>
          <w:lang w:val="vi-VN"/>
        </w:rPr>
        <w:t xml:space="preserve"> khẩu của khu vực này. </w:t>
      </w:r>
    </w:p>
    <w:p w14:paraId="26FF423C" w14:textId="3023792B" w:rsidR="009B00A0" w:rsidRPr="00BA0C47" w:rsidRDefault="009B00A0" w:rsidP="00771F8E">
      <w:pPr>
        <w:spacing w:before="120" w:after="0" w:line="240" w:lineRule="auto"/>
        <w:ind w:firstLine="567"/>
        <w:jc w:val="both"/>
        <w:rPr>
          <w:rFonts w:ascii="Times New Roman" w:hAnsi="Times New Roman" w:cs="Times New Roman"/>
          <w:color w:val="000000"/>
        </w:rPr>
      </w:pPr>
      <w:r w:rsidRPr="00602578">
        <w:rPr>
          <w:rFonts w:ascii="Times New Roman" w:hAnsi="Times New Roman" w:cs="Times New Roman"/>
          <w:b/>
          <w:bCs/>
          <w:i/>
          <w:color w:val="000000"/>
        </w:rPr>
        <w:t xml:space="preserve"> Tác động của hội nhập ASEAN và AEC:</w:t>
      </w:r>
      <w:r w:rsidRPr="00BA0C47">
        <w:rPr>
          <w:rFonts w:ascii="Times New Roman" w:hAnsi="Times New Roman" w:cs="Times New Roman"/>
          <w:color w:val="000000"/>
        </w:rPr>
        <w:t xml:space="preserve"> Các biến </w:t>
      </w:r>
      <w:r w:rsidR="00B5714C" w:rsidRPr="00BA0C47">
        <w:rPr>
          <w:rFonts w:ascii="Times New Roman" w:hAnsi="Times New Roman" w:cs="Times New Roman"/>
          <w:color w:val="000000"/>
          <w:lang w:val="vi-VN"/>
        </w:rPr>
        <w:t>“Chung đường</w:t>
      </w:r>
      <w:r w:rsidRPr="00BA0C47">
        <w:rPr>
          <w:rFonts w:ascii="Times New Roman" w:hAnsi="Times New Roman" w:cs="Times New Roman"/>
          <w:color w:val="000000"/>
        </w:rPr>
        <w:t xml:space="preserve"> biên giới</w:t>
      </w:r>
      <w:r w:rsidR="00B5714C" w:rsidRPr="00BA0C47">
        <w:rPr>
          <w:rFonts w:ascii="Times New Roman" w:hAnsi="Times New Roman" w:cs="Times New Roman"/>
          <w:color w:val="000000"/>
          <w:lang w:val="vi-VN"/>
        </w:rPr>
        <w:t xml:space="preserve">” </w:t>
      </w:r>
      <w:r w:rsidRPr="00BA0C47">
        <w:rPr>
          <w:rFonts w:ascii="Times New Roman" w:hAnsi="Times New Roman" w:cs="Times New Roman"/>
          <w:color w:val="000000"/>
        </w:rPr>
        <w:t xml:space="preserve">hoặc </w:t>
      </w:r>
      <w:r w:rsidR="00B5714C" w:rsidRPr="00BA0C47">
        <w:rPr>
          <w:rFonts w:ascii="Times New Roman" w:hAnsi="Times New Roman" w:cs="Times New Roman"/>
          <w:color w:val="000000"/>
          <w:lang w:val="vi-VN"/>
        </w:rPr>
        <w:t>“</w:t>
      </w:r>
      <w:r w:rsidRPr="00BA0C47">
        <w:rPr>
          <w:rFonts w:ascii="Times New Roman" w:hAnsi="Times New Roman" w:cs="Times New Roman"/>
          <w:color w:val="000000"/>
        </w:rPr>
        <w:t>thuộc khối ASEAN</w:t>
      </w:r>
      <w:r w:rsidR="00B5714C" w:rsidRPr="00BA0C47">
        <w:rPr>
          <w:rFonts w:ascii="Times New Roman" w:hAnsi="Times New Roman" w:cs="Times New Roman"/>
          <w:color w:val="000000"/>
          <w:lang w:val="vi-VN"/>
        </w:rPr>
        <w:t>”</w:t>
      </w:r>
      <w:r w:rsidRPr="00BA0C47">
        <w:rPr>
          <w:rFonts w:ascii="Times New Roman" w:hAnsi="Times New Roman" w:cs="Times New Roman"/>
          <w:color w:val="000000"/>
        </w:rPr>
        <w:t xml:space="preserve"> không </w:t>
      </w:r>
      <w:r w:rsidR="00B5714C" w:rsidRPr="00BA0C47">
        <w:rPr>
          <w:rFonts w:ascii="Times New Roman" w:hAnsi="Times New Roman" w:cs="Times New Roman"/>
          <w:color w:val="000000"/>
        </w:rPr>
        <w:t>có</w:t>
      </w:r>
      <w:r w:rsidR="00B5714C" w:rsidRPr="00BA0C47">
        <w:rPr>
          <w:rFonts w:ascii="Times New Roman" w:hAnsi="Times New Roman" w:cs="Times New Roman"/>
          <w:color w:val="000000"/>
          <w:lang w:val="vi-VN"/>
        </w:rPr>
        <w:t xml:space="preserve"> ý nghĩa</w:t>
      </w:r>
      <w:r w:rsidRPr="00BA0C47">
        <w:rPr>
          <w:rFonts w:ascii="Times New Roman" w:hAnsi="Times New Roman" w:cs="Times New Roman"/>
          <w:color w:val="000000"/>
        </w:rPr>
        <w:t xml:space="preserve"> thống kê. Tuy nhiên, </w:t>
      </w:r>
      <w:r w:rsidRPr="00BA0C47">
        <w:rPr>
          <w:rFonts w:ascii="Times New Roman" w:hAnsi="Times New Roman" w:cs="Times New Roman"/>
          <w:b/>
          <w:bCs/>
          <w:color w:val="000000"/>
        </w:rPr>
        <w:t>biến giả AEC mang dấu âm (-0.653)</w:t>
      </w:r>
      <w:r w:rsidRPr="00BA0C47">
        <w:rPr>
          <w:rFonts w:ascii="Times New Roman" w:hAnsi="Times New Roman" w:cs="Times New Roman"/>
          <w:color w:val="000000"/>
        </w:rPr>
        <w:t> với ý nghĩa 1% trong mô hình PPML. Kết quả này không phản ánh sự suy giảm của thương mại nội khối, mà minh chứng cho hiệu ứng </w:t>
      </w:r>
      <w:r w:rsidRPr="00BA0C47">
        <w:rPr>
          <w:rFonts w:ascii="Times New Roman" w:hAnsi="Times New Roman" w:cs="Times New Roman"/>
          <w:b/>
          <w:bCs/>
          <w:color w:val="000000"/>
        </w:rPr>
        <w:t>"Chuyển hướng thương mại"</w:t>
      </w:r>
      <w:r w:rsidRPr="00BA0C47">
        <w:rPr>
          <w:rFonts w:ascii="Times New Roman" w:hAnsi="Times New Roman" w:cs="Times New Roman"/>
          <w:b/>
          <w:bCs/>
          <w:color w:val="000000"/>
          <w:lang w:val="vi-VN"/>
        </w:rPr>
        <w:t xml:space="preserve"> </w:t>
      </w:r>
      <w:r w:rsidRPr="00BA0C47">
        <w:rPr>
          <w:rFonts w:ascii="Times New Roman" w:hAnsi="Times New Roman" w:cs="Times New Roman"/>
          <w:color w:val="000000"/>
        </w:rPr>
        <w:t>và </w:t>
      </w:r>
      <w:r w:rsidRPr="00BA0C47">
        <w:rPr>
          <w:rFonts w:ascii="Times New Roman" w:hAnsi="Times New Roman" w:cs="Times New Roman"/>
          <w:b/>
          <w:bCs/>
          <w:color w:val="000000"/>
        </w:rPr>
        <w:t>"Xói mòn ưu đãi"</w:t>
      </w:r>
      <w:r w:rsidRPr="00BA0C47">
        <w:rPr>
          <w:rFonts w:ascii="Times New Roman" w:hAnsi="Times New Roman" w:cs="Times New Roman"/>
          <w:color w:val="000000"/>
        </w:rPr>
        <w:t> do sự chồng chéo các FTA</w:t>
      </w:r>
      <w:r w:rsidR="00B5714C" w:rsidRPr="00BA0C47">
        <w:rPr>
          <w:rFonts w:ascii="Times New Roman" w:hAnsi="Times New Roman" w:cs="Times New Roman"/>
          <w:color w:val="000000"/>
          <w:lang w:val="vi-VN"/>
        </w:rPr>
        <w:t xml:space="preserve">. </w:t>
      </w:r>
      <w:r w:rsidRPr="00BA0C47">
        <w:rPr>
          <w:rFonts w:ascii="Times New Roman" w:hAnsi="Times New Roman" w:cs="Times New Roman"/>
          <w:color w:val="000000"/>
        </w:rPr>
        <w:t>Từ sau 2015, Việt Nam thực thi hàng loạt FTA thế hệ mới (CPTPP, EVFTA, UKVFTA), cắt giảm rào cản sâu rộng với Mỹ, EU, Nhật Bản. Do đó, thương mại nội khối ASEAN tăng trưởng chậm hơn một cách tương đối so với 5 đối tác ngoài khối. Điều này hoàn toàn phù hợp với các bằng chứng thực nghiệm gần đây (Thangavelu et al., 2021; Le, 2021; Ngo &amp; Nguyen, 2021).</w:t>
      </w:r>
    </w:p>
    <w:p w14:paraId="60F72CA1" w14:textId="6A9BFD07" w:rsidR="009B0195" w:rsidRPr="00BA0C47" w:rsidRDefault="009B0195" w:rsidP="00771F8E">
      <w:pPr>
        <w:spacing w:before="120" w:after="0" w:line="240" w:lineRule="auto"/>
        <w:ind w:firstLine="567"/>
        <w:jc w:val="both"/>
        <w:rPr>
          <w:rFonts w:ascii="Times New Roman" w:hAnsi="Times New Roman" w:cs="Times New Roman"/>
          <w:b/>
          <w:bCs/>
          <w:color w:val="000000"/>
        </w:rPr>
      </w:pPr>
      <w:r w:rsidRPr="00BA0C47">
        <w:rPr>
          <w:rFonts w:ascii="Times New Roman" w:hAnsi="Times New Roman" w:cs="Times New Roman"/>
          <w:b/>
          <w:bCs/>
          <w:color w:val="000000"/>
        </w:rPr>
        <w:t xml:space="preserve">5. Kết luận và hàm ý chính sách </w:t>
      </w:r>
    </w:p>
    <w:p w14:paraId="72A22145" w14:textId="77777777" w:rsidR="009B00A0" w:rsidRPr="00602578" w:rsidRDefault="009B00A0" w:rsidP="00771F8E">
      <w:pPr>
        <w:spacing w:before="120" w:after="0" w:line="240" w:lineRule="auto"/>
        <w:jc w:val="both"/>
        <w:rPr>
          <w:rFonts w:ascii="Times New Roman" w:hAnsi="Times New Roman" w:cs="Times New Roman"/>
          <w:b/>
          <w:bCs/>
          <w:i/>
          <w:color w:val="000000"/>
          <w:lang w:val="vi-VN"/>
        </w:rPr>
      </w:pPr>
      <w:r w:rsidRPr="00602578">
        <w:rPr>
          <w:rFonts w:ascii="Times New Roman" w:hAnsi="Times New Roman" w:cs="Times New Roman"/>
          <w:b/>
          <w:bCs/>
          <w:i/>
          <w:color w:val="000000"/>
        </w:rPr>
        <w:t>5.1. Kết luận </w:t>
      </w:r>
    </w:p>
    <w:p w14:paraId="1A512D4F" w14:textId="557FDBC1" w:rsidR="009B00A0" w:rsidRPr="00BA0C47" w:rsidRDefault="009B00A0" w:rsidP="00771F8E">
      <w:pPr>
        <w:spacing w:before="120" w:after="0" w:line="240" w:lineRule="auto"/>
        <w:ind w:firstLine="567"/>
        <w:jc w:val="both"/>
        <w:rPr>
          <w:rFonts w:ascii="Times New Roman" w:hAnsi="Times New Roman" w:cs="Times New Roman"/>
          <w:color w:val="000000"/>
        </w:rPr>
      </w:pPr>
      <w:r w:rsidRPr="00BA0C47">
        <w:rPr>
          <w:rFonts w:ascii="Times New Roman" w:hAnsi="Times New Roman" w:cs="Times New Roman"/>
          <w:color w:val="000000"/>
        </w:rPr>
        <w:t>Nghiên cứu ứng dụng mô hình trọng lực</w:t>
      </w:r>
      <w:r w:rsidR="00B5714C" w:rsidRPr="00BA0C47">
        <w:rPr>
          <w:rFonts w:ascii="Times New Roman" w:hAnsi="Times New Roman" w:cs="Times New Roman"/>
          <w:color w:val="000000"/>
          <w:lang w:val="vi-VN"/>
        </w:rPr>
        <w:t xml:space="preserve"> </w:t>
      </w:r>
      <w:r w:rsidRPr="00BA0C47">
        <w:rPr>
          <w:rFonts w:ascii="Times New Roman" w:hAnsi="Times New Roman" w:cs="Times New Roman"/>
          <w:color w:val="000000"/>
        </w:rPr>
        <w:t>qua các ước lượng PPML, FGLS, FEM) đối với hoạt động thương mại của Việt Nam và 14 đối tác chiến lược (1990 - 2024), rút ra 3 kết luận sau:</w:t>
      </w:r>
    </w:p>
    <w:p w14:paraId="3743EDD1" w14:textId="340889B7"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Thứ nhất</w:t>
      </w:r>
      <w:r w:rsidRPr="00602578">
        <w:rPr>
          <w:rFonts w:ascii="Times New Roman" w:hAnsi="Times New Roman" w:cs="Times New Roman"/>
          <w:bCs/>
          <w:i/>
          <w:color w:val="000000"/>
          <w:lang w:val="vi-VN"/>
        </w:rPr>
        <w:t>,</w:t>
      </w:r>
      <w:r w:rsidRPr="00BA0C47">
        <w:rPr>
          <w:rFonts w:ascii="Times New Roman" w:hAnsi="Times New Roman" w:cs="Times New Roman"/>
          <w:b/>
          <w:bCs/>
          <w:color w:val="000000"/>
          <w:lang w:val="vi-VN"/>
        </w:rPr>
        <w:t xml:space="preserve"> </w:t>
      </w:r>
      <w:r w:rsidRPr="00BA0C47">
        <w:rPr>
          <w:rFonts w:ascii="Times New Roman" w:hAnsi="Times New Roman" w:cs="Times New Roman"/>
          <w:color w:val="000000"/>
          <w:lang w:val="vi-VN"/>
        </w:rPr>
        <w:t xml:space="preserve">các biến số quan trọng trong </w:t>
      </w:r>
      <w:r w:rsidRPr="00BA0C47">
        <w:rPr>
          <w:rFonts w:ascii="Times New Roman" w:hAnsi="Times New Roman" w:cs="Times New Roman"/>
          <w:color w:val="000000"/>
        </w:rPr>
        <w:t xml:space="preserve">mô hình trọng lực </w:t>
      </w:r>
      <w:r w:rsidRPr="00BA0C47">
        <w:rPr>
          <w:rFonts w:ascii="Times New Roman" w:hAnsi="Times New Roman" w:cs="Times New Roman"/>
          <w:color w:val="000000"/>
          <w:lang w:val="vi-VN"/>
        </w:rPr>
        <w:t>đều có dấu đúng như kỳ vọng</w:t>
      </w:r>
      <w:r w:rsidRPr="00BA0C47">
        <w:rPr>
          <w:rFonts w:ascii="Times New Roman" w:hAnsi="Times New Roman" w:cs="Times New Roman"/>
          <w:color w:val="000000"/>
        </w:rPr>
        <w:t xml:space="preserve">. Quy mô kinh tế là </w:t>
      </w:r>
      <w:r w:rsidRPr="00BA0C47">
        <w:rPr>
          <w:rFonts w:ascii="Times New Roman" w:hAnsi="Times New Roman" w:cs="Times New Roman"/>
          <w:color w:val="000000"/>
          <w:lang w:val="vi-VN"/>
        </w:rPr>
        <w:t>“l</w:t>
      </w:r>
      <w:r w:rsidRPr="00BA0C47">
        <w:rPr>
          <w:rFonts w:ascii="Times New Roman" w:hAnsi="Times New Roman" w:cs="Times New Roman"/>
          <w:color w:val="000000"/>
        </w:rPr>
        <w:t>ực hút" chủ đạo, còn khoảng cách địa lý là "lực cản" hữu hình. Đặc biệt, GDP Việt Nam có độ co giãn rất lớn, đóng vai trò quyết định tới quy mô thương mại.</w:t>
      </w:r>
    </w:p>
    <w:p w14:paraId="440734A8" w14:textId="77777777"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Thứ hai:</w:t>
      </w:r>
      <w:r w:rsidRPr="00BA0C47">
        <w:rPr>
          <w:rFonts w:ascii="Times New Roman" w:hAnsi="Times New Roman" w:cs="Times New Roman"/>
          <w:b/>
          <w:bCs/>
          <w:color w:val="000000"/>
        </w:rPr>
        <w:t> </w:t>
      </w:r>
      <w:r w:rsidRPr="00BA0C47">
        <w:rPr>
          <w:rFonts w:ascii="Times New Roman" w:hAnsi="Times New Roman" w:cs="Times New Roman"/>
          <w:color w:val="000000"/>
        </w:rPr>
        <w:t>Tỷ giá hối đoái thực song phương (RER) không có tác động ý nghĩa thống kê. Nguyên nhân do Việt Nam hội nhập sâu vào chuỗi giá trị toàn cầu (GVCs), mô hình nhập khẩu nguyên liệu để xuất khẩu thành phẩm đã bù trừ và triệt tiêu các cú sốc tỷ giá ngắn hạn.</w:t>
      </w:r>
    </w:p>
    <w:p w14:paraId="637BE0AE" w14:textId="5E593AAA"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Thứ ba:</w:t>
      </w:r>
      <w:r w:rsidRPr="00BA0C47">
        <w:rPr>
          <w:rFonts w:ascii="Times New Roman" w:hAnsi="Times New Roman" w:cs="Times New Roman"/>
          <w:b/>
          <w:bCs/>
          <w:color w:val="000000"/>
        </w:rPr>
        <w:t> </w:t>
      </w:r>
      <w:r w:rsidRPr="00BA0C47">
        <w:rPr>
          <w:rFonts w:ascii="Times New Roman" w:hAnsi="Times New Roman" w:cs="Times New Roman"/>
          <w:color w:val="000000"/>
        </w:rPr>
        <w:t xml:space="preserve">Xuất hiện hiệu ứng </w:t>
      </w:r>
      <w:r w:rsidRPr="00BA0C47">
        <w:rPr>
          <w:rFonts w:ascii="Times New Roman" w:hAnsi="Times New Roman" w:cs="Times New Roman"/>
          <w:color w:val="000000"/>
          <w:lang w:val="vi-VN"/>
        </w:rPr>
        <w:t>“</w:t>
      </w:r>
      <w:r w:rsidRPr="00BA0C47">
        <w:rPr>
          <w:rFonts w:ascii="Times New Roman" w:hAnsi="Times New Roman" w:cs="Times New Roman"/>
          <w:color w:val="000000"/>
        </w:rPr>
        <w:t>chuyển hướng thương mại</w:t>
      </w:r>
      <w:r w:rsidRPr="00BA0C47">
        <w:rPr>
          <w:rFonts w:ascii="Times New Roman" w:hAnsi="Times New Roman" w:cs="Times New Roman"/>
          <w:color w:val="000000"/>
          <w:lang w:val="vi-VN"/>
        </w:rPr>
        <w:t xml:space="preserve">” </w:t>
      </w:r>
      <w:r w:rsidRPr="00BA0C47">
        <w:rPr>
          <w:rFonts w:ascii="Times New Roman" w:hAnsi="Times New Roman" w:cs="Times New Roman"/>
          <w:color w:val="000000"/>
        </w:rPr>
        <w:t xml:space="preserve">rõ rệt từ khi AEC vận hành (2015). </w:t>
      </w:r>
      <w:r w:rsidRPr="00BA0C47">
        <w:rPr>
          <w:rFonts w:ascii="Times New Roman" w:hAnsi="Times New Roman" w:cs="Times New Roman"/>
          <w:color w:val="000000"/>
          <w:lang w:val="vi-VN"/>
        </w:rPr>
        <w:t xml:space="preserve">Đây là kết quả từ việc Việt Nam tham gia Hiệp định thương mại thế </w:t>
      </w:r>
      <w:r w:rsidRPr="00BA0C47">
        <w:rPr>
          <w:rFonts w:ascii="Times New Roman" w:hAnsi="Times New Roman" w:cs="Times New Roman"/>
          <w:color w:val="000000"/>
        </w:rPr>
        <w:t>hệ mới với các đối tác ngoài khối đã làm giảm tương đối tỷ trọng giao thương nội khối ASEAN.</w:t>
      </w:r>
    </w:p>
    <w:p w14:paraId="6755B5CC" w14:textId="77777777" w:rsidR="009B00A0" w:rsidRPr="00602578" w:rsidRDefault="009B00A0" w:rsidP="00771F8E">
      <w:pPr>
        <w:spacing w:before="120" w:after="0" w:line="240" w:lineRule="auto"/>
        <w:jc w:val="both"/>
        <w:rPr>
          <w:rFonts w:ascii="Times New Roman" w:hAnsi="Times New Roman" w:cs="Times New Roman"/>
          <w:b/>
          <w:bCs/>
          <w:i/>
          <w:color w:val="000000"/>
          <w:lang w:val="vi-VN"/>
        </w:rPr>
      </w:pPr>
      <w:r w:rsidRPr="00602578">
        <w:rPr>
          <w:rFonts w:ascii="Times New Roman" w:hAnsi="Times New Roman" w:cs="Times New Roman"/>
          <w:b/>
          <w:bCs/>
          <w:i/>
          <w:color w:val="000000"/>
        </w:rPr>
        <w:t>5.2. Hàm ý chính sách </w:t>
      </w:r>
    </w:p>
    <w:p w14:paraId="22675046" w14:textId="01689FB5" w:rsidR="009B00A0" w:rsidRPr="00BA0C47" w:rsidRDefault="009B00A0" w:rsidP="00771F8E">
      <w:pPr>
        <w:spacing w:before="120" w:after="0" w:line="240" w:lineRule="auto"/>
        <w:jc w:val="both"/>
        <w:rPr>
          <w:rFonts w:ascii="Times New Roman" w:hAnsi="Times New Roman" w:cs="Times New Roman"/>
          <w:color w:val="000000"/>
        </w:rPr>
      </w:pPr>
      <w:r w:rsidRPr="00BA0C47">
        <w:rPr>
          <w:rFonts w:ascii="Times New Roman" w:hAnsi="Times New Roman" w:cs="Times New Roman"/>
          <w:color w:val="000000"/>
        </w:rPr>
        <w:t>Dựa trên kết quả định lượng, nghiên cứu đề xuất 4 hàm ý chính</w:t>
      </w:r>
      <w:r w:rsidRPr="00BA0C47">
        <w:rPr>
          <w:rFonts w:ascii="Times New Roman" w:hAnsi="Times New Roman" w:cs="Times New Roman"/>
          <w:color w:val="000000"/>
          <w:lang w:val="vi-VN"/>
        </w:rPr>
        <w:t xml:space="preserve"> sách </w:t>
      </w:r>
      <w:r w:rsidRPr="00BA0C47">
        <w:rPr>
          <w:rFonts w:ascii="Times New Roman" w:hAnsi="Times New Roman" w:cs="Times New Roman"/>
          <w:color w:val="000000"/>
        </w:rPr>
        <w:t>vĩ mô trong thời gian tới:</w:t>
      </w:r>
    </w:p>
    <w:p w14:paraId="707F57D5" w14:textId="77777777"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
          <w:bCs/>
          <w:i/>
          <w:color w:val="000000"/>
        </w:rPr>
        <w:t>Một là,</w:t>
      </w:r>
      <w:r w:rsidRPr="00BA0C47">
        <w:rPr>
          <w:rFonts w:ascii="Times New Roman" w:hAnsi="Times New Roman" w:cs="Times New Roman"/>
          <w:b/>
          <w:bCs/>
          <w:color w:val="000000"/>
        </w:rPr>
        <w:t xml:space="preserve"> </w:t>
      </w:r>
      <w:r w:rsidRPr="00BA0C47">
        <w:rPr>
          <w:rFonts w:ascii="Times New Roman" w:hAnsi="Times New Roman" w:cs="Times New Roman"/>
          <w:color w:val="000000"/>
        </w:rPr>
        <w:t xml:space="preserve">ưu tiên phát triển nội lực và nâng cấp năng lực sản xuất. Do GDP có tác động thúc đẩy mạnh nhất, chính sách thương mại cần gắn chặt với chiến lược công nghiệp hóa. Trọng </w:t>
      </w:r>
      <w:r w:rsidRPr="00BA0C47">
        <w:rPr>
          <w:rFonts w:ascii="Times New Roman" w:hAnsi="Times New Roman" w:cs="Times New Roman"/>
          <w:color w:val="000000"/>
        </w:rPr>
        <w:lastRenderedPageBreak/>
        <w:t>tâm là thu hút đầu tư công nghệ cao và phát triển công nghiệp phụ trợ để tăng giá trị gia tăng nội địa.</w:t>
      </w:r>
    </w:p>
    <w:p w14:paraId="60596E61" w14:textId="3BF50969"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Hai là,</w:t>
      </w:r>
      <w:r w:rsidRPr="00BA0C47">
        <w:rPr>
          <w:rFonts w:ascii="Times New Roman" w:hAnsi="Times New Roman" w:cs="Times New Roman"/>
          <w:b/>
          <w:bCs/>
          <w:color w:val="000000"/>
        </w:rPr>
        <w:t xml:space="preserve"> </w:t>
      </w:r>
      <w:r w:rsidRPr="00BA0C47">
        <w:rPr>
          <w:rFonts w:ascii="Times New Roman" w:hAnsi="Times New Roman" w:cs="Times New Roman"/>
          <w:color w:val="000000"/>
        </w:rPr>
        <w:t xml:space="preserve">không </w:t>
      </w:r>
      <w:r w:rsidRPr="00BA0C47">
        <w:rPr>
          <w:rFonts w:ascii="Times New Roman" w:hAnsi="Times New Roman" w:cs="Times New Roman"/>
          <w:color w:val="000000"/>
          <w:lang w:val="vi-VN"/>
        </w:rPr>
        <w:t>nên sử dụng phá giá tiền tệ</w:t>
      </w:r>
      <w:r w:rsidRPr="00BA0C47">
        <w:rPr>
          <w:rFonts w:ascii="Times New Roman" w:hAnsi="Times New Roman" w:cs="Times New Roman"/>
          <w:color w:val="000000"/>
        </w:rPr>
        <w:t xml:space="preserve"> để kích thích xuất khẩu</w:t>
      </w:r>
      <w:r w:rsidRPr="00BA0C47">
        <w:rPr>
          <w:rFonts w:ascii="Times New Roman" w:hAnsi="Times New Roman" w:cs="Times New Roman"/>
          <w:color w:val="000000"/>
          <w:lang w:val="vi-VN"/>
        </w:rPr>
        <w:t xml:space="preserve"> do v</w:t>
      </w:r>
      <w:r w:rsidRPr="00BA0C47">
        <w:rPr>
          <w:rFonts w:ascii="Times New Roman" w:hAnsi="Times New Roman" w:cs="Times New Roman"/>
          <w:color w:val="000000"/>
        </w:rPr>
        <w:t xml:space="preserve">iệc </w:t>
      </w:r>
      <w:r w:rsidRPr="00BA0C47">
        <w:rPr>
          <w:rFonts w:ascii="Times New Roman" w:hAnsi="Times New Roman" w:cs="Times New Roman"/>
          <w:color w:val="000000"/>
          <w:lang w:val="vi-VN"/>
        </w:rPr>
        <w:t xml:space="preserve">Việt </w:t>
      </w:r>
      <w:r w:rsidR="009D027C">
        <w:rPr>
          <w:rFonts w:ascii="Times New Roman" w:hAnsi="Times New Roman" w:cs="Times New Roman"/>
          <w:color w:val="000000"/>
        </w:rPr>
        <w:t>N</w:t>
      </w:r>
      <w:r w:rsidRPr="00BA0C47">
        <w:rPr>
          <w:rFonts w:ascii="Times New Roman" w:hAnsi="Times New Roman" w:cs="Times New Roman"/>
          <w:color w:val="000000"/>
          <w:lang w:val="vi-VN"/>
        </w:rPr>
        <w:t xml:space="preserve">am phụ thuộc vào cả </w:t>
      </w:r>
      <w:r w:rsidR="009D027C">
        <w:rPr>
          <w:rFonts w:ascii="Times New Roman" w:hAnsi="Times New Roman" w:cs="Times New Roman"/>
          <w:color w:val="000000"/>
        </w:rPr>
        <w:t>2</w:t>
      </w:r>
      <w:r w:rsidR="009D027C" w:rsidRPr="00BA0C47">
        <w:rPr>
          <w:rFonts w:ascii="Times New Roman" w:hAnsi="Times New Roman" w:cs="Times New Roman"/>
          <w:color w:val="000000"/>
          <w:lang w:val="vi-VN"/>
        </w:rPr>
        <w:t xml:space="preserve"> </w:t>
      </w:r>
      <w:r w:rsidRPr="00BA0C47">
        <w:rPr>
          <w:rFonts w:ascii="Times New Roman" w:hAnsi="Times New Roman" w:cs="Times New Roman"/>
          <w:color w:val="000000"/>
          <w:lang w:val="vi-VN"/>
        </w:rPr>
        <w:t>chiều xuất khẩu và nhập khẩu</w:t>
      </w:r>
      <w:r w:rsidRPr="00BA0C47">
        <w:rPr>
          <w:rFonts w:ascii="Times New Roman" w:hAnsi="Times New Roman" w:cs="Times New Roman"/>
          <w:color w:val="000000"/>
        </w:rPr>
        <w:t>. Ngân hàng Nhà nước chỉ nên điều hành tỷ giá linh hoạt nhằm ổn định kinh tế vĩ mô, kiểm soát lạm phát và tạo môi trường dự báo tốt cho doanh nghiệp.</w:t>
      </w:r>
    </w:p>
    <w:p w14:paraId="61EC5D92" w14:textId="43027F7F"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Ba là,</w:t>
      </w:r>
      <w:r w:rsidRPr="00BA0C47">
        <w:rPr>
          <w:rFonts w:ascii="Times New Roman" w:hAnsi="Times New Roman" w:cs="Times New Roman"/>
          <w:b/>
          <w:bCs/>
          <w:color w:val="000000"/>
        </w:rPr>
        <w:t xml:space="preserve"> </w:t>
      </w:r>
      <w:r w:rsidRPr="00BA0C47">
        <w:rPr>
          <w:rFonts w:ascii="Times New Roman" w:hAnsi="Times New Roman" w:cs="Times New Roman"/>
          <w:color w:val="000000"/>
        </w:rPr>
        <w:t>đầu tư logistics xanh và số hóa. Để giảm thiểu "lực cản" khoảng cách địa lý, cần tập trung phát triển hạ tầng dữ liệu, cửa khẩu thông minh và ứng dụng triệt để Cơ chế một cửa ASEAN nhằm rút ngắn thời gian thông quan.</w:t>
      </w:r>
    </w:p>
    <w:p w14:paraId="43CE9E2E" w14:textId="66385CA2" w:rsidR="009B00A0" w:rsidRPr="00BA0C47" w:rsidRDefault="009B00A0" w:rsidP="00602578">
      <w:pPr>
        <w:spacing w:before="120" w:after="0" w:line="240" w:lineRule="auto"/>
        <w:ind w:left="360"/>
        <w:jc w:val="both"/>
        <w:rPr>
          <w:rFonts w:ascii="Times New Roman" w:hAnsi="Times New Roman" w:cs="Times New Roman"/>
          <w:color w:val="000000"/>
        </w:rPr>
      </w:pPr>
      <w:r w:rsidRPr="00602578">
        <w:rPr>
          <w:rFonts w:ascii="Times New Roman" w:hAnsi="Times New Roman" w:cs="Times New Roman"/>
          <w:bCs/>
          <w:i/>
          <w:color w:val="000000"/>
        </w:rPr>
        <w:t>Bốn là,</w:t>
      </w:r>
      <w:r w:rsidRPr="00BA0C47">
        <w:rPr>
          <w:rFonts w:ascii="Times New Roman" w:hAnsi="Times New Roman" w:cs="Times New Roman"/>
          <w:b/>
          <w:bCs/>
          <w:color w:val="000000"/>
        </w:rPr>
        <w:t xml:space="preserve"> </w:t>
      </w:r>
      <w:r w:rsidRPr="00BA0C47">
        <w:rPr>
          <w:rFonts w:ascii="Times New Roman" w:hAnsi="Times New Roman" w:cs="Times New Roman"/>
          <w:color w:val="000000"/>
        </w:rPr>
        <w:t>định vị lại ASEAN thành trung tâm cung ứng nguyên liệu. Để ứng phó với hiện tượng chuyển hướng thương mại, Việt Nam cần:</w:t>
      </w:r>
    </w:p>
    <w:p w14:paraId="68971304" w14:textId="08BD86A5" w:rsidR="009B00A0" w:rsidRPr="00BA0C47" w:rsidRDefault="009B00A0" w:rsidP="00602578">
      <w:pPr>
        <w:spacing w:before="120" w:after="0" w:line="240" w:lineRule="auto"/>
        <w:ind w:left="1080"/>
        <w:jc w:val="both"/>
        <w:rPr>
          <w:rFonts w:ascii="Times New Roman" w:hAnsi="Times New Roman" w:cs="Times New Roman"/>
          <w:color w:val="000000"/>
        </w:rPr>
      </w:pPr>
      <w:r w:rsidRPr="00602578">
        <w:rPr>
          <w:rFonts w:ascii="Times New Roman" w:hAnsi="Times New Roman" w:cs="Times New Roman"/>
          <w:bCs/>
          <w:i/>
          <w:iCs/>
          <w:color w:val="000000"/>
        </w:rPr>
        <w:t xml:space="preserve">(i) Thực thi chiến lược </w:t>
      </w:r>
      <w:r w:rsidR="00B5714C" w:rsidRPr="00602578">
        <w:rPr>
          <w:rFonts w:ascii="Times New Roman" w:hAnsi="Times New Roman" w:cs="Times New Roman"/>
          <w:bCs/>
          <w:i/>
          <w:iCs/>
          <w:color w:val="000000"/>
          <w:lang w:val="vi-VN"/>
        </w:rPr>
        <w:t>“</w:t>
      </w:r>
      <w:r w:rsidRPr="00602578">
        <w:rPr>
          <w:rFonts w:ascii="Times New Roman" w:hAnsi="Times New Roman" w:cs="Times New Roman"/>
          <w:bCs/>
          <w:i/>
          <w:iCs/>
          <w:color w:val="000000"/>
        </w:rPr>
        <w:t>cộng hưởng FTA</w:t>
      </w:r>
      <w:r w:rsidR="00B5714C" w:rsidRPr="00602578">
        <w:rPr>
          <w:rFonts w:ascii="Times New Roman" w:hAnsi="Times New Roman" w:cs="Times New Roman"/>
          <w:bCs/>
          <w:i/>
          <w:iCs/>
          <w:color w:val="000000"/>
          <w:lang w:val="vi-VN"/>
        </w:rPr>
        <w:t>”</w:t>
      </w:r>
      <w:r w:rsidRPr="00602578">
        <w:rPr>
          <w:rFonts w:ascii="Times New Roman" w:hAnsi="Times New Roman" w:cs="Times New Roman"/>
          <w:bCs/>
          <w:i/>
          <w:iCs/>
          <w:color w:val="000000"/>
        </w:rPr>
        <w:t>:</w:t>
      </w:r>
      <w:r w:rsidRPr="00BA0C47">
        <w:rPr>
          <w:rFonts w:ascii="Times New Roman" w:hAnsi="Times New Roman" w:cs="Times New Roman"/>
          <w:b/>
          <w:bCs/>
          <w:color w:val="000000"/>
        </w:rPr>
        <w:t> </w:t>
      </w:r>
      <w:r w:rsidRPr="00BA0C47">
        <w:rPr>
          <w:rFonts w:ascii="Times New Roman" w:hAnsi="Times New Roman" w:cs="Times New Roman"/>
          <w:color w:val="000000"/>
        </w:rPr>
        <w:t>Tận dụng tối đa quy tắc xuất xứ cộng gộp (RCEP, AEC) để nhập khẩu nguyên liệu nội khối với thuế 0% (ATIGA), sau đó chế biến và xuất khẩu thành phẩm sang các thị trường lớn (Mỹ, EU, Trung Quốc).</w:t>
      </w:r>
    </w:p>
    <w:p w14:paraId="427C8185" w14:textId="024FEAF4" w:rsidR="009D7921" w:rsidRPr="00BA0C47" w:rsidRDefault="009B00A0" w:rsidP="00602578">
      <w:pPr>
        <w:spacing w:before="120" w:after="0" w:line="240" w:lineRule="auto"/>
        <w:ind w:left="1080"/>
        <w:jc w:val="both"/>
        <w:rPr>
          <w:rFonts w:ascii="Times New Roman" w:hAnsi="Times New Roman" w:cs="Times New Roman"/>
          <w:color w:val="000000"/>
        </w:rPr>
      </w:pPr>
      <w:r w:rsidRPr="00602578">
        <w:rPr>
          <w:rFonts w:ascii="Times New Roman" w:hAnsi="Times New Roman" w:cs="Times New Roman"/>
          <w:bCs/>
          <w:i/>
          <w:iCs/>
          <w:color w:val="000000"/>
        </w:rPr>
        <w:t>(ii) Mở rộng không gian đàm phán:</w:t>
      </w:r>
      <w:r w:rsidRPr="00602578">
        <w:rPr>
          <w:rFonts w:ascii="Times New Roman" w:hAnsi="Times New Roman" w:cs="Times New Roman"/>
          <w:bCs/>
          <w:color w:val="000000"/>
        </w:rPr>
        <w:t> </w:t>
      </w:r>
      <w:r w:rsidRPr="00BA0C47">
        <w:rPr>
          <w:rFonts w:ascii="Times New Roman" w:hAnsi="Times New Roman" w:cs="Times New Roman"/>
          <w:color w:val="000000"/>
        </w:rPr>
        <w:t>Dịch chuyển trọng tâm sang các lĩnh vực mới như kinh tế số (DEFA) và thương mại dịch vụ thay vì chỉ cạnh tranh thương mại hàng hóa truyền thống hướng tới Tầm nhìn ASEAN 2045.</w:t>
      </w:r>
    </w:p>
    <w:p w14:paraId="6CFF6DDD" w14:textId="77777777" w:rsidR="00BA0C47" w:rsidRPr="00602578" w:rsidRDefault="00BA0C47" w:rsidP="00771F8E">
      <w:pPr>
        <w:spacing w:before="120" w:after="0" w:line="240" w:lineRule="auto"/>
        <w:jc w:val="both"/>
        <w:rPr>
          <w:rFonts w:ascii="Times New Roman" w:hAnsi="Times New Roman" w:cs="Times New Roman"/>
          <w:b/>
          <w:bCs/>
          <w:color w:val="FF0000"/>
          <w:lang w:val="vi-VN"/>
        </w:rPr>
      </w:pPr>
    </w:p>
    <w:p w14:paraId="33F01202" w14:textId="48A250D7" w:rsidR="00D100B7" w:rsidRPr="00602578" w:rsidRDefault="009B0195" w:rsidP="00771F8E">
      <w:pPr>
        <w:spacing w:before="120" w:after="0" w:line="240" w:lineRule="auto"/>
        <w:jc w:val="both"/>
        <w:rPr>
          <w:rFonts w:ascii="Times New Roman" w:hAnsi="Times New Roman" w:cs="Times New Roman"/>
          <w:b/>
          <w:bCs/>
          <w:color w:val="FF0000"/>
        </w:rPr>
      </w:pPr>
      <w:r w:rsidRPr="00602578">
        <w:rPr>
          <w:rFonts w:ascii="Times New Roman" w:hAnsi="Times New Roman" w:cs="Times New Roman"/>
          <w:b/>
          <w:bCs/>
          <w:color w:val="FF0000"/>
          <w:highlight w:val="yellow"/>
          <w:lang w:val="vi-VN"/>
        </w:rPr>
        <w:t>Tài liệu tham khảo</w:t>
      </w:r>
      <w:r w:rsidR="009D027C" w:rsidRPr="00602578">
        <w:rPr>
          <w:rFonts w:ascii="Times New Roman" w:hAnsi="Times New Roman" w:cs="Times New Roman"/>
          <w:b/>
          <w:bCs/>
          <w:color w:val="FF0000"/>
          <w:highlight w:val="yellow"/>
        </w:rPr>
        <w:t>:</w:t>
      </w:r>
      <w:r w:rsidR="00725E79" w:rsidRPr="00602578">
        <w:rPr>
          <w:rFonts w:ascii="Times New Roman" w:hAnsi="Times New Roman" w:cs="Times New Roman"/>
          <w:b/>
          <w:bCs/>
          <w:color w:val="FF0000"/>
          <w:highlight w:val="yellow"/>
        </w:rPr>
        <w:t xml:space="preserve"> </w:t>
      </w:r>
    </w:p>
    <w:sdt>
      <w:sdtPr>
        <w:rPr>
          <w:rFonts w:ascii="Times New Roman" w:hAnsi="Times New Roman" w:cs="Times New Roman"/>
        </w:rPr>
        <w:id w:val="2065138885"/>
        <w:docPartObj>
          <w:docPartGallery w:val="Bibliographies"/>
          <w:docPartUnique/>
        </w:docPartObj>
      </w:sdtPr>
      <w:sdtContent>
        <w:p w14:paraId="0E5497BF" w14:textId="75B39A3D" w:rsidR="0091352A" w:rsidRPr="00BA0C47" w:rsidRDefault="00725E79" w:rsidP="0091352A">
          <w:pPr>
            <w:pStyle w:val="Bibliography"/>
            <w:spacing w:before="120"/>
            <w:ind w:left="720" w:hanging="720"/>
            <w:jc w:val="both"/>
            <w:rPr>
              <w:rFonts w:ascii="Times New Roman" w:hAnsi="Times New Roman" w:cs="Times New Roman"/>
              <w:noProof/>
              <w:lang w:val="vi-VN"/>
            </w:rPr>
          </w:pPr>
          <w:r>
            <w:rPr>
              <w:rFonts w:ascii="Arial" w:hAnsi="Arial" w:cs="Arial"/>
              <w:color w:val="0A0A0A"/>
              <w:shd w:val="clear" w:color="auto" w:fill="FFFFFF"/>
            </w:rPr>
            <w:t>Từ Thúy Anh và Đào Ngọc Tiến (2008). </w:t>
          </w:r>
          <w:r w:rsidR="0091352A" w:rsidRPr="00BA0C47">
            <w:rPr>
              <w:rFonts w:ascii="Times New Roman" w:hAnsi="Times New Roman" w:cs="Times New Roman"/>
              <w:i/>
              <w:iCs/>
              <w:noProof/>
              <w:lang w:val="vi-VN"/>
            </w:rPr>
            <w:t>Các nhân tố ảnh hưởng đến mức độ tập trung thương mại của Việt Nam với ASEAN+3.</w:t>
          </w:r>
          <w:r w:rsidR="0091352A" w:rsidRPr="00BA0C47">
            <w:rPr>
              <w:rFonts w:ascii="Times New Roman" w:hAnsi="Times New Roman" w:cs="Times New Roman"/>
              <w:noProof/>
              <w:lang w:val="vi-VN"/>
            </w:rPr>
            <w:t xml:space="preserve"> Trung tâm Nghiên cứu Kinh tế và Chính sách (VEPR), Trường Đại học Kinh tế </w:t>
          </w:r>
          <w:r w:rsidR="0091352A">
            <w:rPr>
              <w:rFonts w:ascii="Times New Roman" w:hAnsi="Times New Roman" w:cs="Times New Roman"/>
              <w:noProof/>
              <w:lang w:val="vi-VN"/>
            </w:rPr>
            <w:t>-</w:t>
          </w:r>
          <w:r w:rsidR="0091352A" w:rsidRPr="00BA0C47">
            <w:rPr>
              <w:rFonts w:ascii="Times New Roman" w:hAnsi="Times New Roman" w:cs="Times New Roman"/>
              <w:noProof/>
              <w:lang w:val="vi-VN"/>
            </w:rPr>
            <w:t xml:space="preserve"> Đại học Quốc gia Hà Nội.</w:t>
          </w:r>
        </w:p>
        <w:p w14:paraId="77EB37A4" w14:textId="68E0FF77" w:rsidR="00AF1A05" w:rsidRDefault="00AF1A05" w:rsidP="00AF1A05">
          <w:pPr>
            <w:pStyle w:val="Bibliography"/>
            <w:spacing w:before="120"/>
            <w:jc w:val="both"/>
            <w:rPr>
              <w:rFonts w:ascii="Times New Roman" w:hAnsi="Times New Roman" w:cs="Times New Roman"/>
              <w:noProof/>
            </w:rPr>
          </w:pPr>
          <w:r w:rsidRPr="00BA0C47">
            <w:rPr>
              <w:rFonts w:ascii="Times New Roman" w:hAnsi="Times New Roman" w:cs="Times New Roman"/>
              <w:noProof/>
              <w:lang w:val="vi-VN"/>
            </w:rPr>
            <w:t>N</w:t>
          </w:r>
          <w:r>
            <w:rPr>
              <w:rFonts w:ascii="Times New Roman" w:hAnsi="Times New Roman" w:cs="Times New Roman"/>
              <w:noProof/>
              <w:lang w:val="vi-VN"/>
            </w:rPr>
            <w:t>gu</w:t>
          </w:r>
          <w:r>
            <w:rPr>
              <w:rFonts w:ascii="Times New Roman" w:hAnsi="Times New Roman" w:cs="Times New Roman"/>
              <w:noProof/>
            </w:rPr>
            <w:t>yễn Tiến Dũng</w:t>
          </w:r>
          <w:r w:rsidRPr="00BA0C47">
            <w:rPr>
              <w:rFonts w:ascii="Times New Roman" w:hAnsi="Times New Roman" w:cs="Times New Roman"/>
              <w:noProof/>
              <w:lang w:val="vi-VN"/>
            </w:rPr>
            <w:t>, (2011). Tác động của khu vực mậu dịch tự do ASEAN</w:t>
          </w:r>
          <w:r>
            <w:rPr>
              <w:rFonts w:ascii="Times New Roman" w:hAnsi="Times New Roman" w:cs="Times New Roman"/>
              <w:noProof/>
              <w:lang w:val="vi-VN"/>
            </w:rPr>
            <w:t>-</w:t>
          </w:r>
          <w:r w:rsidRPr="00BA0C47">
            <w:rPr>
              <w:rFonts w:ascii="Times New Roman" w:hAnsi="Times New Roman" w:cs="Times New Roman"/>
              <w:noProof/>
              <w:lang w:val="vi-VN"/>
            </w:rPr>
            <w:t xml:space="preserve">Hàn Quốc đến thương mại Việt Nam. </w:t>
          </w:r>
          <w:r w:rsidRPr="00BA0C47">
            <w:rPr>
              <w:rFonts w:ascii="Times New Roman" w:hAnsi="Times New Roman" w:cs="Times New Roman"/>
              <w:i/>
              <w:iCs/>
              <w:noProof/>
              <w:lang w:val="vi-VN"/>
            </w:rPr>
            <w:t>Tạp chí Kinh tế và Kinh doanh</w:t>
          </w:r>
          <w:r w:rsidRPr="00BA0C47">
            <w:rPr>
              <w:rFonts w:ascii="Times New Roman" w:hAnsi="Times New Roman" w:cs="Times New Roman"/>
              <w:noProof/>
              <w:lang w:val="vi-VN"/>
            </w:rPr>
            <w:t>.</w:t>
          </w:r>
          <w:r>
            <w:rPr>
              <w:rFonts w:ascii="Times New Roman" w:hAnsi="Times New Roman" w:cs="Times New Roman"/>
              <w:noProof/>
            </w:rPr>
            <w:t xml:space="preserve"> Truy cập tại: </w:t>
          </w:r>
          <w:hyperlink r:id="rId10" w:history="1">
            <w:r w:rsidRPr="002153C1">
              <w:rPr>
                <w:rStyle w:val="Hyperlink"/>
                <w:rFonts w:ascii="Times New Roman" w:hAnsi="Times New Roman" w:cs="Times New Roman"/>
                <w:noProof/>
              </w:rPr>
              <w:t>https://js.vnu.edu.vn/EAB/article/view/830</w:t>
            </w:r>
          </w:hyperlink>
        </w:p>
        <w:p w14:paraId="22B6006D" w14:textId="77777777" w:rsidR="00AF1A05" w:rsidRDefault="00AF1A05" w:rsidP="00AF1A05">
          <w:pPr>
            <w:pStyle w:val="Bibliography"/>
            <w:spacing w:before="120"/>
            <w:jc w:val="both"/>
            <w:rPr>
              <w:rFonts w:ascii="Times New Roman" w:hAnsi="Times New Roman" w:cs="Times New Roman"/>
              <w:noProof/>
              <w:lang w:val="vi-VN"/>
            </w:rPr>
          </w:pPr>
          <w:r>
            <w:t>Nguyễn Anh Thu*, Vũ Thanh Hương, Vũ Văn Trung, Lê Thị Thanh Xuân</w:t>
          </w:r>
          <w:r w:rsidRPr="00BA0C47">
            <w:rPr>
              <w:rFonts w:ascii="Times New Roman" w:hAnsi="Times New Roman" w:cs="Times New Roman"/>
              <w:noProof/>
              <w:lang w:val="vi-VN"/>
            </w:rPr>
            <w:t xml:space="preserve"> (2015). Tác động của Cộng đồng Kinh tế ASEAN đến thương mại Việt Nam. </w:t>
          </w:r>
          <w:r w:rsidRPr="00BA0C47">
            <w:rPr>
              <w:rFonts w:ascii="Times New Roman" w:hAnsi="Times New Roman" w:cs="Times New Roman"/>
              <w:i/>
              <w:iCs/>
              <w:noProof/>
              <w:lang w:val="vi-VN"/>
            </w:rPr>
            <w:t>Tạp chí Khoa học ĐHQGHN: Kinh tế và Kinh doanh</w:t>
          </w:r>
          <w:r w:rsidRPr="00BA0C47">
            <w:rPr>
              <w:rFonts w:ascii="Times New Roman" w:hAnsi="Times New Roman" w:cs="Times New Roman"/>
              <w:noProof/>
              <w:lang w:val="vi-VN"/>
            </w:rPr>
            <w:t>, 31(4), 39</w:t>
          </w:r>
          <w:r>
            <w:rPr>
              <w:rFonts w:ascii="Times New Roman" w:hAnsi="Times New Roman" w:cs="Times New Roman"/>
              <w:noProof/>
              <w:lang w:val="vi-VN"/>
            </w:rPr>
            <w:t>-</w:t>
          </w:r>
          <w:r w:rsidRPr="00BA0C47">
            <w:rPr>
              <w:rFonts w:ascii="Times New Roman" w:hAnsi="Times New Roman" w:cs="Times New Roman"/>
              <w:noProof/>
              <w:lang w:val="vi-VN"/>
            </w:rPr>
            <w:t>50.</w:t>
          </w:r>
        </w:p>
        <w:sdt>
          <w:sdtPr>
            <w:rPr>
              <w:rFonts w:ascii="Times New Roman" w:hAnsi="Times New Roman" w:cs="Times New Roman"/>
              <w:sz w:val="28"/>
              <w:szCs w:val="28"/>
            </w:rPr>
            <w:id w:val="111145805"/>
            <w:bibliography/>
          </w:sdtPr>
          <w:sdtEndPr>
            <w:rPr>
              <w:sz w:val="24"/>
              <w:szCs w:val="24"/>
            </w:rPr>
          </w:sdtEndPr>
          <w:sdtContent>
            <w:p w14:paraId="7FD3497A" w14:textId="339E6F4A" w:rsidR="009D7921" w:rsidRPr="00BA0C47" w:rsidRDefault="00676C8A" w:rsidP="00602578">
              <w:pPr>
                <w:pStyle w:val="Bibliography"/>
                <w:spacing w:before="120"/>
                <w:jc w:val="both"/>
                <w:rPr>
                  <w:rFonts w:ascii="Times New Roman" w:hAnsi="Times New Roman" w:cs="Times New Roman"/>
                  <w:noProof/>
                  <w:kern w:val="0"/>
                  <w:lang w:val="vi-VN"/>
                  <w14:ligatures w14:val="none"/>
                </w:rPr>
              </w:pPr>
              <w:r w:rsidRPr="00BA0C47">
                <w:rPr>
                  <w:rFonts w:ascii="Times New Roman" w:hAnsi="Times New Roman" w:cs="Times New Roman"/>
                </w:rPr>
                <w:fldChar w:fldCharType="begin"/>
              </w:r>
              <w:r w:rsidRPr="00BA0C47">
                <w:rPr>
                  <w:rFonts w:ascii="Times New Roman" w:hAnsi="Times New Roman" w:cs="Times New Roman"/>
                </w:rPr>
                <w:instrText xml:space="preserve"> BIBLIOGRAPHY </w:instrText>
              </w:r>
              <w:r w:rsidRPr="00BA0C47">
                <w:rPr>
                  <w:rFonts w:ascii="Times New Roman" w:hAnsi="Times New Roman" w:cs="Times New Roman"/>
                </w:rPr>
                <w:fldChar w:fldCharType="separate"/>
              </w:r>
              <w:r w:rsidR="009D7921" w:rsidRPr="00BA0C47">
                <w:rPr>
                  <w:rFonts w:ascii="Times New Roman" w:hAnsi="Times New Roman" w:cs="Times New Roman"/>
                  <w:noProof/>
                  <w:lang w:val="vi-VN"/>
                </w:rPr>
                <w:t xml:space="preserve">Anderson, J. E. (1979). A theortical foundation for gravity equation. </w:t>
              </w:r>
              <w:r w:rsidR="009D7921" w:rsidRPr="00BA0C47">
                <w:rPr>
                  <w:rFonts w:ascii="Times New Roman" w:hAnsi="Times New Roman" w:cs="Times New Roman"/>
                  <w:i/>
                  <w:iCs/>
                  <w:noProof/>
                  <w:lang w:val="vi-VN"/>
                </w:rPr>
                <w:t>American Economic Review</w:t>
              </w:r>
              <w:r w:rsidR="009D7921" w:rsidRPr="00BA0C47">
                <w:rPr>
                  <w:rFonts w:ascii="Times New Roman" w:hAnsi="Times New Roman" w:cs="Times New Roman"/>
                  <w:noProof/>
                  <w:lang w:val="vi-VN"/>
                </w:rPr>
                <w:t>, 106</w:t>
              </w:r>
              <w:r w:rsidR="00771F8E">
                <w:rPr>
                  <w:rFonts w:ascii="Times New Roman" w:hAnsi="Times New Roman" w:cs="Times New Roman"/>
                  <w:noProof/>
                  <w:lang w:val="vi-VN"/>
                </w:rPr>
                <w:t>-</w:t>
              </w:r>
              <w:r w:rsidR="009D7921" w:rsidRPr="00BA0C47">
                <w:rPr>
                  <w:rFonts w:ascii="Times New Roman" w:hAnsi="Times New Roman" w:cs="Times New Roman"/>
                  <w:noProof/>
                  <w:lang w:val="vi-VN"/>
                </w:rPr>
                <w:t>116.</w:t>
              </w:r>
            </w:p>
            <w:p w14:paraId="564C4C5C" w14:textId="20CE6A6B" w:rsidR="001A47DF" w:rsidRPr="002911D0" w:rsidRDefault="009D7921" w:rsidP="00602578">
              <w:pPr>
                <w:rPr>
                  <w:lang w:val="vi-VN"/>
                </w:rPr>
              </w:pPr>
              <w:r w:rsidRPr="002911D0">
                <w:rPr>
                  <w:rFonts w:ascii="Times New Roman" w:hAnsi="Times New Roman" w:cs="Times New Roman"/>
                  <w:noProof/>
                  <w:lang w:val="vi-VN"/>
                </w:rPr>
                <w:t>Asian Development Bank. (</w:t>
              </w:r>
              <w:r w:rsidR="00C22494" w:rsidRPr="002911D0">
                <w:rPr>
                  <w:rFonts w:ascii="Times New Roman" w:hAnsi="Times New Roman" w:cs="Times New Roman"/>
                  <w:noProof/>
                  <w:lang w:val="vi-VN"/>
                </w:rPr>
                <w:t>2002</w:t>
              </w:r>
              <w:r w:rsidRPr="002911D0">
                <w:rPr>
                  <w:rFonts w:ascii="Times New Roman" w:hAnsi="Times New Roman" w:cs="Times New Roman"/>
                  <w:noProof/>
                  <w:lang w:val="vi-VN"/>
                </w:rPr>
                <w:t xml:space="preserve">). </w:t>
              </w:r>
              <w:r w:rsidRPr="002911D0">
                <w:rPr>
                  <w:rFonts w:ascii="Times New Roman" w:hAnsi="Times New Roman" w:cs="Times New Roman"/>
                  <w:i/>
                  <w:iCs/>
                  <w:noProof/>
                  <w:lang w:val="vi-VN"/>
                </w:rPr>
                <w:t>Asian regionalism and its effects on trade in the 1980s and 1990s.</w:t>
              </w:r>
              <w:r w:rsidRPr="002911D0">
                <w:rPr>
                  <w:rFonts w:ascii="Times New Roman" w:hAnsi="Times New Roman" w:cs="Times New Roman"/>
                  <w:noProof/>
                  <w:lang w:val="vi-VN"/>
                </w:rPr>
                <w:t xml:space="preserve"> </w:t>
              </w:r>
            </w:p>
            <w:p w14:paraId="6BC0965F" w14:textId="77777777" w:rsidR="009D7921" w:rsidRPr="002911D0" w:rsidRDefault="009D7921" w:rsidP="00602578">
              <w:pPr>
                <w:pStyle w:val="Bibliography"/>
                <w:spacing w:before="120"/>
                <w:jc w:val="both"/>
                <w:rPr>
                  <w:rFonts w:ascii="Times New Roman" w:hAnsi="Times New Roman" w:cs="Times New Roman"/>
                  <w:noProof/>
                  <w:lang w:val="vi-VN"/>
                </w:rPr>
              </w:pPr>
              <w:r w:rsidRPr="002911D0">
                <w:rPr>
                  <w:rFonts w:ascii="Times New Roman" w:hAnsi="Times New Roman" w:cs="Times New Roman"/>
                  <w:noProof/>
                  <w:lang w:val="vi-VN"/>
                </w:rPr>
                <w:t xml:space="preserve">Balassa, B. (1961). </w:t>
              </w:r>
              <w:r w:rsidRPr="002911D0">
                <w:rPr>
                  <w:rFonts w:ascii="Times New Roman" w:hAnsi="Times New Roman" w:cs="Times New Roman"/>
                  <w:i/>
                  <w:iCs/>
                  <w:noProof/>
                  <w:lang w:val="vi-VN"/>
                </w:rPr>
                <w:t>The theory of economic integration.</w:t>
              </w:r>
              <w:r w:rsidRPr="002911D0">
                <w:rPr>
                  <w:rFonts w:ascii="Times New Roman" w:hAnsi="Times New Roman" w:cs="Times New Roman"/>
                  <w:noProof/>
                  <w:lang w:val="vi-VN"/>
                </w:rPr>
                <w:t xml:space="preserve"> Richard D. Irwin.</w:t>
              </w:r>
            </w:p>
            <w:p w14:paraId="5655AD4D" w14:textId="29D55008" w:rsidR="009D7921" w:rsidRPr="00BA0C47" w:rsidRDefault="009D7921" w:rsidP="00771F8E">
              <w:pPr>
                <w:pStyle w:val="Bibliography"/>
                <w:spacing w:before="120"/>
                <w:ind w:left="720" w:hanging="720"/>
                <w:jc w:val="both"/>
                <w:rPr>
                  <w:rFonts w:ascii="Times New Roman" w:hAnsi="Times New Roman" w:cs="Times New Roman"/>
                  <w:noProof/>
                  <w:lang w:val="vi-VN"/>
                </w:rPr>
              </w:pPr>
              <w:r w:rsidRPr="002911D0">
                <w:rPr>
                  <w:rFonts w:ascii="Times New Roman" w:hAnsi="Times New Roman" w:cs="Times New Roman"/>
                  <w:noProof/>
                  <w:lang w:val="vi-VN"/>
                </w:rPr>
                <w:t>Baldwin, R. (</w:t>
              </w:r>
              <w:r w:rsidR="00C22494" w:rsidRPr="002911D0">
                <w:rPr>
                  <w:rFonts w:ascii="Times New Roman" w:hAnsi="Times New Roman" w:cs="Times New Roman"/>
                  <w:noProof/>
                  <w:lang w:val="vi-VN"/>
                </w:rPr>
                <w:t>1993</w:t>
              </w:r>
              <w:r w:rsidRPr="002911D0">
                <w:rPr>
                  <w:rFonts w:ascii="Times New Roman" w:hAnsi="Times New Roman" w:cs="Times New Roman"/>
                  <w:noProof/>
                  <w:lang w:val="vi-VN"/>
                </w:rPr>
                <w:t xml:space="preserve">). </w:t>
              </w:r>
              <w:r w:rsidRPr="002911D0">
                <w:rPr>
                  <w:rFonts w:ascii="Times New Roman" w:hAnsi="Times New Roman" w:cs="Times New Roman"/>
                  <w:i/>
                  <w:iCs/>
                  <w:noProof/>
                  <w:lang w:val="vi-VN"/>
                </w:rPr>
                <w:t>A</w:t>
              </w:r>
              <w:r w:rsidRPr="00BA0C47">
                <w:rPr>
                  <w:rFonts w:ascii="Times New Roman" w:hAnsi="Times New Roman" w:cs="Times New Roman"/>
                  <w:i/>
                  <w:iCs/>
                  <w:noProof/>
                  <w:lang w:val="vi-VN"/>
                </w:rPr>
                <w:t xml:space="preserve"> domino theory of regionalism.</w:t>
              </w:r>
              <w:r w:rsidRPr="00BA0C47">
                <w:rPr>
                  <w:rFonts w:ascii="Times New Roman" w:hAnsi="Times New Roman" w:cs="Times New Roman"/>
                  <w:noProof/>
                  <w:lang w:val="vi-VN"/>
                </w:rPr>
                <w:t xml:space="preserve"> NBER Working Paper No. 4465.</w:t>
              </w:r>
            </w:p>
            <w:p w14:paraId="2FE6474E" w14:textId="079AD3F4"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Bergstrand, J. H. (1985). The gravity equation in international trade: Some microeconomic</w:t>
              </w:r>
              <w:r w:rsidR="001A47DF">
                <w:rPr>
                  <w:rFonts w:ascii="Times New Roman" w:hAnsi="Times New Roman" w:cs="Times New Roman"/>
                  <w:noProof/>
                  <w:lang w:val="vi-VN"/>
                </w:rPr>
                <w:t xml:space="preserve"> </w:t>
              </w:r>
              <w:r w:rsidRPr="00BA0C47">
                <w:rPr>
                  <w:rFonts w:ascii="Times New Roman" w:hAnsi="Times New Roman" w:cs="Times New Roman"/>
                  <w:noProof/>
                  <w:lang w:val="vi-VN"/>
                </w:rPr>
                <w:t xml:space="preserve">foundations and empirical evidence.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67(3), 474</w:t>
              </w:r>
              <w:r w:rsidR="00771F8E">
                <w:rPr>
                  <w:rFonts w:ascii="Times New Roman" w:hAnsi="Times New Roman" w:cs="Times New Roman"/>
                  <w:noProof/>
                  <w:lang w:val="vi-VN"/>
                </w:rPr>
                <w:t>-</w:t>
              </w:r>
              <w:r w:rsidRPr="00BA0C47">
                <w:rPr>
                  <w:rFonts w:ascii="Times New Roman" w:hAnsi="Times New Roman" w:cs="Times New Roman"/>
                  <w:noProof/>
                  <w:lang w:val="vi-VN"/>
                </w:rPr>
                <w:t>481.</w:t>
              </w:r>
            </w:p>
            <w:p w14:paraId="304A3721" w14:textId="59C1EB44"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Bergstrand, J. H. (1989). The generalized gravity equation, monopolistic competition and the factor-propositions in international trade.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71(1), 143</w:t>
              </w:r>
              <w:r w:rsidR="00771F8E">
                <w:rPr>
                  <w:rFonts w:ascii="Times New Roman" w:hAnsi="Times New Roman" w:cs="Times New Roman"/>
                  <w:noProof/>
                  <w:lang w:val="vi-VN"/>
                </w:rPr>
                <w:t>-</w:t>
              </w:r>
              <w:r w:rsidRPr="00BA0C47">
                <w:rPr>
                  <w:rFonts w:ascii="Times New Roman" w:hAnsi="Times New Roman" w:cs="Times New Roman"/>
                  <w:noProof/>
                  <w:lang w:val="vi-VN"/>
                </w:rPr>
                <w:t>153.</w:t>
              </w:r>
            </w:p>
            <w:p w14:paraId="01859E35" w14:textId="77777777" w:rsidR="001A47DF" w:rsidRPr="00BA0C47" w:rsidRDefault="001A47DF" w:rsidP="00602578">
              <w:pPr>
                <w:pStyle w:val="Bibliography"/>
                <w:spacing w:before="120"/>
                <w:jc w:val="both"/>
                <w:rPr>
                  <w:rFonts w:ascii="Times New Roman" w:hAnsi="Times New Roman" w:cs="Times New Roman"/>
                  <w:noProof/>
                  <w:lang w:val="vi-VN"/>
                </w:rPr>
              </w:pPr>
              <w:r w:rsidRPr="00602578">
                <w:rPr>
                  <w:rFonts w:ascii="Times New Roman" w:hAnsi="Times New Roman" w:cs="Times New Roman"/>
                  <w:noProof/>
                  <w:color w:val="000000" w:themeColor="text1"/>
                  <w:lang w:val="vi-VN"/>
                </w:rPr>
                <w:lastRenderedPageBreak/>
                <w:t xml:space="preserve">Bergstrand, J. H., Larch, M., &amp; Yotov, Y. V. (2015). Economic integration agreements, border effects, and distance elasticities in the gravity equation. </w:t>
              </w:r>
              <w:r w:rsidRPr="00602578">
                <w:rPr>
                  <w:rFonts w:ascii="Times New Roman" w:hAnsi="Times New Roman" w:cs="Times New Roman"/>
                  <w:i/>
                  <w:iCs/>
                  <w:noProof/>
                  <w:color w:val="000000" w:themeColor="text1"/>
                  <w:lang w:val="vi-VN"/>
                </w:rPr>
                <w:t>European Economic Review</w:t>
              </w:r>
              <w:r w:rsidRPr="00602578">
                <w:rPr>
                  <w:rFonts w:ascii="Times New Roman" w:hAnsi="Times New Roman" w:cs="Times New Roman"/>
                  <w:noProof/>
                  <w:color w:val="000000" w:themeColor="text1"/>
                  <w:lang w:val="vi-VN"/>
                </w:rPr>
                <w:t>, 78, 307-</w:t>
              </w:r>
              <w:r w:rsidRPr="00BA0C47">
                <w:rPr>
                  <w:rFonts w:ascii="Times New Roman" w:hAnsi="Times New Roman" w:cs="Times New Roman"/>
                  <w:noProof/>
                  <w:lang w:val="vi-VN"/>
                </w:rPr>
                <w:t>327.</w:t>
              </w:r>
            </w:p>
            <w:p w14:paraId="06D74F0F" w14:textId="77777777" w:rsidR="001A47DF" w:rsidRPr="00602578" w:rsidRDefault="001A47DF" w:rsidP="00602578">
              <w:pPr>
                <w:rPr>
                  <w:lang w:val="vi-VN"/>
                </w:rPr>
              </w:pPr>
            </w:p>
            <w:p w14:paraId="2A9D7E4B" w14:textId="08B9FAE4" w:rsidR="00B11DDE" w:rsidRPr="001A47DF"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Bhagwati, J. &amp;. (1996). </w:t>
              </w:r>
              <w:r w:rsidRPr="00BA0C47">
                <w:rPr>
                  <w:rFonts w:ascii="Times New Roman" w:hAnsi="Times New Roman" w:cs="Times New Roman"/>
                  <w:i/>
                  <w:iCs/>
                  <w:noProof/>
                  <w:lang w:val="vi-VN"/>
                </w:rPr>
                <w:t>Preferential trading areas and multilateralism: Strangers, friends or foes? (Discussion paper).</w:t>
              </w:r>
              <w:r w:rsidRPr="00BA0C47">
                <w:rPr>
                  <w:rFonts w:ascii="Times New Roman" w:hAnsi="Times New Roman" w:cs="Times New Roman"/>
                  <w:noProof/>
                  <w:lang w:val="vi-VN"/>
                </w:rPr>
                <w:t xml:space="preserve"> AEI Press.</w:t>
              </w:r>
            </w:p>
            <w:p w14:paraId="525AC80D" w14:textId="77777777"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Black, J. &amp;. (2009). </w:t>
              </w:r>
              <w:r w:rsidRPr="00BA0C47">
                <w:rPr>
                  <w:rFonts w:ascii="Times New Roman" w:hAnsi="Times New Roman" w:cs="Times New Roman"/>
                  <w:i/>
                  <w:iCs/>
                  <w:noProof/>
                  <w:lang w:val="vi-VN"/>
                </w:rPr>
                <w:t>A dictionary of economics (3rd ed.).</w:t>
              </w:r>
              <w:r w:rsidRPr="00BA0C47">
                <w:rPr>
                  <w:rFonts w:ascii="Times New Roman" w:hAnsi="Times New Roman" w:cs="Times New Roman"/>
                  <w:noProof/>
                  <w:lang w:val="vi-VN"/>
                </w:rPr>
                <w:t xml:space="preserve"> Oxford University Press.</w:t>
              </w:r>
            </w:p>
            <w:p w14:paraId="48C693A0" w14:textId="5D6F1E19" w:rsidR="001A47DF" w:rsidRDefault="001A47DF"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Correia, S., Guimarães, P., &amp; Zylkin, T. (2020). Fast Poisson estimation with high-dimensional fixed effects. </w:t>
              </w:r>
              <w:r w:rsidRPr="00BA0C47">
                <w:rPr>
                  <w:rFonts w:ascii="Times New Roman" w:hAnsi="Times New Roman" w:cs="Times New Roman"/>
                  <w:i/>
                  <w:iCs/>
                  <w:noProof/>
                  <w:lang w:val="vi-VN"/>
                </w:rPr>
                <w:t>The Stata Journal</w:t>
              </w:r>
              <w:r w:rsidRPr="00BA0C47">
                <w:rPr>
                  <w:rFonts w:ascii="Times New Roman" w:hAnsi="Times New Roman" w:cs="Times New Roman"/>
                  <w:noProof/>
                  <w:lang w:val="vi-VN"/>
                </w:rPr>
                <w:t>, 20(1), 95</w:t>
              </w:r>
              <w:r>
                <w:rPr>
                  <w:rFonts w:ascii="Times New Roman" w:hAnsi="Times New Roman" w:cs="Times New Roman"/>
                  <w:noProof/>
                  <w:lang w:val="vi-VN"/>
                </w:rPr>
                <w:t>-</w:t>
              </w:r>
              <w:r w:rsidRPr="00BA0C47">
                <w:rPr>
                  <w:rFonts w:ascii="Times New Roman" w:hAnsi="Times New Roman" w:cs="Times New Roman"/>
                  <w:noProof/>
                  <w:lang w:val="vi-VN"/>
                </w:rPr>
                <w:t>115.</w:t>
              </w:r>
            </w:p>
            <w:p w14:paraId="7FB96C2B" w14:textId="69B7BC7A"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Deardorff, A. V. (1995). </w:t>
              </w:r>
              <w:r w:rsidRPr="00BA0C47">
                <w:rPr>
                  <w:rFonts w:ascii="Times New Roman" w:hAnsi="Times New Roman" w:cs="Times New Roman"/>
                  <w:i/>
                  <w:iCs/>
                  <w:noProof/>
                  <w:lang w:val="vi-VN"/>
                </w:rPr>
                <w:t>Determinants of bilateral trade: Does gravity work in a neoclassical world?</w:t>
              </w:r>
              <w:r w:rsidRPr="00BA0C47">
                <w:rPr>
                  <w:rFonts w:ascii="Times New Roman" w:hAnsi="Times New Roman" w:cs="Times New Roman"/>
                  <w:noProof/>
                  <w:lang w:val="vi-VN"/>
                </w:rPr>
                <w:t xml:space="preserve"> NBER Working Paper No. 5377.</w:t>
              </w:r>
            </w:p>
            <w:p w14:paraId="2BB92006" w14:textId="77777777" w:rsidR="001A47DF" w:rsidRPr="00BA0C47" w:rsidRDefault="001A47DF"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De Benedictis, L., &amp; Salvatici, L. (Eds.). (2011). </w:t>
              </w:r>
              <w:r w:rsidRPr="00BA0C47">
                <w:rPr>
                  <w:rFonts w:ascii="Times New Roman" w:hAnsi="Times New Roman" w:cs="Times New Roman"/>
                  <w:i/>
                  <w:iCs/>
                  <w:noProof/>
                  <w:lang w:val="vi-VN"/>
                </w:rPr>
                <w:t>The trade impact of European Union preferential policies: An analysis through gravity model.</w:t>
              </w:r>
              <w:r w:rsidRPr="00BA0C47">
                <w:rPr>
                  <w:rFonts w:ascii="Times New Roman" w:hAnsi="Times New Roman" w:cs="Times New Roman"/>
                  <w:noProof/>
                  <w:lang w:val="vi-VN"/>
                </w:rPr>
                <w:t xml:space="preserve"> Springer.</w:t>
              </w:r>
            </w:p>
            <w:p w14:paraId="1F447EA1" w14:textId="4A03977B" w:rsidR="007916DC" w:rsidRPr="007916DC" w:rsidRDefault="007916DC" w:rsidP="00602578">
              <w:pPr>
                <w:pStyle w:val="Bibliography"/>
                <w:spacing w:before="120"/>
                <w:jc w:val="both"/>
                <w:rPr>
                  <w:rFonts w:ascii="Times New Roman" w:hAnsi="Times New Roman" w:cs="Times New Roman"/>
                  <w:noProof/>
                  <w:lang w:val="vi-VN"/>
                </w:rPr>
              </w:pPr>
              <w:r>
                <w:rPr>
                  <w:rFonts w:ascii="Times New Roman" w:hAnsi="Times New Roman" w:cs="Times New Roman"/>
                  <w:noProof/>
                  <w:lang w:val="vi-VN"/>
                </w:rPr>
                <w:t>D</w:t>
              </w:r>
              <w:r w:rsidRPr="00BA0C47">
                <w:rPr>
                  <w:rFonts w:ascii="Times New Roman" w:hAnsi="Times New Roman" w:cs="Times New Roman"/>
                  <w:noProof/>
                  <w:lang w:val="vi-VN"/>
                </w:rPr>
                <w:t>inh T</w:t>
              </w:r>
              <w:r>
                <w:rPr>
                  <w:rFonts w:ascii="Times New Roman" w:hAnsi="Times New Roman" w:cs="Times New Roman"/>
                  <w:noProof/>
                  <w:lang w:val="vi-VN"/>
                </w:rPr>
                <w:t>hi Thanh Binh,</w:t>
              </w:r>
              <w:r w:rsidRPr="00BA0C47">
                <w:rPr>
                  <w:rFonts w:ascii="Times New Roman" w:hAnsi="Times New Roman" w:cs="Times New Roman"/>
                  <w:noProof/>
                  <w:lang w:val="vi-VN"/>
                </w:rPr>
                <w:t xml:space="preserve"> Nguy</w:t>
              </w:r>
              <w:r>
                <w:rPr>
                  <w:rFonts w:ascii="Times New Roman" w:hAnsi="Times New Roman" w:cs="Times New Roman"/>
                  <w:noProof/>
                  <w:lang w:val="vi-VN"/>
                </w:rPr>
                <w:t>e</w:t>
              </w:r>
              <w:r w:rsidRPr="00BA0C47">
                <w:rPr>
                  <w:rFonts w:ascii="Times New Roman" w:hAnsi="Times New Roman" w:cs="Times New Roman"/>
                  <w:noProof/>
                  <w:lang w:val="vi-VN"/>
                </w:rPr>
                <w:t>n V</w:t>
              </w:r>
              <w:r>
                <w:rPr>
                  <w:rFonts w:ascii="Times New Roman" w:hAnsi="Times New Roman" w:cs="Times New Roman"/>
                  <w:noProof/>
                  <w:lang w:val="vi-VN"/>
                </w:rPr>
                <w:t>iet</w:t>
              </w:r>
              <w:r w:rsidRPr="00BA0C47">
                <w:rPr>
                  <w:rFonts w:ascii="Times New Roman" w:hAnsi="Times New Roman" w:cs="Times New Roman"/>
                  <w:noProof/>
                  <w:lang w:val="vi-VN"/>
                </w:rPr>
                <w:t xml:space="preserve"> D</w:t>
              </w:r>
              <w:r>
                <w:rPr>
                  <w:rFonts w:ascii="Times New Roman" w:hAnsi="Times New Roman" w:cs="Times New Roman"/>
                  <w:noProof/>
                  <w:lang w:val="vi-VN"/>
                </w:rPr>
                <w:t>uong</w:t>
              </w:r>
              <w:r w:rsidRPr="00BA0C47">
                <w:rPr>
                  <w:rFonts w:ascii="Times New Roman" w:hAnsi="Times New Roman" w:cs="Times New Roman"/>
                  <w:noProof/>
                  <w:lang w:val="vi-VN"/>
                </w:rPr>
                <w:t>, &amp; Ho</w:t>
              </w:r>
              <w:r>
                <w:rPr>
                  <w:rFonts w:ascii="Times New Roman" w:hAnsi="Times New Roman" w:cs="Times New Roman"/>
                  <w:noProof/>
                  <w:lang w:val="vi-VN"/>
                </w:rPr>
                <w:t>a</w:t>
              </w:r>
              <w:r w:rsidRPr="00BA0C47">
                <w:rPr>
                  <w:rFonts w:ascii="Times New Roman" w:hAnsi="Times New Roman" w:cs="Times New Roman"/>
                  <w:noProof/>
                  <w:lang w:val="vi-VN"/>
                </w:rPr>
                <w:t>ng M</w:t>
              </w:r>
              <w:r>
                <w:rPr>
                  <w:rFonts w:ascii="Times New Roman" w:hAnsi="Times New Roman" w:cs="Times New Roman"/>
                  <w:noProof/>
                  <w:lang w:val="vi-VN"/>
                </w:rPr>
                <w:t>anh</w:t>
              </w:r>
              <w:r w:rsidRPr="00BA0C47">
                <w:rPr>
                  <w:rFonts w:ascii="Times New Roman" w:hAnsi="Times New Roman" w:cs="Times New Roman"/>
                  <w:noProof/>
                  <w:lang w:val="vi-VN"/>
                </w:rPr>
                <w:t xml:space="preserve"> C</w:t>
              </w:r>
              <w:r>
                <w:rPr>
                  <w:rFonts w:ascii="Times New Roman" w:hAnsi="Times New Roman" w:cs="Times New Roman"/>
                  <w:noProof/>
                  <w:lang w:val="vi-VN"/>
                </w:rPr>
                <w:t>uong</w:t>
              </w:r>
              <w:r w:rsidRPr="00BA0C47">
                <w:rPr>
                  <w:rFonts w:ascii="Times New Roman" w:hAnsi="Times New Roman" w:cs="Times New Roman"/>
                  <w:noProof/>
                  <w:lang w:val="vi-VN"/>
                </w:rPr>
                <w:t xml:space="preserve"> (2011). </w:t>
              </w:r>
              <w:r w:rsidRPr="00BA0C47">
                <w:rPr>
                  <w:rFonts w:ascii="Times New Roman" w:hAnsi="Times New Roman" w:cs="Times New Roman"/>
                  <w:i/>
                  <w:iCs/>
                  <w:noProof/>
                  <w:lang w:val="vi-VN"/>
                </w:rPr>
                <w:t>Applying gravity model to analyze trade activities of Vietnam.</w:t>
              </w:r>
              <w:r w:rsidRPr="00BA0C47">
                <w:rPr>
                  <w:rFonts w:ascii="Times New Roman" w:hAnsi="Times New Roman" w:cs="Times New Roman"/>
                  <w:noProof/>
                  <w:lang w:val="vi-VN"/>
                </w:rPr>
                <w:t xml:space="preserve"> FREIT Working Paper.</w:t>
              </w:r>
            </w:p>
            <w:p w14:paraId="54D102B7" w14:textId="47B47542"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Egger, P. (2000). A note on the proper econometric specification of the gravity equation. </w:t>
              </w:r>
              <w:r w:rsidRPr="00BA0C47">
                <w:rPr>
                  <w:rFonts w:ascii="Times New Roman" w:hAnsi="Times New Roman" w:cs="Times New Roman"/>
                  <w:i/>
                  <w:iCs/>
                  <w:noProof/>
                  <w:lang w:val="vi-VN"/>
                </w:rPr>
                <w:t>Economics Letters</w:t>
              </w:r>
              <w:r w:rsidRPr="00BA0C47">
                <w:rPr>
                  <w:rFonts w:ascii="Times New Roman" w:hAnsi="Times New Roman" w:cs="Times New Roman"/>
                  <w:noProof/>
                  <w:lang w:val="vi-VN"/>
                </w:rPr>
                <w:t>, 66(1), 25</w:t>
              </w:r>
              <w:r w:rsidR="00771F8E">
                <w:rPr>
                  <w:rFonts w:ascii="Times New Roman" w:hAnsi="Times New Roman" w:cs="Times New Roman"/>
                  <w:noProof/>
                  <w:lang w:val="vi-VN"/>
                </w:rPr>
                <w:t>-</w:t>
              </w:r>
              <w:r w:rsidRPr="00BA0C47">
                <w:rPr>
                  <w:rFonts w:ascii="Times New Roman" w:hAnsi="Times New Roman" w:cs="Times New Roman"/>
                  <w:noProof/>
                  <w:lang w:val="vi-VN"/>
                </w:rPr>
                <w:t>31.</w:t>
              </w:r>
            </w:p>
            <w:p w14:paraId="56A207BF" w14:textId="77777777"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Fukase, E., &amp; Martin, W. (1999). </w:t>
              </w:r>
              <w:r w:rsidRPr="00BA0C47">
                <w:rPr>
                  <w:rFonts w:ascii="Times New Roman" w:hAnsi="Times New Roman" w:cs="Times New Roman"/>
                  <w:i/>
                  <w:iCs/>
                  <w:noProof/>
                  <w:lang w:val="vi-VN"/>
                </w:rPr>
                <w:t>A quantitative evaluation of Vietnam’s accession to the ASEAN Free Trade Area.</w:t>
              </w:r>
              <w:r w:rsidRPr="00BA0C47">
                <w:rPr>
                  <w:rFonts w:ascii="Times New Roman" w:hAnsi="Times New Roman" w:cs="Times New Roman"/>
                  <w:noProof/>
                  <w:lang w:val="vi-VN"/>
                </w:rPr>
                <w:t xml:space="preserve"> World Bank.</w:t>
              </w:r>
            </w:p>
            <w:p w14:paraId="7F9E69CE" w14:textId="10D85253"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Elliott, R. J. R., &amp; Ikemoto, K. (2004). AFTA and the Asian crisis: Help or hindrance to ASEAN intra-regional trade? </w:t>
              </w:r>
              <w:r w:rsidRPr="00BA0C47">
                <w:rPr>
                  <w:rFonts w:ascii="Times New Roman" w:hAnsi="Times New Roman" w:cs="Times New Roman"/>
                  <w:i/>
                  <w:iCs/>
                  <w:noProof/>
                  <w:lang w:val="vi-VN"/>
                </w:rPr>
                <w:t>Asian Economic Journal</w:t>
              </w:r>
              <w:r w:rsidRPr="00BA0C47">
                <w:rPr>
                  <w:rFonts w:ascii="Times New Roman" w:hAnsi="Times New Roman" w:cs="Times New Roman"/>
                  <w:noProof/>
                  <w:lang w:val="vi-VN"/>
                </w:rPr>
                <w:t>, 18(1), 1</w:t>
              </w:r>
              <w:r w:rsidR="00771F8E">
                <w:rPr>
                  <w:rFonts w:ascii="Times New Roman" w:hAnsi="Times New Roman" w:cs="Times New Roman"/>
                  <w:noProof/>
                  <w:lang w:val="vi-VN"/>
                </w:rPr>
                <w:t>-</w:t>
              </w:r>
              <w:r w:rsidRPr="00BA0C47">
                <w:rPr>
                  <w:rFonts w:ascii="Times New Roman" w:hAnsi="Times New Roman" w:cs="Times New Roman"/>
                  <w:noProof/>
                  <w:lang w:val="vi-VN"/>
                </w:rPr>
                <w:t>23.</w:t>
              </w:r>
            </w:p>
            <w:p w14:paraId="283A3456" w14:textId="6E587A03" w:rsidR="009D7921"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Hapsari, I. M., &amp; Mangunsong, C. (2006). </w:t>
              </w:r>
              <w:r w:rsidRPr="00BA0C47">
                <w:rPr>
                  <w:rFonts w:ascii="Times New Roman" w:hAnsi="Times New Roman" w:cs="Times New Roman"/>
                  <w:i/>
                  <w:iCs/>
                  <w:noProof/>
                  <w:lang w:val="vi-VN"/>
                </w:rPr>
                <w:t>Determinants of AFTA member’s trade flows and potential for trade diversion (ARTNeT Trade Working Paper No. 21).</w:t>
              </w:r>
              <w:r w:rsidRPr="00BA0C47">
                <w:rPr>
                  <w:rFonts w:ascii="Times New Roman" w:hAnsi="Times New Roman" w:cs="Times New Roman"/>
                  <w:noProof/>
                  <w:lang w:val="vi-VN"/>
                </w:rPr>
                <w:t xml:space="preserve"> United Nations ESCAP.</w:t>
              </w:r>
            </w:p>
            <w:p w14:paraId="474370F5" w14:textId="6C1620D1" w:rsidR="001A47DF" w:rsidRPr="00602578" w:rsidRDefault="001A47DF" w:rsidP="00602578">
              <w:pPr>
                <w:rPr>
                  <w:lang w:val="vi-VN"/>
                </w:rPr>
              </w:pPr>
              <w:r>
                <w:rPr>
                  <w:rFonts w:ascii="Times New Roman" w:hAnsi="Times New Roman" w:cs="Times New Roman"/>
                  <w:noProof/>
                  <w:lang w:val="vi-VN"/>
                </w:rPr>
                <w:t xml:space="preserve">Le Thi Anh Tuyet </w:t>
              </w:r>
              <w:r w:rsidRPr="00BA0C47">
                <w:rPr>
                  <w:rFonts w:ascii="Times New Roman" w:hAnsi="Times New Roman" w:cs="Times New Roman"/>
                  <w:noProof/>
                  <w:lang w:val="vi-VN"/>
                </w:rPr>
                <w:t xml:space="preserve">(2021). The impact of tariffs on Vietnam's trade in the Comprehensive and Progressive Agreement for Trans-Pacific Partnership (CPTPP). </w:t>
              </w:r>
              <w:r w:rsidRPr="00BA0C47">
                <w:rPr>
                  <w:rFonts w:ascii="Times New Roman" w:hAnsi="Times New Roman" w:cs="Times New Roman"/>
                  <w:i/>
                  <w:iCs/>
                  <w:noProof/>
                  <w:lang w:val="vi-VN"/>
                </w:rPr>
                <w:t>The Journal of Asian Finance,</w:t>
              </w:r>
            </w:p>
            <w:p w14:paraId="1F3DF7ED" w14:textId="1EE17FD6" w:rsidR="009D7921"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Ngo T</w:t>
              </w:r>
              <w:r w:rsidR="007916DC">
                <w:rPr>
                  <w:rFonts w:ascii="Times New Roman" w:hAnsi="Times New Roman" w:cs="Times New Roman"/>
                  <w:noProof/>
                  <w:lang w:val="vi-VN"/>
                </w:rPr>
                <w:t>hi</w:t>
              </w:r>
              <w:r w:rsidRPr="00BA0C47">
                <w:rPr>
                  <w:rFonts w:ascii="Times New Roman" w:hAnsi="Times New Roman" w:cs="Times New Roman"/>
                  <w:noProof/>
                  <w:lang w:val="vi-VN"/>
                </w:rPr>
                <w:t xml:space="preserve"> M</w:t>
              </w:r>
              <w:r w:rsidR="007916DC">
                <w:rPr>
                  <w:rFonts w:ascii="Times New Roman" w:hAnsi="Times New Roman" w:cs="Times New Roman"/>
                  <w:noProof/>
                  <w:lang w:val="vi-VN"/>
                </w:rPr>
                <w:t>y</w:t>
              </w:r>
              <w:r w:rsidRPr="00BA0C47">
                <w:rPr>
                  <w:rFonts w:ascii="Times New Roman" w:hAnsi="Times New Roman" w:cs="Times New Roman"/>
                  <w:noProof/>
                  <w:lang w:val="vi-VN"/>
                </w:rPr>
                <w:t>, &amp; Nguyen T</w:t>
              </w:r>
              <w:r w:rsidR="007916DC">
                <w:rPr>
                  <w:rFonts w:ascii="Times New Roman" w:hAnsi="Times New Roman" w:cs="Times New Roman"/>
                  <w:noProof/>
                  <w:lang w:val="vi-VN"/>
                </w:rPr>
                <w:t>hi</w:t>
              </w:r>
              <w:r w:rsidRPr="00BA0C47">
                <w:rPr>
                  <w:rFonts w:ascii="Times New Roman" w:hAnsi="Times New Roman" w:cs="Times New Roman"/>
                  <w:noProof/>
                  <w:lang w:val="vi-VN"/>
                </w:rPr>
                <w:t xml:space="preserve"> T</w:t>
              </w:r>
              <w:r w:rsidR="007916DC">
                <w:rPr>
                  <w:rFonts w:ascii="Times New Roman" w:hAnsi="Times New Roman" w:cs="Times New Roman"/>
                  <w:noProof/>
                  <w:lang w:val="vi-VN"/>
                </w:rPr>
                <w:t>hu</w:t>
              </w:r>
              <w:r w:rsidRPr="00BA0C47">
                <w:rPr>
                  <w:rFonts w:ascii="Times New Roman" w:hAnsi="Times New Roman" w:cs="Times New Roman"/>
                  <w:noProof/>
                  <w:lang w:val="vi-VN"/>
                </w:rPr>
                <w:t xml:space="preserve"> T</w:t>
              </w:r>
              <w:r w:rsidR="007916DC">
                <w:rPr>
                  <w:rFonts w:ascii="Times New Roman" w:hAnsi="Times New Roman" w:cs="Times New Roman"/>
                  <w:noProof/>
                  <w:lang w:val="vi-VN"/>
                </w:rPr>
                <w:t>huong</w:t>
              </w:r>
              <w:r w:rsidRPr="00BA0C47">
                <w:rPr>
                  <w:rFonts w:ascii="Times New Roman" w:hAnsi="Times New Roman" w:cs="Times New Roman"/>
                  <w:noProof/>
                  <w:lang w:val="vi-VN"/>
                </w:rPr>
                <w:t xml:space="preserve"> (2021). Factors affecting Vietnam's goods exports to the comprehensive and progressive agreement for Trans-Pacific partnership members: A gravity model approach. </w:t>
              </w:r>
              <w:r w:rsidRPr="00BA0C47">
                <w:rPr>
                  <w:rFonts w:ascii="Times New Roman" w:hAnsi="Times New Roman" w:cs="Times New Roman"/>
                  <w:i/>
                  <w:iCs/>
                  <w:noProof/>
                  <w:lang w:val="vi-VN"/>
                </w:rPr>
                <w:t>International Journal on Food System Dynamics</w:t>
              </w:r>
              <w:r w:rsidRPr="00BA0C47">
                <w:rPr>
                  <w:rFonts w:ascii="Times New Roman" w:hAnsi="Times New Roman" w:cs="Times New Roman"/>
                  <w:noProof/>
                  <w:lang w:val="vi-VN"/>
                </w:rPr>
                <w:t>, 16(1), 97</w:t>
              </w:r>
              <w:r w:rsidR="00771F8E">
                <w:rPr>
                  <w:rFonts w:ascii="Times New Roman" w:hAnsi="Times New Roman" w:cs="Times New Roman"/>
                  <w:noProof/>
                  <w:lang w:val="vi-VN"/>
                </w:rPr>
                <w:t>-</w:t>
              </w:r>
              <w:r w:rsidRPr="00BA0C47">
                <w:rPr>
                  <w:rFonts w:ascii="Times New Roman" w:hAnsi="Times New Roman" w:cs="Times New Roman"/>
                  <w:noProof/>
                  <w:lang w:val="vi-VN"/>
                </w:rPr>
                <w:t>106.</w:t>
              </w:r>
            </w:p>
            <w:p w14:paraId="3862371C" w14:textId="6B4B1076" w:rsidR="001A47DF" w:rsidRPr="001A47DF" w:rsidRDefault="001A47DF"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Nguyen T</w:t>
              </w:r>
              <w:r>
                <w:rPr>
                  <w:rFonts w:ascii="Times New Roman" w:hAnsi="Times New Roman" w:cs="Times New Roman"/>
                  <w:noProof/>
                  <w:lang w:val="vi-VN"/>
                </w:rPr>
                <w:t>rung</w:t>
              </w:r>
              <w:r w:rsidRPr="00BA0C47">
                <w:rPr>
                  <w:rFonts w:ascii="Times New Roman" w:hAnsi="Times New Roman" w:cs="Times New Roman"/>
                  <w:noProof/>
                  <w:lang w:val="vi-VN"/>
                </w:rPr>
                <w:t xml:space="preserve"> K</w:t>
              </w:r>
              <w:r>
                <w:rPr>
                  <w:rFonts w:ascii="Times New Roman" w:hAnsi="Times New Roman" w:cs="Times New Roman"/>
                  <w:noProof/>
                  <w:lang w:val="vi-VN"/>
                </w:rPr>
                <w:t>ien</w:t>
              </w:r>
              <w:r w:rsidRPr="00BA0C47">
                <w:rPr>
                  <w:rFonts w:ascii="Times New Roman" w:hAnsi="Times New Roman" w:cs="Times New Roman"/>
                  <w:noProof/>
                  <w:lang w:val="vi-VN"/>
                </w:rPr>
                <w:t xml:space="preserve"> (2009). Gravity model by panel data approach: An empirical application with implications for the ASEAN Free Trade Area. </w:t>
              </w:r>
              <w:r w:rsidRPr="00BA0C47">
                <w:rPr>
                  <w:rFonts w:ascii="Times New Roman" w:hAnsi="Times New Roman" w:cs="Times New Roman"/>
                  <w:i/>
                  <w:iCs/>
                  <w:noProof/>
                  <w:lang w:val="vi-VN"/>
                </w:rPr>
                <w:t>ASEAN Economic Bulletin</w:t>
              </w:r>
              <w:r w:rsidRPr="00BA0C47">
                <w:rPr>
                  <w:rFonts w:ascii="Times New Roman" w:hAnsi="Times New Roman" w:cs="Times New Roman"/>
                  <w:noProof/>
                  <w:lang w:val="vi-VN"/>
                </w:rPr>
                <w:t>, 266</w:t>
              </w:r>
              <w:r>
                <w:rPr>
                  <w:rFonts w:ascii="Times New Roman" w:hAnsi="Times New Roman" w:cs="Times New Roman"/>
                  <w:noProof/>
                  <w:lang w:val="vi-VN"/>
                </w:rPr>
                <w:t>-</w:t>
              </w:r>
              <w:r w:rsidRPr="00BA0C47">
                <w:rPr>
                  <w:rFonts w:ascii="Times New Roman" w:hAnsi="Times New Roman" w:cs="Times New Roman"/>
                  <w:noProof/>
                  <w:lang w:val="vi-VN"/>
                </w:rPr>
                <w:t>277.</w:t>
              </w:r>
            </w:p>
            <w:p w14:paraId="275CF26D" w14:textId="39C36332"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Santos Silva, J. M. C., &amp; Tenreyro, S. (2006). The log of gravity. </w:t>
              </w:r>
              <w:r w:rsidRPr="00BA0C47">
                <w:rPr>
                  <w:rFonts w:ascii="Times New Roman" w:hAnsi="Times New Roman" w:cs="Times New Roman"/>
                  <w:i/>
                  <w:iCs/>
                  <w:noProof/>
                  <w:lang w:val="vi-VN"/>
                </w:rPr>
                <w:t>The Review of Economics and Statistics</w:t>
              </w:r>
              <w:r w:rsidRPr="00BA0C47">
                <w:rPr>
                  <w:rFonts w:ascii="Times New Roman" w:hAnsi="Times New Roman" w:cs="Times New Roman"/>
                  <w:noProof/>
                  <w:lang w:val="vi-VN"/>
                </w:rPr>
                <w:t>, 88(4), 641</w:t>
              </w:r>
              <w:r w:rsidR="00771F8E">
                <w:rPr>
                  <w:rFonts w:ascii="Times New Roman" w:hAnsi="Times New Roman" w:cs="Times New Roman"/>
                  <w:noProof/>
                  <w:lang w:val="vi-VN"/>
                </w:rPr>
                <w:t>-</w:t>
              </w:r>
              <w:r w:rsidRPr="00BA0C47">
                <w:rPr>
                  <w:rFonts w:ascii="Times New Roman" w:hAnsi="Times New Roman" w:cs="Times New Roman"/>
                  <w:noProof/>
                  <w:lang w:val="vi-VN"/>
                </w:rPr>
                <w:t>658.</w:t>
              </w:r>
            </w:p>
            <w:p w14:paraId="33CD0355" w14:textId="17C15766"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Thangavelu, S. M., Wang, W., &amp; Oum, S. (2021). Impact of FTA on trade in ASEAN and Australia using customs level data. </w:t>
              </w:r>
              <w:r w:rsidRPr="00BA0C47">
                <w:rPr>
                  <w:rFonts w:ascii="Times New Roman" w:hAnsi="Times New Roman" w:cs="Times New Roman"/>
                  <w:i/>
                  <w:iCs/>
                  <w:noProof/>
                  <w:lang w:val="vi-VN"/>
                </w:rPr>
                <w:t>The Journal of Economic Integration</w:t>
              </w:r>
              <w:r w:rsidRPr="00BA0C47">
                <w:rPr>
                  <w:rFonts w:ascii="Times New Roman" w:hAnsi="Times New Roman" w:cs="Times New Roman"/>
                  <w:noProof/>
                  <w:lang w:val="vi-VN"/>
                </w:rPr>
                <w:t>, 36(3), 437</w:t>
              </w:r>
              <w:r w:rsidR="00771F8E">
                <w:rPr>
                  <w:rFonts w:ascii="Times New Roman" w:hAnsi="Times New Roman" w:cs="Times New Roman"/>
                  <w:noProof/>
                  <w:lang w:val="vi-VN"/>
                </w:rPr>
                <w:t>-</w:t>
              </w:r>
              <w:r w:rsidRPr="00BA0C47">
                <w:rPr>
                  <w:rFonts w:ascii="Times New Roman" w:hAnsi="Times New Roman" w:cs="Times New Roman"/>
                  <w:noProof/>
                  <w:lang w:val="vi-VN"/>
                </w:rPr>
                <w:t>461.</w:t>
              </w:r>
            </w:p>
            <w:p w14:paraId="5B05B582" w14:textId="77777777"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Yotov, Y. V., Piermartini, R., Monteiro, J. A., &amp; Larch, M. (2016). </w:t>
              </w:r>
              <w:r w:rsidRPr="00BA0C47">
                <w:rPr>
                  <w:rFonts w:ascii="Times New Roman" w:hAnsi="Times New Roman" w:cs="Times New Roman"/>
                  <w:i/>
                  <w:iCs/>
                  <w:noProof/>
                  <w:lang w:val="vi-VN"/>
                </w:rPr>
                <w:t>An advanced guide to trade policy analysis: The structural gravity model.</w:t>
              </w:r>
              <w:r w:rsidRPr="00BA0C47">
                <w:rPr>
                  <w:rFonts w:ascii="Times New Roman" w:hAnsi="Times New Roman" w:cs="Times New Roman"/>
                  <w:noProof/>
                  <w:lang w:val="vi-VN"/>
                </w:rPr>
                <w:t xml:space="preserve"> World Trade Organization.</w:t>
              </w:r>
            </w:p>
            <w:p w14:paraId="05113012" w14:textId="6F429C8C"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lastRenderedPageBreak/>
                <w:t xml:space="preserve">Okabe, M., &amp; Urata, S. (2014). The impact of AFTA on intra-AFTA trade. </w:t>
              </w:r>
              <w:r w:rsidRPr="00BA0C47">
                <w:rPr>
                  <w:rFonts w:ascii="Times New Roman" w:hAnsi="Times New Roman" w:cs="Times New Roman"/>
                  <w:i/>
                  <w:iCs/>
                  <w:noProof/>
                  <w:lang w:val="vi-VN"/>
                </w:rPr>
                <w:t>Journal of Asian Economics</w:t>
              </w:r>
              <w:r w:rsidRPr="00BA0C47">
                <w:rPr>
                  <w:rFonts w:ascii="Times New Roman" w:hAnsi="Times New Roman" w:cs="Times New Roman"/>
                  <w:noProof/>
                  <w:lang w:val="vi-VN"/>
                </w:rPr>
                <w:t>, 35, 12</w:t>
              </w:r>
              <w:r w:rsidR="00771F8E">
                <w:rPr>
                  <w:rFonts w:ascii="Times New Roman" w:hAnsi="Times New Roman" w:cs="Times New Roman"/>
                  <w:noProof/>
                  <w:lang w:val="vi-VN"/>
                </w:rPr>
                <w:t>-</w:t>
              </w:r>
              <w:r w:rsidRPr="00BA0C47">
                <w:rPr>
                  <w:rFonts w:ascii="Times New Roman" w:hAnsi="Times New Roman" w:cs="Times New Roman"/>
                  <w:noProof/>
                  <w:lang w:val="vi-VN"/>
                </w:rPr>
                <w:t>31.</w:t>
              </w:r>
            </w:p>
            <w:p w14:paraId="01CC169F" w14:textId="670BCED1" w:rsidR="009D7921" w:rsidRPr="00BA0C47" w:rsidRDefault="009D7921"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Itakura, K. (2014). Impact of liberalization and improved connectivity and facilitation in ASEAN. </w:t>
              </w:r>
              <w:r w:rsidRPr="00BA0C47">
                <w:rPr>
                  <w:rFonts w:ascii="Times New Roman" w:hAnsi="Times New Roman" w:cs="Times New Roman"/>
                  <w:i/>
                  <w:iCs/>
                  <w:noProof/>
                  <w:lang w:val="vi-VN"/>
                </w:rPr>
                <w:t>Journal of Asian Economics</w:t>
              </w:r>
              <w:r w:rsidRPr="00BA0C47">
                <w:rPr>
                  <w:rFonts w:ascii="Times New Roman" w:hAnsi="Times New Roman" w:cs="Times New Roman"/>
                  <w:noProof/>
                  <w:lang w:val="vi-VN"/>
                </w:rPr>
                <w:t>, 35, 2</w:t>
              </w:r>
              <w:r w:rsidR="00771F8E">
                <w:rPr>
                  <w:rFonts w:ascii="Times New Roman" w:hAnsi="Times New Roman" w:cs="Times New Roman"/>
                  <w:noProof/>
                  <w:lang w:val="vi-VN"/>
                </w:rPr>
                <w:t>-</w:t>
              </w:r>
              <w:r w:rsidRPr="00BA0C47">
                <w:rPr>
                  <w:rFonts w:ascii="Times New Roman" w:hAnsi="Times New Roman" w:cs="Times New Roman"/>
                  <w:noProof/>
                  <w:lang w:val="vi-VN"/>
                </w:rPr>
                <w:t>11.</w:t>
              </w:r>
            </w:p>
            <w:p w14:paraId="57167C5B" w14:textId="7740B64B" w:rsidR="001A47DF" w:rsidRDefault="009D7921" w:rsidP="001A47DF">
              <w:pPr>
                <w:pStyle w:val="Bibliography"/>
                <w:spacing w:before="120"/>
                <w:jc w:val="both"/>
                <w:rPr>
                  <w:rFonts w:ascii="Times New Roman" w:hAnsi="Times New Roman" w:cs="Times New Roman"/>
                  <w:noProof/>
                  <w:lang w:val="vi-VN"/>
                </w:rPr>
              </w:pPr>
              <w:r w:rsidRPr="00BA0C47">
                <w:rPr>
                  <w:rFonts w:ascii="Times New Roman" w:hAnsi="Times New Roman" w:cs="Times New Roman"/>
                  <w:noProof/>
                  <w:lang w:val="vi-VN"/>
                </w:rPr>
                <w:t xml:space="preserve">Soloaga, I., &amp; Winters, L. A. (2001). Regionalism in the nineties: What effect on trade? </w:t>
              </w:r>
              <w:r w:rsidRPr="00BA0C47">
                <w:rPr>
                  <w:rFonts w:ascii="Times New Roman" w:hAnsi="Times New Roman" w:cs="Times New Roman"/>
                  <w:i/>
                  <w:iCs/>
                  <w:noProof/>
                  <w:lang w:val="vi-VN"/>
                </w:rPr>
                <w:t>The North American Journal of Economics and Finance</w:t>
              </w:r>
              <w:r w:rsidRPr="00BA0C47">
                <w:rPr>
                  <w:rFonts w:ascii="Times New Roman" w:hAnsi="Times New Roman" w:cs="Times New Roman"/>
                  <w:noProof/>
                  <w:lang w:val="vi-VN"/>
                </w:rPr>
                <w:t>, 12(1), 1</w:t>
              </w:r>
              <w:r w:rsidR="00771F8E">
                <w:rPr>
                  <w:rFonts w:ascii="Times New Roman" w:hAnsi="Times New Roman" w:cs="Times New Roman"/>
                  <w:noProof/>
                  <w:lang w:val="vi-VN"/>
                </w:rPr>
                <w:t>-</w:t>
              </w:r>
              <w:r w:rsidRPr="00BA0C47">
                <w:rPr>
                  <w:rFonts w:ascii="Times New Roman" w:hAnsi="Times New Roman" w:cs="Times New Roman"/>
                  <w:noProof/>
                  <w:lang w:val="vi-VN"/>
                </w:rPr>
                <w:t>29.</w:t>
              </w:r>
            </w:p>
            <w:p w14:paraId="0255D0DC" w14:textId="2F6984BE" w:rsidR="00B11DDE" w:rsidRPr="00B11DDE" w:rsidRDefault="00B11DDE" w:rsidP="00602578">
              <w:pPr>
                <w:pStyle w:val="Bibliography"/>
                <w:spacing w:before="120"/>
                <w:jc w:val="both"/>
                <w:rPr>
                  <w:rFonts w:ascii="Times New Roman" w:hAnsi="Times New Roman" w:cs="Times New Roman"/>
                  <w:noProof/>
                  <w:lang w:val="vi-VN"/>
                </w:rPr>
              </w:pPr>
              <w:r w:rsidRPr="00BA0C47">
                <w:rPr>
                  <w:rFonts w:ascii="Times New Roman" w:hAnsi="Times New Roman" w:cs="Times New Roman"/>
                  <w:i/>
                  <w:iCs/>
                  <w:noProof/>
                  <w:lang w:val="vi-VN"/>
                </w:rPr>
                <w:t>Economics and Business</w:t>
              </w:r>
              <w:r w:rsidRPr="00BA0C47">
                <w:rPr>
                  <w:rFonts w:ascii="Times New Roman" w:hAnsi="Times New Roman" w:cs="Times New Roman"/>
                  <w:noProof/>
                  <w:lang w:val="vi-VN"/>
                </w:rPr>
                <w:t>, 8(3), 771</w:t>
              </w:r>
              <w:r>
                <w:rPr>
                  <w:rFonts w:ascii="Times New Roman" w:hAnsi="Times New Roman" w:cs="Times New Roman"/>
                  <w:noProof/>
                  <w:lang w:val="vi-VN"/>
                </w:rPr>
                <w:t>-</w:t>
              </w:r>
              <w:r w:rsidRPr="00BA0C47">
                <w:rPr>
                  <w:rFonts w:ascii="Times New Roman" w:hAnsi="Times New Roman" w:cs="Times New Roman"/>
                  <w:noProof/>
                  <w:lang w:val="vi-VN"/>
                </w:rPr>
                <w:t>780.</w:t>
              </w:r>
            </w:p>
            <w:p w14:paraId="4CAEF142" w14:textId="38516E53" w:rsidR="009D7921" w:rsidRPr="00BA0C47" w:rsidRDefault="009D7921" w:rsidP="00771F8E">
              <w:pPr>
                <w:pStyle w:val="Bibliography"/>
                <w:spacing w:before="120"/>
                <w:ind w:left="720" w:hanging="720"/>
                <w:jc w:val="both"/>
                <w:rPr>
                  <w:rFonts w:ascii="Times New Roman" w:hAnsi="Times New Roman" w:cs="Times New Roman"/>
                  <w:noProof/>
                  <w:lang w:val="vi-VN"/>
                </w:rPr>
              </w:pPr>
              <w:r w:rsidRPr="00BA0C47">
                <w:rPr>
                  <w:rFonts w:ascii="Times New Roman" w:hAnsi="Times New Roman" w:cs="Times New Roman"/>
                  <w:noProof/>
                  <w:lang w:val="vi-VN"/>
                </w:rPr>
                <w:t xml:space="preserve">Viner, J. (1950). </w:t>
              </w:r>
              <w:r w:rsidRPr="00BA0C47">
                <w:rPr>
                  <w:rFonts w:ascii="Times New Roman" w:hAnsi="Times New Roman" w:cs="Times New Roman"/>
                  <w:i/>
                  <w:iCs/>
                  <w:noProof/>
                  <w:lang w:val="vi-VN"/>
                </w:rPr>
                <w:t>The customs union issue.</w:t>
              </w:r>
              <w:r w:rsidRPr="00BA0C47">
                <w:rPr>
                  <w:rFonts w:ascii="Times New Roman" w:hAnsi="Times New Roman" w:cs="Times New Roman"/>
                  <w:noProof/>
                  <w:lang w:val="vi-VN"/>
                </w:rPr>
                <w:t xml:space="preserve"> Carnegie Endowment for International Peace.</w:t>
              </w:r>
            </w:p>
            <w:p w14:paraId="3A4E65CE" w14:textId="604BD075" w:rsidR="00676C8A" w:rsidRPr="00B5714C" w:rsidRDefault="00676C8A" w:rsidP="00771F8E">
              <w:pPr>
                <w:spacing w:before="120"/>
                <w:jc w:val="both"/>
                <w:rPr>
                  <w:rFonts w:ascii="Times New Roman" w:hAnsi="Times New Roman" w:cs="Times New Roman"/>
                  <w:lang w:val="vi-VN"/>
                </w:rPr>
              </w:pPr>
              <w:r w:rsidRPr="00BA0C47">
                <w:rPr>
                  <w:rFonts w:ascii="Times New Roman" w:hAnsi="Times New Roman" w:cs="Times New Roman"/>
                  <w:b/>
                  <w:bCs/>
                  <w:noProof/>
                </w:rPr>
                <w:fldChar w:fldCharType="end"/>
              </w:r>
            </w:p>
          </w:sdtContent>
        </w:sdt>
      </w:sdtContent>
    </w:sdt>
    <w:p w14:paraId="7A588FC1" w14:textId="77777777" w:rsidR="0091352A" w:rsidRPr="0091352A" w:rsidRDefault="0091352A" w:rsidP="0091352A">
      <w:pPr>
        <w:spacing w:before="120"/>
        <w:jc w:val="both"/>
        <w:rPr>
          <w:rFonts w:ascii="Times New Roman" w:hAnsi="Times New Roman" w:cs="Times New Roman"/>
          <w:sz w:val="28"/>
          <w:szCs w:val="28"/>
          <w:lang w:val="vi-VN"/>
        </w:rPr>
      </w:pPr>
      <w:r w:rsidRPr="0091352A">
        <w:rPr>
          <w:rFonts w:ascii="Times New Roman" w:hAnsi="Times New Roman" w:cs="Times New Roman"/>
          <w:sz w:val="28"/>
          <w:szCs w:val="28"/>
          <w:lang w:val="vi-VN"/>
        </w:rPr>
        <w:t>Ngày nhận bài: 12/02/2026</w:t>
      </w:r>
    </w:p>
    <w:p w14:paraId="328FCFBB" w14:textId="77777777" w:rsidR="0091352A" w:rsidRPr="0091352A" w:rsidRDefault="0091352A" w:rsidP="0091352A">
      <w:pPr>
        <w:spacing w:before="120"/>
        <w:jc w:val="both"/>
        <w:rPr>
          <w:rFonts w:ascii="Times New Roman" w:hAnsi="Times New Roman" w:cs="Times New Roman"/>
          <w:sz w:val="28"/>
          <w:szCs w:val="28"/>
          <w:lang w:val="vi-VN"/>
        </w:rPr>
      </w:pPr>
      <w:r w:rsidRPr="0091352A">
        <w:rPr>
          <w:rFonts w:ascii="Times New Roman" w:hAnsi="Times New Roman" w:cs="Times New Roman"/>
          <w:sz w:val="28"/>
          <w:szCs w:val="28"/>
          <w:lang w:val="vi-VN"/>
        </w:rPr>
        <w:t>Ngày phản biện đánh giá và sửa chữa: 26/02/2026</w:t>
      </w:r>
    </w:p>
    <w:p w14:paraId="48B1B2B7" w14:textId="52211312" w:rsidR="001B267F" w:rsidRDefault="0091352A" w:rsidP="0091352A">
      <w:pPr>
        <w:spacing w:before="120"/>
        <w:jc w:val="both"/>
        <w:rPr>
          <w:rFonts w:ascii="Times New Roman" w:hAnsi="Times New Roman" w:cs="Times New Roman"/>
          <w:sz w:val="28"/>
          <w:szCs w:val="28"/>
        </w:rPr>
      </w:pPr>
      <w:r w:rsidRPr="0091352A">
        <w:rPr>
          <w:rFonts w:ascii="Times New Roman" w:hAnsi="Times New Roman" w:cs="Times New Roman"/>
          <w:sz w:val="28"/>
          <w:szCs w:val="28"/>
          <w:lang w:val="vi-VN"/>
        </w:rPr>
        <w:t>Ngày chấp nhận đăng bài: 10/3/2026</w:t>
      </w:r>
    </w:p>
    <w:p w14:paraId="081B78E9" w14:textId="77777777" w:rsidR="004473BC" w:rsidRDefault="004473BC" w:rsidP="0091352A">
      <w:pPr>
        <w:spacing w:before="120"/>
        <w:jc w:val="both"/>
        <w:rPr>
          <w:rFonts w:ascii="Times New Roman" w:hAnsi="Times New Roman" w:cs="Times New Roman"/>
          <w:sz w:val="28"/>
          <w:szCs w:val="28"/>
        </w:rPr>
      </w:pPr>
    </w:p>
    <w:p w14:paraId="228DFF53" w14:textId="4E8EF13C" w:rsidR="004473BC" w:rsidRPr="004473BC" w:rsidRDefault="00573E31" w:rsidP="00602578">
      <w:pPr>
        <w:pStyle w:val="NormalWeb"/>
        <w:spacing w:before="120" w:after="0"/>
        <w:jc w:val="center"/>
        <w:rPr>
          <w:rFonts w:eastAsiaTheme="minorHAnsi"/>
          <w:b/>
          <w:bCs/>
          <w:i/>
          <w:iCs/>
          <w:color w:val="000000"/>
          <w:kern w:val="2"/>
          <w:lang w:val="vi-VN"/>
          <w14:ligatures w14:val="standardContextual"/>
        </w:rPr>
      </w:pPr>
      <w:r w:rsidRPr="00573E31">
        <w:rPr>
          <w:rFonts w:eastAsiaTheme="minorHAnsi"/>
          <w:b/>
          <w:bCs/>
          <w:color w:val="000000"/>
          <w:kern w:val="2"/>
          <w:sz w:val="28"/>
          <w:szCs w:val="28"/>
          <w14:ligatures w14:val="standardContextual"/>
        </w:rPr>
        <w:t xml:space="preserve">Assessing the </w:t>
      </w:r>
      <w:r>
        <w:rPr>
          <w:rFonts w:eastAsiaTheme="minorHAnsi"/>
          <w:b/>
          <w:bCs/>
          <w:color w:val="000000"/>
          <w:kern w:val="2"/>
          <w:sz w:val="28"/>
          <w:szCs w:val="28"/>
          <w14:ligatures w14:val="standardContextual"/>
        </w:rPr>
        <w:t>i</w:t>
      </w:r>
      <w:r w:rsidRPr="00573E31">
        <w:rPr>
          <w:rFonts w:eastAsiaTheme="minorHAnsi"/>
          <w:b/>
          <w:bCs/>
          <w:color w:val="000000"/>
          <w:kern w:val="2"/>
          <w:sz w:val="28"/>
          <w:szCs w:val="28"/>
          <w14:ligatures w14:val="standardContextual"/>
        </w:rPr>
        <w:t xml:space="preserve">mpact of the ASEAN Economic Community on Vietnam’s </w:t>
      </w:r>
      <w:r>
        <w:rPr>
          <w:rFonts w:eastAsiaTheme="minorHAnsi"/>
          <w:b/>
          <w:bCs/>
          <w:color w:val="000000"/>
          <w:kern w:val="2"/>
          <w:sz w:val="28"/>
          <w:szCs w:val="28"/>
          <w14:ligatures w14:val="standardContextual"/>
        </w:rPr>
        <w:t>goods</w:t>
      </w:r>
      <w:r w:rsidRPr="00573E31">
        <w:rPr>
          <w:rFonts w:eastAsiaTheme="minorHAnsi"/>
          <w:b/>
          <w:bCs/>
          <w:color w:val="000000"/>
          <w:kern w:val="2"/>
          <w:sz w:val="28"/>
          <w:szCs w:val="28"/>
          <w14:ligatures w14:val="standardContextual"/>
        </w:rPr>
        <w:t xml:space="preserve"> </w:t>
      </w:r>
      <w:r>
        <w:rPr>
          <w:rFonts w:eastAsiaTheme="minorHAnsi"/>
          <w:b/>
          <w:bCs/>
          <w:color w:val="000000"/>
          <w:kern w:val="2"/>
          <w:sz w:val="28"/>
          <w:szCs w:val="28"/>
          <w14:ligatures w14:val="standardContextual"/>
        </w:rPr>
        <w:t>t</w:t>
      </w:r>
      <w:r w:rsidRPr="00573E31">
        <w:rPr>
          <w:rFonts w:eastAsiaTheme="minorHAnsi"/>
          <w:b/>
          <w:bCs/>
          <w:color w:val="000000"/>
          <w:kern w:val="2"/>
          <w:sz w:val="28"/>
          <w:szCs w:val="28"/>
          <w14:ligatures w14:val="standardContextual"/>
        </w:rPr>
        <w:t>rade: Evidence from an extended gravity model</w:t>
      </w:r>
    </w:p>
    <w:p w14:paraId="682749EA" w14:textId="77777777" w:rsidR="004473BC" w:rsidRPr="00602578" w:rsidRDefault="004473BC" w:rsidP="004473BC">
      <w:pPr>
        <w:pStyle w:val="NormalWeb"/>
        <w:spacing w:before="120" w:after="0"/>
        <w:jc w:val="both"/>
        <w:rPr>
          <w:rFonts w:eastAsiaTheme="minorHAnsi"/>
          <w:b/>
          <w:bCs/>
          <w:color w:val="000000"/>
          <w:kern w:val="2"/>
          <w:lang w:val="vi-VN"/>
          <w14:ligatures w14:val="standardContextual"/>
        </w:rPr>
      </w:pPr>
      <w:r w:rsidRPr="00602578">
        <w:rPr>
          <w:rFonts w:eastAsiaTheme="minorHAnsi"/>
          <w:b/>
          <w:bCs/>
          <w:color w:val="000000"/>
          <w:kern w:val="2"/>
          <w:lang w:val="vi-VN"/>
          <w14:ligatures w14:val="standardContextual"/>
        </w:rPr>
        <w:t>Le Tuan Anh</w:t>
      </w:r>
    </w:p>
    <w:p w14:paraId="464B837A" w14:textId="77777777" w:rsidR="004473BC" w:rsidRPr="00602578" w:rsidRDefault="004473BC" w:rsidP="004473BC">
      <w:pPr>
        <w:pStyle w:val="NormalWeb"/>
        <w:spacing w:before="120" w:after="0"/>
        <w:jc w:val="both"/>
        <w:rPr>
          <w:rFonts w:eastAsiaTheme="minorHAnsi"/>
          <w:b/>
          <w:bCs/>
          <w:color w:val="000000"/>
          <w:kern w:val="2"/>
          <w:lang w:val="vi-VN"/>
          <w14:ligatures w14:val="standardContextual"/>
        </w:rPr>
      </w:pPr>
      <w:r w:rsidRPr="00602578">
        <w:rPr>
          <w:rFonts w:eastAsiaTheme="minorHAnsi"/>
          <w:b/>
          <w:bCs/>
          <w:color w:val="000000"/>
          <w:kern w:val="2"/>
          <w:lang w:val="vi-VN"/>
          <w14:ligatures w14:val="standardContextual"/>
        </w:rPr>
        <w:t>National Economics University</w:t>
      </w:r>
    </w:p>
    <w:p w14:paraId="012AEFEC" w14:textId="01F99B57" w:rsidR="004473BC" w:rsidRPr="00602578" w:rsidRDefault="004473BC" w:rsidP="004473BC">
      <w:pPr>
        <w:pStyle w:val="NormalWeb"/>
        <w:spacing w:before="120" w:beforeAutospacing="0" w:after="0" w:afterAutospacing="0"/>
        <w:jc w:val="both"/>
        <w:rPr>
          <w:rFonts w:eastAsiaTheme="minorHAnsi"/>
          <w:b/>
          <w:bCs/>
          <w:color w:val="000000"/>
          <w:kern w:val="2"/>
          <w14:ligatures w14:val="standardContextual"/>
        </w:rPr>
      </w:pPr>
      <w:r w:rsidRPr="00602578">
        <w:rPr>
          <w:rFonts w:eastAsiaTheme="minorHAnsi"/>
          <w:b/>
          <w:bCs/>
          <w:color w:val="000000"/>
          <w:kern w:val="2"/>
          <w:lang w:val="vi-VN"/>
          <w14:ligatures w14:val="standardContextual"/>
        </w:rPr>
        <w:t>Abstract:</w:t>
      </w:r>
    </w:p>
    <w:p w14:paraId="7224B26E" w14:textId="724FFFA4" w:rsidR="00833C07" w:rsidRDefault="00DB34FB" w:rsidP="00DB34FB">
      <w:pPr>
        <w:pStyle w:val="NormalWeb"/>
        <w:spacing w:before="120" w:beforeAutospacing="0" w:after="0" w:afterAutospacing="0"/>
        <w:jc w:val="both"/>
        <w:rPr>
          <w:color w:val="000000"/>
        </w:rPr>
      </w:pPr>
      <w:r w:rsidRPr="00DB34FB">
        <w:rPr>
          <w:color w:val="000000"/>
        </w:rPr>
        <w:t xml:space="preserve">This </w:t>
      </w:r>
      <w:r w:rsidR="00833C07">
        <w:rPr>
          <w:color w:val="000000"/>
        </w:rPr>
        <w:t>study</w:t>
      </w:r>
      <w:r w:rsidRPr="00DB34FB">
        <w:rPr>
          <w:color w:val="000000"/>
        </w:rPr>
        <w:t xml:space="preserve"> provides a quantitative assessment of the impact of the ASEAN Economic Community (AEC) on Vietnam’s merchandise trade over the period 1990–2024, employing an extended gravity model </w:t>
      </w:r>
      <w:r w:rsidR="00B3079C">
        <w:rPr>
          <w:color w:val="000000"/>
        </w:rPr>
        <w:t>and</w:t>
      </w:r>
      <w:r w:rsidRPr="00DB34FB">
        <w:rPr>
          <w:color w:val="000000"/>
        </w:rPr>
        <w:t xml:space="preserve"> the Poisson Pseudo-Maximum Likelihood (PPML) method. The findings indicate that economic size, proxied by GDP, remains the primary determinant of trade flows, with estimated coefficients of 2.046 for Vietnam’s GDP and 0.447 for its trading partners’ GDP. Notably, the coefficient on the AEC variable is negative (−0.653), suggesting the presence of relative trade diversion and preferential erosion effects, whereby trade is increasingly reoriented toward partners outside the bloc under the influence of new-generation free trade agreements. In light of these results, the </w:t>
      </w:r>
      <w:r w:rsidR="00B3079C">
        <w:rPr>
          <w:color w:val="000000"/>
        </w:rPr>
        <w:t xml:space="preserve">study </w:t>
      </w:r>
      <w:r w:rsidRPr="00DB34FB">
        <w:rPr>
          <w:color w:val="000000"/>
        </w:rPr>
        <w:t>argues for a strategic repositioning of ASEAN as a regional hub for raw material supply within Vietnam’s trade architecture.</w:t>
      </w:r>
    </w:p>
    <w:p w14:paraId="37EFEC79" w14:textId="26930B49" w:rsidR="004473BC" w:rsidRPr="00602578" w:rsidRDefault="00962DC5" w:rsidP="00DB34FB">
      <w:pPr>
        <w:pStyle w:val="NormalWeb"/>
        <w:spacing w:before="120" w:beforeAutospacing="0" w:after="0" w:afterAutospacing="0"/>
        <w:jc w:val="both"/>
        <w:rPr>
          <w:sz w:val="28"/>
          <w:szCs w:val="28"/>
        </w:rPr>
      </w:pPr>
      <w:r>
        <w:rPr>
          <w:b/>
          <w:bCs/>
          <w:color w:val="000000"/>
        </w:rPr>
        <w:t>Keywords</w:t>
      </w:r>
      <w:r w:rsidR="004473BC" w:rsidRPr="00504452">
        <w:rPr>
          <w:b/>
          <w:bCs/>
          <w:color w:val="000000"/>
        </w:rPr>
        <w:t>:</w:t>
      </w:r>
      <w:r w:rsidR="004473BC" w:rsidRPr="00504452">
        <w:rPr>
          <w:rStyle w:val="apple-converted-space"/>
          <w:rFonts w:eastAsiaTheme="majorEastAsia"/>
          <w:color w:val="000000"/>
        </w:rPr>
        <w:t> </w:t>
      </w:r>
      <w:r w:rsidR="00DB34FB" w:rsidRPr="00DB34FB">
        <w:rPr>
          <w:color w:val="000000"/>
        </w:rPr>
        <w:t>AEC, gravity model, international trade, Vietnam, trade diversion, ASEAN integration.</w:t>
      </w:r>
    </w:p>
    <w:sectPr w:rsidR="004473BC" w:rsidRPr="00602578" w:rsidSect="00BA0C47">
      <w:footerReference w:type="even" r:id="rId11"/>
      <w:footerReference w:type="default" r:id="rId12"/>
      <w:pgSz w:w="11901" w:h="16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6AF19" w14:textId="77777777" w:rsidR="00A36A1C" w:rsidRDefault="00A36A1C" w:rsidP="00B51502">
      <w:pPr>
        <w:spacing w:after="0" w:line="240" w:lineRule="auto"/>
      </w:pPr>
      <w:r>
        <w:separator/>
      </w:r>
    </w:p>
  </w:endnote>
  <w:endnote w:type="continuationSeparator" w:id="0">
    <w:p w14:paraId="50F04257" w14:textId="77777777" w:rsidR="00A36A1C" w:rsidRDefault="00A36A1C" w:rsidP="00B51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Math"/>
    <w:panose1 w:val="00000000000000000000"/>
    <w:charset w:val="00"/>
    <w:family w:val="roman"/>
    <w:notTrueType/>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3742308"/>
      <w:docPartObj>
        <w:docPartGallery w:val="Page Numbers (Bottom of Page)"/>
        <w:docPartUnique/>
      </w:docPartObj>
    </w:sdtPr>
    <w:sdtContent>
      <w:p w14:paraId="2BC5AB1B" w14:textId="526340E0" w:rsidR="00B51502" w:rsidRDefault="00B51502" w:rsidP="006943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3CDA9" w14:textId="77777777" w:rsidR="00B51502" w:rsidRDefault="00B51502" w:rsidP="00B515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0873253"/>
      <w:docPartObj>
        <w:docPartGallery w:val="Page Numbers (Bottom of Page)"/>
        <w:docPartUnique/>
      </w:docPartObj>
    </w:sdtPr>
    <w:sdtEndPr>
      <w:rPr>
        <w:rStyle w:val="PageNumber"/>
        <w:rFonts w:ascii="Times New Roman" w:hAnsi="Times New Roman" w:cs="Times New Roman"/>
      </w:rPr>
    </w:sdtEndPr>
    <w:sdtContent>
      <w:p w14:paraId="5836B002" w14:textId="32BDBA90" w:rsidR="00B51502" w:rsidRPr="00504452" w:rsidRDefault="00B51502" w:rsidP="0069433D">
        <w:pPr>
          <w:pStyle w:val="Footer"/>
          <w:framePr w:wrap="none" w:vAnchor="text" w:hAnchor="margin" w:xAlign="right" w:y="1"/>
          <w:rPr>
            <w:rStyle w:val="PageNumber"/>
            <w:rFonts w:ascii="Times New Roman" w:hAnsi="Times New Roman" w:cs="Times New Roman"/>
          </w:rPr>
        </w:pPr>
        <w:r w:rsidRPr="00504452">
          <w:rPr>
            <w:rStyle w:val="PageNumber"/>
            <w:rFonts w:ascii="Times New Roman" w:hAnsi="Times New Roman" w:cs="Times New Roman"/>
          </w:rPr>
          <w:fldChar w:fldCharType="begin"/>
        </w:r>
        <w:r w:rsidRPr="00504452">
          <w:rPr>
            <w:rStyle w:val="PageNumber"/>
            <w:rFonts w:ascii="Times New Roman" w:hAnsi="Times New Roman" w:cs="Times New Roman"/>
          </w:rPr>
          <w:instrText xml:space="preserve"> PAGE </w:instrText>
        </w:r>
        <w:r w:rsidRPr="00504452">
          <w:rPr>
            <w:rStyle w:val="PageNumber"/>
            <w:rFonts w:ascii="Times New Roman" w:hAnsi="Times New Roman" w:cs="Times New Roman"/>
          </w:rPr>
          <w:fldChar w:fldCharType="separate"/>
        </w:r>
        <w:r w:rsidR="00AF1A05">
          <w:rPr>
            <w:rStyle w:val="PageNumber"/>
            <w:rFonts w:ascii="Times New Roman" w:hAnsi="Times New Roman" w:cs="Times New Roman"/>
            <w:noProof/>
          </w:rPr>
          <w:t>9</w:t>
        </w:r>
        <w:r w:rsidRPr="00504452">
          <w:rPr>
            <w:rStyle w:val="PageNumber"/>
            <w:rFonts w:ascii="Times New Roman" w:hAnsi="Times New Roman" w:cs="Times New Roman"/>
          </w:rPr>
          <w:fldChar w:fldCharType="end"/>
        </w:r>
      </w:p>
    </w:sdtContent>
  </w:sdt>
  <w:p w14:paraId="5656BA52" w14:textId="77777777" w:rsidR="00B51502" w:rsidRPr="00B51502" w:rsidRDefault="00B51502" w:rsidP="00B51502">
    <w:pPr>
      <w:pStyle w:val="Footer"/>
      <w:ind w:right="360"/>
      <w:rPr>
        <w:rFonts w:ascii="Minion Pro" w:hAnsi="Minion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46916" w14:textId="77777777" w:rsidR="00A36A1C" w:rsidRDefault="00A36A1C" w:rsidP="00B51502">
      <w:pPr>
        <w:spacing w:after="0" w:line="240" w:lineRule="auto"/>
      </w:pPr>
      <w:r>
        <w:separator/>
      </w:r>
    </w:p>
  </w:footnote>
  <w:footnote w:type="continuationSeparator" w:id="0">
    <w:p w14:paraId="2DF9CC85" w14:textId="77777777" w:rsidR="00A36A1C" w:rsidRDefault="00A36A1C" w:rsidP="00B515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B81"/>
    <w:multiLevelType w:val="multilevel"/>
    <w:tmpl w:val="EE0E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9389C"/>
    <w:multiLevelType w:val="hybridMultilevel"/>
    <w:tmpl w:val="EFA2D5A6"/>
    <w:lvl w:ilvl="0" w:tplc="F81AB4C2">
      <w:numFmt w:val="bullet"/>
      <w:lvlText w:val="-"/>
      <w:lvlJc w:val="left"/>
      <w:pPr>
        <w:ind w:left="720" w:hanging="360"/>
      </w:pPr>
      <w:rPr>
        <w:rFonts w:ascii="Minion Pro" w:eastAsiaTheme="minorHAnsi" w:hAnsi="Minion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F7559"/>
    <w:multiLevelType w:val="multilevel"/>
    <w:tmpl w:val="4F9A1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640F8"/>
    <w:multiLevelType w:val="multilevel"/>
    <w:tmpl w:val="4960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758A4"/>
    <w:multiLevelType w:val="multilevel"/>
    <w:tmpl w:val="8B1C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B3E0A"/>
    <w:multiLevelType w:val="multilevel"/>
    <w:tmpl w:val="70FA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1256F7"/>
    <w:multiLevelType w:val="multilevel"/>
    <w:tmpl w:val="0648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52B4B"/>
    <w:multiLevelType w:val="multilevel"/>
    <w:tmpl w:val="4FD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4A1792"/>
    <w:multiLevelType w:val="multilevel"/>
    <w:tmpl w:val="D632B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8A6877"/>
    <w:multiLevelType w:val="multilevel"/>
    <w:tmpl w:val="DB72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574BB"/>
    <w:multiLevelType w:val="multilevel"/>
    <w:tmpl w:val="00E2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02172D"/>
    <w:multiLevelType w:val="multilevel"/>
    <w:tmpl w:val="A5C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01172">
    <w:abstractNumId w:val="4"/>
  </w:num>
  <w:num w:numId="2" w16cid:durableId="581380055">
    <w:abstractNumId w:val="3"/>
  </w:num>
  <w:num w:numId="3" w16cid:durableId="1885407046">
    <w:abstractNumId w:val="1"/>
  </w:num>
  <w:num w:numId="4" w16cid:durableId="998382948">
    <w:abstractNumId w:val="0"/>
  </w:num>
  <w:num w:numId="5" w16cid:durableId="1967613373">
    <w:abstractNumId w:val="6"/>
  </w:num>
  <w:num w:numId="6" w16cid:durableId="218638150">
    <w:abstractNumId w:val="2"/>
  </w:num>
  <w:num w:numId="7" w16cid:durableId="1265577418">
    <w:abstractNumId w:val="10"/>
  </w:num>
  <w:num w:numId="8" w16cid:durableId="726874222">
    <w:abstractNumId w:val="7"/>
  </w:num>
  <w:num w:numId="9" w16cid:durableId="1888953718">
    <w:abstractNumId w:val="9"/>
  </w:num>
  <w:num w:numId="10" w16cid:durableId="919217245">
    <w:abstractNumId w:val="11"/>
  </w:num>
  <w:num w:numId="11" w16cid:durableId="847597128">
    <w:abstractNumId w:val="5"/>
  </w:num>
  <w:num w:numId="12" w16cid:durableId="878250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000D"/>
    <w:rsid w:val="00006118"/>
    <w:rsid w:val="000204F3"/>
    <w:rsid w:val="0002265D"/>
    <w:rsid w:val="00035AA8"/>
    <w:rsid w:val="000567CF"/>
    <w:rsid w:val="0008441F"/>
    <w:rsid w:val="000C7D08"/>
    <w:rsid w:val="000E370B"/>
    <w:rsid w:val="000F3B57"/>
    <w:rsid w:val="00143431"/>
    <w:rsid w:val="00155DA3"/>
    <w:rsid w:val="001631E3"/>
    <w:rsid w:val="00164CED"/>
    <w:rsid w:val="001678D3"/>
    <w:rsid w:val="0017510A"/>
    <w:rsid w:val="00175D70"/>
    <w:rsid w:val="001A47DF"/>
    <w:rsid w:val="001B267F"/>
    <w:rsid w:val="001C50A8"/>
    <w:rsid w:val="001F1A30"/>
    <w:rsid w:val="001F6643"/>
    <w:rsid w:val="00204F7D"/>
    <w:rsid w:val="00211764"/>
    <w:rsid w:val="00231295"/>
    <w:rsid w:val="00231A0D"/>
    <w:rsid w:val="00242871"/>
    <w:rsid w:val="0027032A"/>
    <w:rsid w:val="002762B4"/>
    <w:rsid w:val="002911D0"/>
    <w:rsid w:val="00294672"/>
    <w:rsid w:val="002962B2"/>
    <w:rsid w:val="002C000D"/>
    <w:rsid w:val="002E645C"/>
    <w:rsid w:val="002F1496"/>
    <w:rsid w:val="003065BE"/>
    <w:rsid w:val="00324B22"/>
    <w:rsid w:val="00327975"/>
    <w:rsid w:val="003458EB"/>
    <w:rsid w:val="003476A4"/>
    <w:rsid w:val="00371380"/>
    <w:rsid w:val="00374DC0"/>
    <w:rsid w:val="0037625C"/>
    <w:rsid w:val="003D3AB7"/>
    <w:rsid w:val="003D429B"/>
    <w:rsid w:val="003D5B31"/>
    <w:rsid w:val="003F6B7D"/>
    <w:rsid w:val="004051B4"/>
    <w:rsid w:val="00424605"/>
    <w:rsid w:val="004473BC"/>
    <w:rsid w:val="00461239"/>
    <w:rsid w:val="004624F6"/>
    <w:rsid w:val="004A2A1C"/>
    <w:rsid w:val="004A4244"/>
    <w:rsid w:val="004D3273"/>
    <w:rsid w:val="004F7353"/>
    <w:rsid w:val="00504452"/>
    <w:rsid w:val="00516F7C"/>
    <w:rsid w:val="005445F7"/>
    <w:rsid w:val="00547A15"/>
    <w:rsid w:val="00555DC3"/>
    <w:rsid w:val="00573E31"/>
    <w:rsid w:val="005808A6"/>
    <w:rsid w:val="00582F39"/>
    <w:rsid w:val="0059542B"/>
    <w:rsid w:val="00597F35"/>
    <w:rsid w:val="005B789E"/>
    <w:rsid w:val="005C1C60"/>
    <w:rsid w:val="005F4E7B"/>
    <w:rsid w:val="00602578"/>
    <w:rsid w:val="006064FE"/>
    <w:rsid w:val="00607CEB"/>
    <w:rsid w:val="0062019E"/>
    <w:rsid w:val="006431C2"/>
    <w:rsid w:val="00647DCE"/>
    <w:rsid w:val="00662A61"/>
    <w:rsid w:val="00666550"/>
    <w:rsid w:val="00676C8A"/>
    <w:rsid w:val="00680BD8"/>
    <w:rsid w:val="00692A4E"/>
    <w:rsid w:val="00696D7E"/>
    <w:rsid w:val="006A6916"/>
    <w:rsid w:val="006B1576"/>
    <w:rsid w:val="006C1E6B"/>
    <w:rsid w:val="006C4A29"/>
    <w:rsid w:val="006E1A34"/>
    <w:rsid w:val="006F11B9"/>
    <w:rsid w:val="006F7702"/>
    <w:rsid w:val="00717B4D"/>
    <w:rsid w:val="00725E79"/>
    <w:rsid w:val="00771F8E"/>
    <w:rsid w:val="00784884"/>
    <w:rsid w:val="007916DC"/>
    <w:rsid w:val="007B0F85"/>
    <w:rsid w:val="007C689E"/>
    <w:rsid w:val="007D0633"/>
    <w:rsid w:val="007D6619"/>
    <w:rsid w:val="007E599F"/>
    <w:rsid w:val="007F7F2A"/>
    <w:rsid w:val="008121FC"/>
    <w:rsid w:val="00820A58"/>
    <w:rsid w:val="00826179"/>
    <w:rsid w:val="00833C07"/>
    <w:rsid w:val="00852FAC"/>
    <w:rsid w:val="00864B1D"/>
    <w:rsid w:val="0088762E"/>
    <w:rsid w:val="008B7311"/>
    <w:rsid w:val="008D360E"/>
    <w:rsid w:val="008F184A"/>
    <w:rsid w:val="0091352A"/>
    <w:rsid w:val="00927E42"/>
    <w:rsid w:val="0093171A"/>
    <w:rsid w:val="009339C0"/>
    <w:rsid w:val="00944807"/>
    <w:rsid w:val="009475CE"/>
    <w:rsid w:val="00947B6D"/>
    <w:rsid w:val="0095403A"/>
    <w:rsid w:val="00962DC5"/>
    <w:rsid w:val="00963C5D"/>
    <w:rsid w:val="009714F1"/>
    <w:rsid w:val="00997BF6"/>
    <w:rsid w:val="009A145C"/>
    <w:rsid w:val="009B00A0"/>
    <w:rsid w:val="009B0195"/>
    <w:rsid w:val="009B0676"/>
    <w:rsid w:val="009B44E9"/>
    <w:rsid w:val="009C095E"/>
    <w:rsid w:val="009D027C"/>
    <w:rsid w:val="009D7921"/>
    <w:rsid w:val="009E099B"/>
    <w:rsid w:val="009F5D16"/>
    <w:rsid w:val="00A02C90"/>
    <w:rsid w:val="00A11747"/>
    <w:rsid w:val="00A36A1C"/>
    <w:rsid w:val="00A50209"/>
    <w:rsid w:val="00A718A7"/>
    <w:rsid w:val="00A92AB2"/>
    <w:rsid w:val="00A92EB6"/>
    <w:rsid w:val="00AA223C"/>
    <w:rsid w:val="00AB24DB"/>
    <w:rsid w:val="00AE31D9"/>
    <w:rsid w:val="00AF1A05"/>
    <w:rsid w:val="00B06AF1"/>
    <w:rsid w:val="00B11DDE"/>
    <w:rsid w:val="00B22884"/>
    <w:rsid w:val="00B3079C"/>
    <w:rsid w:val="00B32BBC"/>
    <w:rsid w:val="00B51502"/>
    <w:rsid w:val="00B5714C"/>
    <w:rsid w:val="00B808DE"/>
    <w:rsid w:val="00B80D66"/>
    <w:rsid w:val="00B8323E"/>
    <w:rsid w:val="00BA0C47"/>
    <w:rsid w:val="00BA5F94"/>
    <w:rsid w:val="00BA78FA"/>
    <w:rsid w:val="00BB55E5"/>
    <w:rsid w:val="00BB798F"/>
    <w:rsid w:val="00BC14A3"/>
    <w:rsid w:val="00BC2934"/>
    <w:rsid w:val="00BD6ADF"/>
    <w:rsid w:val="00BE51C6"/>
    <w:rsid w:val="00BE699B"/>
    <w:rsid w:val="00C03FA6"/>
    <w:rsid w:val="00C05636"/>
    <w:rsid w:val="00C22494"/>
    <w:rsid w:val="00C461B5"/>
    <w:rsid w:val="00C50E91"/>
    <w:rsid w:val="00C601AE"/>
    <w:rsid w:val="00C877BD"/>
    <w:rsid w:val="00C90708"/>
    <w:rsid w:val="00C94956"/>
    <w:rsid w:val="00C952A5"/>
    <w:rsid w:val="00C96DC4"/>
    <w:rsid w:val="00C96E9B"/>
    <w:rsid w:val="00CA2778"/>
    <w:rsid w:val="00CB17A3"/>
    <w:rsid w:val="00CC1372"/>
    <w:rsid w:val="00CC462C"/>
    <w:rsid w:val="00CC50E3"/>
    <w:rsid w:val="00CD119B"/>
    <w:rsid w:val="00CF350F"/>
    <w:rsid w:val="00D100B7"/>
    <w:rsid w:val="00D40AE2"/>
    <w:rsid w:val="00D53092"/>
    <w:rsid w:val="00D54D15"/>
    <w:rsid w:val="00D57F4F"/>
    <w:rsid w:val="00D67C6D"/>
    <w:rsid w:val="00DA2155"/>
    <w:rsid w:val="00DB2D40"/>
    <w:rsid w:val="00DB2E27"/>
    <w:rsid w:val="00DB34FB"/>
    <w:rsid w:val="00DC30AE"/>
    <w:rsid w:val="00DD0BD6"/>
    <w:rsid w:val="00DD1A38"/>
    <w:rsid w:val="00DD26F0"/>
    <w:rsid w:val="00DD6742"/>
    <w:rsid w:val="00DF2AA1"/>
    <w:rsid w:val="00E30C51"/>
    <w:rsid w:val="00E3630A"/>
    <w:rsid w:val="00E4379A"/>
    <w:rsid w:val="00E44030"/>
    <w:rsid w:val="00E55D25"/>
    <w:rsid w:val="00E6164B"/>
    <w:rsid w:val="00E66FA4"/>
    <w:rsid w:val="00E729DB"/>
    <w:rsid w:val="00E847E8"/>
    <w:rsid w:val="00E91EBC"/>
    <w:rsid w:val="00E948A2"/>
    <w:rsid w:val="00EA0FE4"/>
    <w:rsid w:val="00EB31A3"/>
    <w:rsid w:val="00ED179D"/>
    <w:rsid w:val="00EE79B1"/>
    <w:rsid w:val="00EF22FD"/>
    <w:rsid w:val="00F0057F"/>
    <w:rsid w:val="00F0180F"/>
    <w:rsid w:val="00F04C50"/>
    <w:rsid w:val="00F062DD"/>
    <w:rsid w:val="00F167DF"/>
    <w:rsid w:val="00F17C34"/>
    <w:rsid w:val="00F627C5"/>
    <w:rsid w:val="00F67546"/>
    <w:rsid w:val="00F71EBD"/>
    <w:rsid w:val="00F744E7"/>
    <w:rsid w:val="00F93353"/>
    <w:rsid w:val="00F9395C"/>
    <w:rsid w:val="00FA5171"/>
    <w:rsid w:val="00FB4B0D"/>
    <w:rsid w:val="00FB6478"/>
    <w:rsid w:val="00FB7196"/>
    <w:rsid w:val="00FC4CAD"/>
    <w:rsid w:val="00FC4DC4"/>
    <w:rsid w:val="00FD1B79"/>
    <w:rsid w:val="00FD3DC5"/>
    <w:rsid w:val="00FD4AA5"/>
    <w:rsid w:val="00FE35C4"/>
    <w:rsid w:val="00FE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609B"/>
  <w15:docId w15:val="{49B5965E-D341-B741-87D2-4BD02522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9C0"/>
  </w:style>
  <w:style w:type="paragraph" w:styleId="Heading1">
    <w:name w:val="heading 1"/>
    <w:basedOn w:val="Normal"/>
    <w:next w:val="Normal"/>
    <w:link w:val="Heading1Char"/>
    <w:uiPriority w:val="9"/>
    <w:qFormat/>
    <w:rsid w:val="002C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0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0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0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0D"/>
    <w:rPr>
      <w:rFonts w:eastAsiaTheme="majorEastAsia" w:cstheme="majorBidi"/>
      <w:color w:val="272727" w:themeColor="text1" w:themeTint="D8"/>
    </w:rPr>
  </w:style>
  <w:style w:type="paragraph" w:styleId="Title">
    <w:name w:val="Title"/>
    <w:basedOn w:val="Normal"/>
    <w:next w:val="Normal"/>
    <w:link w:val="TitleChar"/>
    <w:uiPriority w:val="10"/>
    <w:qFormat/>
    <w:rsid w:val="002C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0D"/>
    <w:pPr>
      <w:spacing w:before="160"/>
      <w:jc w:val="center"/>
    </w:pPr>
    <w:rPr>
      <w:i/>
      <w:iCs/>
      <w:color w:val="404040" w:themeColor="text1" w:themeTint="BF"/>
    </w:rPr>
  </w:style>
  <w:style w:type="character" w:customStyle="1" w:styleId="QuoteChar">
    <w:name w:val="Quote Char"/>
    <w:basedOn w:val="DefaultParagraphFont"/>
    <w:link w:val="Quote"/>
    <w:uiPriority w:val="29"/>
    <w:rsid w:val="002C000D"/>
    <w:rPr>
      <w:i/>
      <w:iCs/>
      <w:color w:val="404040" w:themeColor="text1" w:themeTint="BF"/>
    </w:rPr>
  </w:style>
  <w:style w:type="paragraph" w:styleId="ListParagraph">
    <w:name w:val="List Paragraph"/>
    <w:basedOn w:val="Normal"/>
    <w:uiPriority w:val="34"/>
    <w:qFormat/>
    <w:rsid w:val="002C000D"/>
    <w:pPr>
      <w:ind w:left="720"/>
      <w:contextualSpacing/>
    </w:pPr>
  </w:style>
  <w:style w:type="character" w:styleId="IntenseEmphasis">
    <w:name w:val="Intense Emphasis"/>
    <w:basedOn w:val="DefaultParagraphFont"/>
    <w:uiPriority w:val="21"/>
    <w:qFormat/>
    <w:rsid w:val="002C000D"/>
    <w:rPr>
      <w:i/>
      <w:iCs/>
      <w:color w:val="0F4761" w:themeColor="accent1" w:themeShade="BF"/>
    </w:rPr>
  </w:style>
  <w:style w:type="paragraph" w:styleId="IntenseQuote">
    <w:name w:val="Intense Quote"/>
    <w:basedOn w:val="Normal"/>
    <w:next w:val="Normal"/>
    <w:link w:val="IntenseQuoteChar"/>
    <w:uiPriority w:val="30"/>
    <w:qFormat/>
    <w:rsid w:val="002C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0D"/>
    <w:rPr>
      <w:i/>
      <w:iCs/>
      <w:color w:val="0F4761" w:themeColor="accent1" w:themeShade="BF"/>
    </w:rPr>
  </w:style>
  <w:style w:type="character" w:styleId="IntenseReference">
    <w:name w:val="Intense Reference"/>
    <w:basedOn w:val="DefaultParagraphFont"/>
    <w:uiPriority w:val="32"/>
    <w:qFormat/>
    <w:rsid w:val="002C000D"/>
    <w:rPr>
      <w:b/>
      <w:bCs/>
      <w:smallCaps/>
      <w:color w:val="0F4761" w:themeColor="accent1" w:themeShade="BF"/>
      <w:spacing w:val="5"/>
    </w:rPr>
  </w:style>
  <w:style w:type="paragraph" w:styleId="NormalWeb">
    <w:name w:val="Normal (Web)"/>
    <w:basedOn w:val="Normal"/>
    <w:uiPriority w:val="99"/>
    <w:unhideWhenUsed/>
    <w:rsid w:val="002C000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2C000D"/>
  </w:style>
  <w:style w:type="paragraph" w:styleId="Footer">
    <w:name w:val="footer"/>
    <w:basedOn w:val="Normal"/>
    <w:link w:val="FooterChar"/>
    <w:uiPriority w:val="99"/>
    <w:unhideWhenUsed/>
    <w:rsid w:val="00B51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02"/>
  </w:style>
  <w:style w:type="character" w:styleId="PageNumber">
    <w:name w:val="page number"/>
    <w:basedOn w:val="DefaultParagraphFont"/>
    <w:uiPriority w:val="99"/>
    <w:semiHidden/>
    <w:unhideWhenUsed/>
    <w:rsid w:val="00B51502"/>
  </w:style>
  <w:style w:type="paragraph" w:styleId="Header">
    <w:name w:val="header"/>
    <w:basedOn w:val="Normal"/>
    <w:link w:val="HeaderChar"/>
    <w:uiPriority w:val="99"/>
    <w:unhideWhenUsed/>
    <w:rsid w:val="00B51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02"/>
  </w:style>
  <w:style w:type="character" w:styleId="Hyperlink">
    <w:name w:val="Hyperlink"/>
    <w:basedOn w:val="DefaultParagraphFont"/>
    <w:uiPriority w:val="99"/>
    <w:unhideWhenUsed/>
    <w:rsid w:val="00597F35"/>
    <w:rPr>
      <w:color w:val="467886" w:themeColor="hyperlink"/>
      <w:u w:val="single"/>
    </w:rPr>
  </w:style>
  <w:style w:type="character" w:customStyle="1" w:styleId="UnresolvedMention1">
    <w:name w:val="Unresolved Mention1"/>
    <w:basedOn w:val="DefaultParagraphFont"/>
    <w:uiPriority w:val="99"/>
    <w:semiHidden/>
    <w:unhideWhenUsed/>
    <w:rsid w:val="00597F35"/>
    <w:rPr>
      <w:color w:val="605E5C"/>
      <w:shd w:val="clear" w:color="auto" w:fill="E1DFDD"/>
    </w:rPr>
  </w:style>
  <w:style w:type="character" w:styleId="PlaceholderText">
    <w:name w:val="Placeholder Text"/>
    <w:basedOn w:val="DefaultParagraphFont"/>
    <w:uiPriority w:val="99"/>
    <w:semiHidden/>
    <w:rsid w:val="00C03FA6"/>
    <w:rPr>
      <w:color w:val="666666"/>
    </w:rPr>
  </w:style>
  <w:style w:type="character" w:styleId="Strong">
    <w:name w:val="Strong"/>
    <w:basedOn w:val="DefaultParagraphFont"/>
    <w:uiPriority w:val="22"/>
    <w:qFormat/>
    <w:rsid w:val="00A50209"/>
    <w:rPr>
      <w:b/>
      <w:bCs/>
    </w:rPr>
  </w:style>
  <w:style w:type="character" w:customStyle="1" w:styleId="math-inline">
    <w:name w:val="math-inline"/>
    <w:basedOn w:val="DefaultParagraphFont"/>
    <w:rsid w:val="00A50209"/>
  </w:style>
  <w:style w:type="character" w:styleId="CommentReference">
    <w:name w:val="annotation reference"/>
    <w:basedOn w:val="DefaultParagraphFont"/>
    <w:uiPriority w:val="99"/>
    <w:semiHidden/>
    <w:unhideWhenUsed/>
    <w:rsid w:val="00CC50E3"/>
    <w:rPr>
      <w:sz w:val="16"/>
      <w:szCs w:val="16"/>
    </w:rPr>
  </w:style>
  <w:style w:type="paragraph" w:styleId="CommentText">
    <w:name w:val="annotation text"/>
    <w:basedOn w:val="Normal"/>
    <w:link w:val="CommentTextChar"/>
    <w:uiPriority w:val="99"/>
    <w:unhideWhenUsed/>
    <w:rsid w:val="00CC50E3"/>
    <w:pPr>
      <w:spacing w:line="240" w:lineRule="auto"/>
    </w:pPr>
    <w:rPr>
      <w:sz w:val="20"/>
      <w:szCs w:val="20"/>
    </w:rPr>
  </w:style>
  <w:style w:type="character" w:customStyle="1" w:styleId="CommentTextChar">
    <w:name w:val="Comment Text Char"/>
    <w:basedOn w:val="DefaultParagraphFont"/>
    <w:link w:val="CommentText"/>
    <w:uiPriority w:val="99"/>
    <w:rsid w:val="00CC50E3"/>
    <w:rPr>
      <w:sz w:val="20"/>
      <w:szCs w:val="20"/>
    </w:rPr>
  </w:style>
  <w:style w:type="paragraph" w:styleId="Bibliography">
    <w:name w:val="Bibliography"/>
    <w:basedOn w:val="Normal"/>
    <w:next w:val="Normal"/>
    <w:uiPriority w:val="37"/>
    <w:unhideWhenUsed/>
    <w:rsid w:val="00676C8A"/>
  </w:style>
  <w:style w:type="paragraph" w:styleId="BalloonText">
    <w:name w:val="Balloon Text"/>
    <w:basedOn w:val="Normal"/>
    <w:link w:val="BalloonTextChar"/>
    <w:uiPriority w:val="99"/>
    <w:semiHidden/>
    <w:unhideWhenUsed/>
    <w:rsid w:val="0077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F8E"/>
    <w:rPr>
      <w:rFonts w:ascii="Tahoma" w:hAnsi="Tahoma" w:cs="Tahoma"/>
      <w:sz w:val="16"/>
      <w:szCs w:val="16"/>
    </w:rPr>
  </w:style>
  <w:style w:type="paragraph" w:styleId="Revision">
    <w:name w:val="Revision"/>
    <w:hidden/>
    <w:uiPriority w:val="99"/>
    <w:semiHidden/>
    <w:rsid w:val="00C224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99563">
      <w:bodyDiv w:val="1"/>
      <w:marLeft w:val="0"/>
      <w:marRight w:val="0"/>
      <w:marTop w:val="0"/>
      <w:marBottom w:val="0"/>
      <w:divBdr>
        <w:top w:val="none" w:sz="0" w:space="0" w:color="auto"/>
        <w:left w:val="none" w:sz="0" w:space="0" w:color="auto"/>
        <w:bottom w:val="none" w:sz="0" w:space="0" w:color="auto"/>
        <w:right w:val="none" w:sz="0" w:space="0" w:color="auto"/>
      </w:divBdr>
    </w:div>
    <w:div w:id="39477594">
      <w:bodyDiv w:val="1"/>
      <w:marLeft w:val="0"/>
      <w:marRight w:val="0"/>
      <w:marTop w:val="0"/>
      <w:marBottom w:val="0"/>
      <w:divBdr>
        <w:top w:val="none" w:sz="0" w:space="0" w:color="auto"/>
        <w:left w:val="none" w:sz="0" w:space="0" w:color="auto"/>
        <w:bottom w:val="none" w:sz="0" w:space="0" w:color="auto"/>
        <w:right w:val="none" w:sz="0" w:space="0" w:color="auto"/>
      </w:divBdr>
    </w:div>
    <w:div w:id="45953450">
      <w:bodyDiv w:val="1"/>
      <w:marLeft w:val="0"/>
      <w:marRight w:val="0"/>
      <w:marTop w:val="0"/>
      <w:marBottom w:val="0"/>
      <w:divBdr>
        <w:top w:val="none" w:sz="0" w:space="0" w:color="auto"/>
        <w:left w:val="none" w:sz="0" w:space="0" w:color="auto"/>
        <w:bottom w:val="none" w:sz="0" w:space="0" w:color="auto"/>
        <w:right w:val="none" w:sz="0" w:space="0" w:color="auto"/>
      </w:divBdr>
    </w:div>
    <w:div w:id="98113347">
      <w:bodyDiv w:val="1"/>
      <w:marLeft w:val="0"/>
      <w:marRight w:val="0"/>
      <w:marTop w:val="0"/>
      <w:marBottom w:val="0"/>
      <w:divBdr>
        <w:top w:val="none" w:sz="0" w:space="0" w:color="auto"/>
        <w:left w:val="none" w:sz="0" w:space="0" w:color="auto"/>
        <w:bottom w:val="none" w:sz="0" w:space="0" w:color="auto"/>
        <w:right w:val="none" w:sz="0" w:space="0" w:color="auto"/>
      </w:divBdr>
    </w:div>
    <w:div w:id="111436693">
      <w:bodyDiv w:val="1"/>
      <w:marLeft w:val="0"/>
      <w:marRight w:val="0"/>
      <w:marTop w:val="0"/>
      <w:marBottom w:val="0"/>
      <w:divBdr>
        <w:top w:val="none" w:sz="0" w:space="0" w:color="auto"/>
        <w:left w:val="none" w:sz="0" w:space="0" w:color="auto"/>
        <w:bottom w:val="none" w:sz="0" w:space="0" w:color="auto"/>
        <w:right w:val="none" w:sz="0" w:space="0" w:color="auto"/>
      </w:divBdr>
    </w:div>
    <w:div w:id="114757244">
      <w:bodyDiv w:val="1"/>
      <w:marLeft w:val="0"/>
      <w:marRight w:val="0"/>
      <w:marTop w:val="0"/>
      <w:marBottom w:val="0"/>
      <w:divBdr>
        <w:top w:val="none" w:sz="0" w:space="0" w:color="auto"/>
        <w:left w:val="none" w:sz="0" w:space="0" w:color="auto"/>
        <w:bottom w:val="none" w:sz="0" w:space="0" w:color="auto"/>
        <w:right w:val="none" w:sz="0" w:space="0" w:color="auto"/>
      </w:divBdr>
    </w:div>
    <w:div w:id="118842682">
      <w:bodyDiv w:val="1"/>
      <w:marLeft w:val="0"/>
      <w:marRight w:val="0"/>
      <w:marTop w:val="0"/>
      <w:marBottom w:val="0"/>
      <w:divBdr>
        <w:top w:val="none" w:sz="0" w:space="0" w:color="auto"/>
        <w:left w:val="none" w:sz="0" w:space="0" w:color="auto"/>
        <w:bottom w:val="none" w:sz="0" w:space="0" w:color="auto"/>
        <w:right w:val="none" w:sz="0" w:space="0" w:color="auto"/>
      </w:divBdr>
    </w:div>
    <w:div w:id="124927612">
      <w:bodyDiv w:val="1"/>
      <w:marLeft w:val="0"/>
      <w:marRight w:val="0"/>
      <w:marTop w:val="0"/>
      <w:marBottom w:val="0"/>
      <w:divBdr>
        <w:top w:val="none" w:sz="0" w:space="0" w:color="auto"/>
        <w:left w:val="none" w:sz="0" w:space="0" w:color="auto"/>
        <w:bottom w:val="none" w:sz="0" w:space="0" w:color="auto"/>
        <w:right w:val="none" w:sz="0" w:space="0" w:color="auto"/>
      </w:divBdr>
    </w:div>
    <w:div w:id="134682612">
      <w:bodyDiv w:val="1"/>
      <w:marLeft w:val="0"/>
      <w:marRight w:val="0"/>
      <w:marTop w:val="0"/>
      <w:marBottom w:val="0"/>
      <w:divBdr>
        <w:top w:val="none" w:sz="0" w:space="0" w:color="auto"/>
        <w:left w:val="none" w:sz="0" w:space="0" w:color="auto"/>
        <w:bottom w:val="none" w:sz="0" w:space="0" w:color="auto"/>
        <w:right w:val="none" w:sz="0" w:space="0" w:color="auto"/>
      </w:divBdr>
    </w:div>
    <w:div w:id="135224302">
      <w:bodyDiv w:val="1"/>
      <w:marLeft w:val="0"/>
      <w:marRight w:val="0"/>
      <w:marTop w:val="0"/>
      <w:marBottom w:val="0"/>
      <w:divBdr>
        <w:top w:val="none" w:sz="0" w:space="0" w:color="auto"/>
        <w:left w:val="none" w:sz="0" w:space="0" w:color="auto"/>
        <w:bottom w:val="none" w:sz="0" w:space="0" w:color="auto"/>
        <w:right w:val="none" w:sz="0" w:space="0" w:color="auto"/>
      </w:divBdr>
    </w:div>
    <w:div w:id="191111593">
      <w:bodyDiv w:val="1"/>
      <w:marLeft w:val="0"/>
      <w:marRight w:val="0"/>
      <w:marTop w:val="0"/>
      <w:marBottom w:val="0"/>
      <w:divBdr>
        <w:top w:val="none" w:sz="0" w:space="0" w:color="auto"/>
        <w:left w:val="none" w:sz="0" w:space="0" w:color="auto"/>
        <w:bottom w:val="none" w:sz="0" w:space="0" w:color="auto"/>
        <w:right w:val="none" w:sz="0" w:space="0" w:color="auto"/>
      </w:divBdr>
    </w:div>
    <w:div w:id="206068165">
      <w:bodyDiv w:val="1"/>
      <w:marLeft w:val="0"/>
      <w:marRight w:val="0"/>
      <w:marTop w:val="0"/>
      <w:marBottom w:val="0"/>
      <w:divBdr>
        <w:top w:val="none" w:sz="0" w:space="0" w:color="auto"/>
        <w:left w:val="none" w:sz="0" w:space="0" w:color="auto"/>
        <w:bottom w:val="none" w:sz="0" w:space="0" w:color="auto"/>
        <w:right w:val="none" w:sz="0" w:space="0" w:color="auto"/>
      </w:divBdr>
    </w:div>
    <w:div w:id="219289172">
      <w:bodyDiv w:val="1"/>
      <w:marLeft w:val="0"/>
      <w:marRight w:val="0"/>
      <w:marTop w:val="0"/>
      <w:marBottom w:val="0"/>
      <w:divBdr>
        <w:top w:val="none" w:sz="0" w:space="0" w:color="auto"/>
        <w:left w:val="none" w:sz="0" w:space="0" w:color="auto"/>
        <w:bottom w:val="none" w:sz="0" w:space="0" w:color="auto"/>
        <w:right w:val="none" w:sz="0" w:space="0" w:color="auto"/>
      </w:divBdr>
    </w:div>
    <w:div w:id="221715885">
      <w:bodyDiv w:val="1"/>
      <w:marLeft w:val="0"/>
      <w:marRight w:val="0"/>
      <w:marTop w:val="0"/>
      <w:marBottom w:val="0"/>
      <w:divBdr>
        <w:top w:val="none" w:sz="0" w:space="0" w:color="auto"/>
        <w:left w:val="none" w:sz="0" w:space="0" w:color="auto"/>
        <w:bottom w:val="none" w:sz="0" w:space="0" w:color="auto"/>
        <w:right w:val="none" w:sz="0" w:space="0" w:color="auto"/>
      </w:divBdr>
    </w:div>
    <w:div w:id="230387924">
      <w:bodyDiv w:val="1"/>
      <w:marLeft w:val="0"/>
      <w:marRight w:val="0"/>
      <w:marTop w:val="0"/>
      <w:marBottom w:val="0"/>
      <w:divBdr>
        <w:top w:val="none" w:sz="0" w:space="0" w:color="auto"/>
        <w:left w:val="none" w:sz="0" w:space="0" w:color="auto"/>
        <w:bottom w:val="none" w:sz="0" w:space="0" w:color="auto"/>
        <w:right w:val="none" w:sz="0" w:space="0" w:color="auto"/>
      </w:divBdr>
    </w:div>
    <w:div w:id="252595352">
      <w:bodyDiv w:val="1"/>
      <w:marLeft w:val="0"/>
      <w:marRight w:val="0"/>
      <w:marTop w:val="0"/>
      <w:marBottom w:val="0"/>
      <w:divBdr>
        <w:top w:val="none" w:sz="0" w:space="0" w:color="auto"/>
        <w:left w:val="none" w:sz="0" w:space="0" w:color="auto"/>
        <w:bottom w:val="none" w:sz="0" w:space="0" w:color="auto"/>
        <w:right w:val="none" w:sz="0" w:space="0" w:color="auto"/>
      </w:divBdr>
    </w:div>
    <w:div w:id="254479591">
      <w:bodyDiv w:val="1"/>
      <w:marLeft w:val="0"/>
      <w:marRight w:val="0"/>
      <w:marTop w:val="0"/>
      <w:marBottom w:val="0"/>
      <w:divBdr>
        <w:top w:val="none" w:sz="0" w:space="0" w:color="auto"/>
        <w:left w:val="none" w:sz="0" w:space="0" w:color="auto"/>
        <w:bottom w:val="none" w:sz="0" w:space="0" w:color="auto"/>
        <w:right w:val="none" w:sz="0" w:space="0" w:color="auto"/>
      </w:divBdr>
    </w:div>
    <w:div w:id="280183816">
      <w:bodyDiv w:val="1"/>
      <w:marLeft w:val="0"/>
      <w:marRight w:val="0"/>
      <w:marTop w:val="0"/>
      <w:marBottom w:val="0"/>
      <w:divBdr>
        <w:top w:val="none" w:sz="0" w:space="0" w:color="auto"/>
        <w:left w:val="none" w:sz="0" w:space="0" w:color="auto"/>
        <w:bottom w:val="none" w:sz="0" w:space="0" w:color="auto"/>
        <w:right w:val="none" w:sz="0" w:space="0" w:color="auto"/>
      </w:divBdr>
    </w:div>
    <w:div w:id="306739043">
      <w:bodyDiv w:val="1"/>
      <w:marLeft w:val="0"/>
      <w:marRight w:val="0"/>
      <w:marTop w:val="0"/>
      <w:marBottom w:val="0"/>
      <w:divBdr>
        <w:top w:val="none" w:sz="0" w:space="0" w:color="auto"/>
        <w:left w:val="none" w:sz="0" w:space="0" w:color="auto"/>
        <w:bottom w:val="none" w:sz="0" w:space="0" w:color="auto"/>
        <w:right w:val="none" w:sz="0" w:space="0" w:color="auto"/>
      </w:divBdr>
    </w:div>
    <w:div w:id="307324877">
      <w:bodyDiv w:val="1"/>
      <w:marLeft w:val="0"/>
      <w:marRight w:val="0"/>
      <w:marTop w:val="0"/>
      <w:marBottom w:val="0"/>
      <w:divBdr>
        <w:top w:val="none" w:sz="0" w:space="0" w:color="auto"/>
        <w:left w:val="none" w:sz="0" w:space="0" w:color="auto"/>
        <w:bottom w:val="none" w:sz="0" w:space="0" w:color="auto"/>
        <w:right w:val="none" w:sz="0" w:space="0" w:color="auto"/>
      </w:divBdr>
    </w:div>
    <w:div w:id="354118051">
      <w:bodyDiv w:val="1"/>
      <w:marLeft w:val="0"/>
      <w:marRight w:val="0"/>
      <w:marTop w:val="0"/>
      <w:marBottom w:val="0"/>
      <w:divBdr>
        <w:top w:val="none" w:sz="0" w:space="0" w:color="auto"/>
        <w:left w:val="none" w:sz="0" w:space="0" w:color="auto"/>
        <w:bottom w:val="none" w:sz="0" w:space="0" w:color="auto"/>
        <w:right w:val="none" w:sz="0" w:space="0" w:color="auto"/>
      </w:divBdr>
    </w:div>
    <w:div w:id="357437852">
      <w:bodyDiv w:val="1"/>
      <w:marLeft w:val="0"/>
      <w:marRight w:val="0"/>
      <w:marTop w:val="0"/>
      <w:marBottom w:val="0"/>
      <w:divBdr>
        <w:top w:val="none" w:sz="0" w:space="0" w:color="auto"/>
        <w:left w:val="none" w:sz="0" w:space="0" w:color="auto"/>
        <w:bottom w:val="none" w:sz="0" w:space="0" w:color="auto"/>
        <w:right w:val="none" w:sz="0" w:space="0" w:color="auto"/>
      </w:divBdr>
    </w:div>
    <w:div w:id="392199680">
      <w:bodyDiv w:val="1"/>
      <w:marLeft w:val="0"/>
      <w:marRight w:val="0"/>
      <w:marTop w:val="0"/>
      <w:marBottom w:val="0"/>
      <w:divBdr>
        <w:top w:val="none" w:sz="0" w:space="0" w:color="auto"/>
        <w:left w:val="none" w:sz="0" w:space="0" w:color="auto"/>
        <w:bottom w:val="none" w:sz="0" w:space="0" w:color="auto"/>
        <w:right w:val="none" w:sz="0" w:space="0" w:color="auto"/>
      </w:divBdr>
    </w:div>
    <w:div w:id="401752689">
      <w:bodyDiv w:val="1"/>
      <w:marLeft w:val="0"/>
      <w:marRight w:val="0"/>
      <w:marTop w:val="0"/>
      <w:marBottom w:val="0"/>
      <w:divBdr>
        <w:top w:val="none" w:sz="0" w:space="0" w:color="auto"/>
        <w:left w:val="none" w:sz="0" w:space="0" w:color="auto"/>
        <w:bottom w:val="none" w:sz="0" w:space="0" w:color="auto"/>
        <w:right w:val="none" w:sz="0" w:space="0" w:color="auto"/>
      </w:divBdr>
    </w:div>
    <w:div w:id="414209338">
      <w:bodyDiv w:val="1"/>
      <w:marLeft w:val="0"/>
      <w:marRight w:val="0"/>
      <w:marTop w:val="0"/>
      <w:marBottom w:val="0"/>
      <w:divBdr>
        <w:top w:val="none" w:sz="0" w:space="0" w:color="auto"/>
        <w:left w:val="none" w:sz="0" w:space="0" w:color="auto"/>
        <w:bottom w:val="none" w:sz="0" w:space="0" w:color="auto"/>
        <w:right w:val="none" w:sz="0" w:space="0" w:color="auto"/>
      </w:divBdr>
    </w:div>
    <w:div w:id="473527179">
      <w:bodyDiv w:val="1"/>
      <w:marLeft w:val="0"/>
      <w:marRight w:val="0"/>
      <w:marTop w:val="0"/>
      <w:marBottom w:val="0"/>
      <w:divBdr>
        <w:top w:val="none" w:sz="0" w:space="0" w:color="auto"/>
        <w:left w:val="none" w:sz="0" w:space="0" w:color="auto"/>
        <w:bottom w:val="none" w:sz="0" w:space="0" w:color="auto"/>
        <w:right w:val="none" w:sz="0" w:space="0" w:color="auto"/>
      </w:divBdr>
    </w:div>
    <w:div w:id="507600833">
      <w:bodyDiv w:val="1"/>
      <w:marLeft w:val="0"/>
      <w:marRight w:val="0"/>
      <w:marTop w:val="0"/>
      <w:marBottom w:val="0"/>
      <w:divBdr>
        <w:top w:val="none" w:sz="0" w:space="0" w:color="auto"/>
        <w:left w:val="none" w:sz="0" w:space="0" w:color="auto"/>
        <w:bottom w:val="none" w:sz="0" w:space="0" w:color="auto"/>
        <w:right w:val="none" w:sz="0" w:space="0" w:color="auto"/>
      </w:divBdr>
    </w:div>
    <w:div w:id="525293652">
      <w:bodyDiv w:val="1"/>
      <w:marLeft w:val="0"/>
      <w:marRight w:val="0"/>
      <w:marTop w:val="0"/>
      <w:marBottom w:val="0"/>
      <w:divBdr>
        <w:top w:val="none" w:sz="0" w:space="0" w:color="auto"/>
        <w:left w:val="none" w:sz="0" w:space="0" w:color="auto"/>
        <w:bottom w:val="none" w:sz="0" w:space="0" w:color="auto"/>
        <w:right w:val="none" w:sz="0" w:space="0" w:color="auto"/>
      </w:divBdr>
    </w:div>
    <w:div w:id="545414041">
      <w:bodyDiv w:val="1"/>
      <w:marLeft w:val="0"/>
      <w:marRight w:val="0"/>
      <w:marTop w:val="0"/>
      <w:marBottom w:val="0"/>
      <w:divBdr>
        <w:top w:val="none" w:sz="0" w:space="0" w:color="auto"/>
        <w:left w:val="none" w:sz="0" w:space="0" w:color="auto"/>
        <w:bottom w:val="none" w:sz="0" w:space="0" w:color="auto"/>
        <w:right w:val="none" w:sz="0" w:space="0" w:color="auto"/>
      </w:divBdr>
    </w:div>
    <w:div w:id="553196826">
      <w:bodyDiv w:val="1"/>
      <w:marLeft w:val="0"/>
      <w:marRight w:val="0"/>
      <w:marTop w:val="0"/>
      <w:marBottom w:val="0"/>
      <w:divBdr>
        <w:top w:val="none" w:sz="0" w:space="0" w:color="auto"/>
        <w:left w:val="none" w:sz="0" w:space="0" w:color="auto"/>
        <w:bottom w:val="none" w:sz="0" w:space="0" w:color="auto"/>
        <w:right w:val="none" w:sz="0" w:space="0" w:color="auto"/>
      </w:divBdr>
    </w:div>
    <w:div w:id="570039518">
      <w:bodyDiv w:val="1"/>
      <w:marLeft w:val="0"/>
      <w:marRight w:val="0"/>
      <w:marTop w:val="0"/>
      <w:marBottom w:val="0"/>
      <w:divBdr>
        <w:top w:val="none" w:sz="0" w:space="0" w:color="auto"/>
        <w:left w:val="none" w:sz="0" w:space="0" w:color="auto"/>
        <w:bottom w:val="none" w:sz="0" w:space="0" w:color="auto"/>
        <w:right w:val="none" w:sz="0" w:space="0" w:color="auto"/>
      </w:divBdr>
    </w:div>
    <w:div w:id="607859532">
      <w:bodyDiv w:val="1"/>
      <w:marLeft w:val="0"/>
      <w:marRight w:val="0"/>
      <w:marTop w:val="0"/>
      <w:marBottom w:val="0"/>
      <w:divBdr>
        <w:top w:val="none" w:sz="0" w:space="0" w:color="auto"/>
        <w:left w:val="none" w:sz="0" w:space="0" w:color="auto"/>
        <w:bottom w:val="none" w:sz="0" w:space="0" w:color="auto"/>
        <w:right w:val="none" w:sz="0" w:space="0" w:color="auto"/>
      </w:divBdr>
    </w:div>
    <w:div w:id="619068777">
      <w:bodyDiv w:val="1"/>
      <w:marLeft w:val="0"/>
      <w:marRight w:val="0"/>
      <w:marTop w:val="0"/>
      <w:marBottom w:val="0"/>
      <w:divBdr>
        <w:top w:val="none" w:sz="0" w:space="0" w:color="auto"/>
        <w:left w:val="none" w:sz="0" w:space="0" w:color="auto"/>
        <w:bottom w:val="none" w:sz="0" w:space="0" w:color="auto"/>
        <w:right w:val="none" w:sz="0" w:space="0" w:color="auto"/>
      </w:divBdr>
    </w:div>
    <w:div w:id="620577733">
      <w:bodyDiv w:val="1"/>
      <w:marLeft w:val="0"/>
      <w:marRight w:val="0"/>
      <w:marTop w:val="0"/>
      <w:marBottom w:val="0"/>
      <w:divBdr>
        <w:top w:val="none" w:sz="0" w:space="0" w:color="auto"/>
        <w:left w:val="none" w:sz="0" w:space="0" w:color="auto"/>
        <w:bottom w:val="none" w:sz="0" w:space="0" w:color="auto"/>
        <w:right w:val="none" w:sz="0" w:space="0" w:color="auto"/>
      </w:divBdr>
    </w:div>
    <w:div w:id="626203947">
      <w:bodyDiv w:val="1"/>
      <w:marLeft w:val="0"/>
      <w:marRight w:val="0"/>
      <w:marTop w:val="0"/>
      <w:marBottom w:val="0"/>
      <w:divBdr>
        <w:top w:val="none" w:sz="0" w:space="0" w:color="auto"/>
        <w:left w:val="none" w:sz="0" w:space="0" w:color="auto"/>
        <w:bottom w:val="none" w:sz="0" w:space="0" w:color="auto"/>
        <w:right w:val="none" w:sz="0" w:space="0" w:color="auto"/>
      </w:divBdr>
    </w:div>
    <w:div w:id="637885056">
      <w:bodyDiv w:val="1"/>
      <w:marLeft w:val="0"/>
      <w:marRight w:val="0"/>
      <w:marTop w:val="0"/>
      <w:marBottom w:val="0"/>
      <w:divBdr>
        <w:top w:val="none" w:sz="0" w:space="0" w:color="auto"/>
        <w:left w:val="none" w:sz="0" w:space="0" w:color="auto"/>
        <w:bottom w:val="none" w:sz="0" w:space="0" w:color="auto"/>
        <w:right w:val="none" w:sz="0" w:space="0" w:color="auto"/>
      </w:divBdr>
    </w:div>
    <w:div w:id="638654741">
      <w:bodyDiv w:val="1"/>
      <w:marLeft w:val="0"/>
      <w:marRight w:val="0"/>
      <w:marTop w:val="0"/>
      <w:marBottom w:val="0"/>
      <w:divBdr>
        <w:top w:val="none" w:sz="0" w:space="0" w:color="auto"/>
        <w:left w:val="none" w:sz="0" w:space="0" w:color="auto"/>
        <w:bottom w:val="none" w:sz="0" w:space="0" w:color="auto"/>
        <w:right w:val="none" w:sz="0" w:space="0" w:color="auto"/>
      </w:divBdr>
    </w:div>
    <w:div w:id="645091971">
      <w:bodyDiv w:val="1"/>
      <w:marLeft w:val="0"/>
      <w:marRight w:val="0"/>
      <w:marTop w:val="0"/>
      <w:marBottom w:val="0"/>
      <w:divBdr>
        <w:top w:val="none" w:sz="0" w:space="0" w:color="auto"/>
        <w:left w:val="none" w:sz="0" w:space="0" w:color="auto"/>
        <w:bottom w:val="none" w:sz="0" w:space="0" w:color="auto"/>
        <w:right w:val="none" w:sz="0" w:space="0" w:color="auto"/>
      </w:divBdr>
    </w:div>
    <w:div w:id="696080938">
      <w:bodyDiv w:val="1"/>
      <w:marLeft w:val="0"/>
      <w:marRight w:val="0"/>
      <w:marTop w:val="0"/>
      <w:marBottom w:val="0"/>
      <w:divBdr>
        <w:top w:val="none" w:sz="0" w:space="0" w:color="auto"/>
        <w:left w:val="none" w:sz="0" w:space="0" w:color="auto"/>
        <w:bottom w:val="none" w:sz="0" w:space="0" w:color="auto"/>
        <w:right w:val="none" w:sz="0" w:space="0" w:color="auto"/>
      </w:divBdr>
    </w:div>
    <w:div w:id="708067491">
      <w:bodyDiv w:val="1"/>
      <w:marLeft w:val="0"/>
      <w:marRight w:val="0"/>
      <w:marTop w:val="0"/>
      <w:marBottom w:val="0"/>
      <w:divBdr>
        <w:top w:val="none" w:sz="0" w:space="0" w:color="auto"/>
        <w:left w:val="none" w:sz="0" w:space="0" w:color="auto"/>
        <w:bottom w:val="none" w:sz="0" w:space="0" w:color="auto"/>
        <w:right w:val="none" w:sz="0" w:space="0" w:color="auto"/>
      </w:divBdr>
    </w:div>
    <w:div w:id="712995590">
      <w:bodyDiv w:val="1"/>
      <w:marLeft w:val="0"/>
      <w:marRight w:val="0"/>
      <w:marTop w:val="0"/>
      <w:marBottom w:val="0"/>
      <w:divBdr>
        <w:top w:val="none" w:sz="0" w:space="0" w:color="auto"/>
        <w:left w:val="none" w:sz="0" w:space="0" w:color="auto"/>
        <w:bottom w:val="none" w:sz="0" w:space="0" w:color="auto"/>
        <w:right w:val="none" w:sz="0" w:space="0" w:color="auto"/>
      </w:divBdr>
    </w:div>
    <w:div w:id="738946476">
      <w:bodyDiv w:val="1"/>
      <w:marLeft w:val="0"/>
      <w:marRight w:val="0"/>
      <w:marTop w:val="0"/>
      <w:marBottom w:val="0"/>
      <w:divBdr>
        <w:top w:val="none" w:sz="0" w:space="0" w:color="auto"/>
        <w:left w:val="none" w:sz="0" w:space="0" w:color="auto"/>
        <w:bottom w:val="none" w:sz="0" w:space="0" w:color="auto"/>
        <w:right w:val="none" w:sz="0" w:space="0" w:color="auto"/>
      </w:divBdr>
    </w:div>
    <w:div w:id="808670561">
      <w:bodyDiv w:val="1"/>
      <w:marLeft w:val="0"/>
      <w:marRight w:val="0"/>
      <w:marTop w:val="0"/>
      <w:marBottom w:val="0"/>
      <w:divBdr>
        <w:top w:val="none" w:sz="0" w:space="0" w:color="auto"/>
        <w:left w:val="none" w:sz="0" w:space="0" w:color="auto"/>
        <w:bottom w:val="none" w:sz="0" w:space="0" w:color="auto"/>
        <w:right w:val="none" w:sz="0" w:space="0" w:color="auto"/>
      </w:divBdr>
    </w:div>
    <w:div w:id="812329952">
      <w:bodyDiv w:val="1"/>
      <w:marLeft w:val="0"/>
      <w:marRight w:val="0"/>
      <w:marTop w:val="0"/>
      <w:marBottom w:val="0"/>
      <w:divBdr>
        <w:top w:val="none" w:sz="0" w:space="0" w:color="auto"/>
        <w:left w:val="none" w:sz="0" w:space="0" w:color="auto"/>
        <w:bottom w:val="none" w:sz="0" w:space="0" w:color="auto"/>
        <w:right w:val="none" w:sz="0" w:space="0" w:color="auto"/>
      </w:divBdr>
    </w:div>
    <w:div w:id="837841180">
      <w:bodyDiv w:val="1"/>
      <w:marLeft w:val="0"/>
      <w:marRight w:val="0"/>
      <w:marTop w:val="0"/>
      <w:marBottom w:val="0"/>
      <w:divBdr>
        <w:top w:val="none" w:sz="0" w:space="0" w:color="auto"/>
        <w:left w:val="none" w:sz="0" w:space="0" w:color="auto"/>
        <w:bottom w:val="none" w:sz="0" w:space="0" w:color="auto"/>
        <w:right w:val="none" w:sz="0" w:space="0" w:color="auto"/>
      </w:divBdr>
    </w:div>
    <w:div w:id="921529773">
      <w:bodyDiv w:val="1"/>
      <w:marLeft w:val="0"/>
      <w:marRight w:val="0"/>
      <w:marTop w:val="0"/>
      <w:marBottom w:val="0"/>
      <w:divBdr>
        <w:top w:val="none" w:sz="0" w:space="0" w:color="auto"/>
        <w:left w:val="none" w:sz="0" w:space="0" w:color="auto"/>
        <w:bottom w:val="none" w:sz="0" w:space="0" w:color="auto"/>
        <w:right w:val="none" w:sz="0" w:space="0" w:color="auto"/>
      </w:divBdr>
    </w:div>
    <w:div w:id="949970912">
      <w:bodyDiv w:val="1"/>
      <w:marLeft w:val="0"/>
      <w:marRight w:val="0"/>
      <w:marTop w:val="0"/>
      <w:marBottom w:val="0"/>
      <w:divBdr>
        <w:top w:val="none" w:sz="0" w:space="0" w:color="auto"/>
        <w:left w:val="none" w:sz="0" w:space="0" w:color="auto"/>
        <w:bottom w:val="none" w:sz="0" w:space="0" w:color="auto"/>
        <w:right w:val="none" w:sz="0" w:space="0" w:color="auto"/>
      </w:divBdr>
    </w:div>
    <w:div w:id="967471624">
      <w:bodyDiv w:val="1"/>
      <w:marLeft w:val="0"/>
      <w:marRight w:val="0"/>
      <w:marTop w:val="0"/>
      <w:marBottom w:val="0"/>
      <w:divBdr>
        <w:top w:val="none" w:sz="0" w:space="0" w:color="auto"/>
        <w:left w:val="none" w:sz="0" w:space="0" w:color="auto"/>
        <w:bottom w:val="none" w:sz="0" w:space="0" w:color="auto"/>
        <w:right w:val="none" w:sz="0" w:space="0" w:color="auto"/>
      </w:divBdr>
    </w:div>
    <w:div w:id="1011301910">
      <w:bodyDiv w:val="1"/>
      <w:marLeft w:val="0"/>
      <w:marRight w:val="0"/>
      <w:marTop w:val="0"/>
      <w:marBottom w:val="0"/>
      <w:divBdr>
        <w:top w:val="none" w:sz="0" w:space="0" w:color="auto"/>
        <w:left w:val="none" w:sz="0" w:space="0" w:color="auto"/>
        <w:bottom w:val="none" w:sz="0" w:space="0" w:color="auto"/>
        <w:right w:val="none" w:sz="0" w:space="0" w:color="auto"/>
      </w:divBdr>
    </w:div>
    <w:div w:id="1038361609">
      <w:bodyDiv w:val="1"/>
      <w:marLeft w:val="0"/>
      <w:marRight w:val="0"/>
      <w:marTop w:val="0"/>
      <w:marBottom w:val="0"/>
      <w:divBdr>
        <w:top w:val="none" w:sz="0" w:space="0" w:color="auto"/>
        <w:left w:val="none" w:sz="0" w:space="0" w:color="auto"/>
        <w:bottom w:val="none" w:sz="0" w:space="0" w:color="auto"/>
        <w:right w:val="none" w:sz="0" w:space="0" w:color="auto"/>
      </w:divBdr>
    </w:div>
    <w:div w:id="1050807163">
      <w:bodyDiv w:val="1"/>
      <w:marLeft w:val="0"/>
      <w:marRight w:val="0"/>
      <w:marTop w:val="0"/>
      <w:marBottom w:val="0"/>
      <w:divBdr>
        <w:top w:val="none" w:sz="0" w:space="0" w:color="auto"/>
        <w:left w:val="none" w:sz="0" w:space="0" w:color="auto"/>
        <w:bottom w:val="none" w:sz="0" w:space="0" w:color="auto"/>
        <w:right w:val="none" w:sz="0" w:space="0" w:color="auto"/>
      </w:divBdr>
    </w:div>
    <w:div w:id="1086919893">
      <w:bodyDiv w:val="1"/>
      <w:marLeft w:val="0"/>
      <w:marRight w:val="0"/>
      <w:marTop w:val="0"/>
      <w:marBottom w:val="0"/>
      <w:divBdr>
        <w:top w:val="none" w:sz="0" w:space="0" w:color="auto"/>
        <w:left w:val="none" w:sz="0" w:space="0" w:color="auto"/>
        <w:bottom w:val="none" w:sz="0" w:space="0" w:color="auto"/>
        <w:right w:val="none" w:sz="0" w:space="0" w:color="auto"/>
      </w:divBdr>
    </w:div>
    <w:div w:id="1132601793">
      <w:bodyDiv w:val="1"/>
      <w:marLeft w:val="0"/>
      <w:marRight w:val="0"/>
      <w:marTop w:val="0"/>
      <w:marBottom w:val="0"/>
      <w:divBdr>
        <w:top w:val="none" w:sz="0" w:space="0" w:color="auto"/>
        <w:left w:val="none" w:sz="0" w:space="0" w:color="auto"/>
        <w:bottom w:val="none" w:sz="0" w:space="0" w:color="auto"/>
        <w:right w:val="none" w:sz="0" w:space="0" w:color="auto"/>
      </w:divBdr>
    </w:div>
    <w:div w:id="1137838871">
      <w:bodyDiv w:val="1"/>
      <w:marLeft w:val="0"/>
      <w:marRight w:val="0"/>
      <w:marTop w:val="0"/>
      <w:marBottom w:val="0"/>
      <w:divBdr>
        <w:top w:val="none" w:sz="0" w:space="0" w:color="auto"/>
        <w:left w:val="none" w:sz="0" w:space="0" w:color="auto"/>
        <w:bottom w:val="none" w:sz="0" w:space="0" w:color="auto"/>
        <w:right w:val="none" w:sz="0" w:space="0" w:color="auto"/>
      </w:divBdr>
    </w:div>
    <w:div w:id="1192956034">
      <w:bodyDiv w:val="1"/>
      <w:marLeft w:val="0"/>
      <w:marRight w:val="0"/>
      <w:marTop w:val="0"/>
      <w:marBottom w:val="0"/>
      <w:divBdr>
        <w:top w:val="none" w:sz="0" w:space="0" w:color="auto"/>
        <w:left w:val="none" w:sz="0" w:space="0" w:color="auto"/>
        <w:bottom w:val="none" w:sz="0" w:space="0" w:color="auto"/>
        <w:right w:val="none" w:sz="0" w:space="0" w:color="auto"/>
      </w:divBdr>
    </w:div>
    <w:div w:id="1216166380">
      <w:bodyDiv w:val="1"/>
      <w:marLeft w:val="0"/>
      <w:marRight w:val="0"/>
      <w:marTop w:val="0"/>
      <w:marBottom w:val="0"/>
      <w:divBdr>
        <w:top w:val="none" w:sz="0" w:space="0" w:color="auto"/>
        <w:left w:val="none" w:sz="0" w:space="0" w:color="auto"/>
        <w:bottom w:val="none" w:sz="0" w:space="0" w:color="auto"/>
        <w:right w:val="none" w:sz="0" w:space="0" w:color="auto"/>
      </w:divBdr>
    </w:div>
    <w:div w:id="1227567745">
      <w:bodyDiv w:val="1"/>
      <w:marLeft w:val="0"/>
      <w:marRight w:val="0"/>
      <w:marTop w:val="0"/>
      <w:marBottom w:val="0"/>
      <w:divBdr>
        <w:top w:val="none" w:sz="0" w:space="0" w:color="auto"/>
        <w:left w:val="none" w:sz="0" w:space="0" w:color="auto"/>
        <w:bottom w:val="none" w:sz="0" w:space="0" w:color="auto"/>
        <w:right w:val="none" w:sz="0" w:space="0" w:color="auto"/>
      </w:divBdr>
    </w:div>
    <w:div w:id="1249928033">
      <w:bodyDiv w:val="1"/>
      <w:marLeft w:val="0"/>
      <w:marRight w:val="0"/>
      <w:marTop w:val="0"/>
      <w:marBottom w:val="0"/>
      <w:divBdr>
        <w:top w:val="none" w:sz="0" w:space="0" w:color="auto"/>
        <w:left w:val="none" w:sz="0" w:space="0" w:color="auto"/>
        <w:bottom w:val="none" w:sz="0" w:space="0" w:color="auto"/>
        <w:right w:val="none" w:sz="0" w:space="0" w:color="auto"/>
      </w:divBdr>
    </w:div>
    <w:div w:id="1255700217">
      <w:bodyDiv w:val="1"/>
      <w:marLeft w:val="0"/>
      <w:marRight w:val="0"/>
      <w:marTop w:val="0"/>
      <w:marBottom w:val="0"/>
      <w:divBdr>
        <w:top w:val="none" w:sz="0" w:space="0" w:color="auto"/>
        <w:left w:val="none" w:sz="0" w:space="0" w:color="auto"/>
        <w:bottom w:val="none" w:sz="0" w:space="0" w:color="auto"/>
        <w:right w:val="none" w:sz="0" w:space="0" w:color="auto"/>
      </w:divBdr>
    </w:div>
    <w:div w:id="1288969305">
      <w:bodyDiv w:val="1"/>
      <w:marLeft w:val="0"/>
      <w:marRight w:val="0"/>
      <w:marTop w:val="0"/>
      <w:marBottom w:val="0"/>
      <w:divBdr>
        <w:top w:val="none" w:sz="0" w:space="0" w:color="auto"/>
        <w:left w:val="none" w:sz="0" w:space="0" w:color="auto"/>
        <w:bottom w:val="none" w:sz="0" w:space="0" w:color="auto"/>
        <w:right w:val="none" w:sz="0" w:space="0" w:color="auto"/>
      </w:divBdr>
    </w:div>
    <w:div w:id="1290940656">
      <w:bodyDiv w:val="1"/>
      <w:marLeft w:val="0"/>
      <w:marRight w:val="0"/>
      <w:marTop w:val="0"/>
      <w:marBottom w:val="0"/>
      <w:divBdr>
        <w:top w:val="none" w:sz="0" w:space="0" w:color="auto"/>
        <w:left w:val="none" w:sz="0" w:space="0" w:color="auto"/>
        <w:bottom w:val="none" w:sz="0" w:space="0" w:color="auto"/>
        <w:right w:val="none" w:sz="0" w:space="0" w:color="auto"/>
      </w:divBdr>
    </w:div>
    <w:div w:id="1292323816">
      <w:bodyDiv w:val="1"/>
      <w:marLeft w:val="0"/>
      <w:marRight w:val="0"/>
      <w:marTop w:val="0"/>
      <w:marBottom w:val="0"/>
      <w:divBdr>
        <w:top w:val="none" w:sz="0" w:space="0" w:color="auto"/>
        <w:left w:val="none" w:sz="0" w:space="0" w:color="auto"/>
        <w:bottom w:val="none" w:sz="0" w:space="0" w:color="auto"/>
        <w:right w:val="none" w:sz="0" w:space="0" w:color="auto"/>
      </w:divBdr>
    </w:div>
    <w:div w:id="1311596228">
      <w:bodyDiv w:val="1"/>
      <w:marLeft w:val="0"/>
      <w:marRight w:val="0"/>
      <w:marTop w:val="0"/>
      <w:marBottom w:val="0"/>
      <w:divBdr>
        <w:top w:val="none" w:sz="0" w:space="0" w:color="auto"/>
        <w:left w:val="none" w:sz="0" w:space="0" w:color="auto"/>
        <w:bottom w:val="none" w:sz="0" w:space="0" w:color="auto"/>
        <w:right w:val="none" w:sz="0" w:space="0" w:color="auto"/>
      </w:divBdr>
    </w:div>
    <w:div w:id="1318339276">
      <w:bodyDiv w:val="1"/>
      <w:marLeft w:val="0"/>
      <w:marRight w:val="0"/>
      <w:marTop w:val="0"/>
      <w:marBottom w:val="0"/>
      <w:divBdr>
        <w:top w:val="none" w:sz="0" w:space="0" w:color="auto"/>
        <w:left w:val="none" w:sz="0" w:space="0" w:color="auto"/>
        <w:bottom w:val="none" w:sz="0" w:space="0" w:color="auto"/>
        <w:right w:val="none" w:sz="0" w:space="0" w:color="auto"/>
      </w:divBdr>
    </w:div>
    <w:div w:id="1324502661">
      <w:bodyDiv w:val="1"/>
      <w:marLeft w:val="0"/>
      <w:marRight w:val="0"/>
      <w:marTop w:val="0"/>
      <w:marBottom w:val="0"/>
      <w:divBdr>
        <w:top w:val="none" w:sz="0" w:space="0" w:color="auto"/>
        <w:left w:val="none" w:sz="0" w:space="0" w:color="auto"/>
        <w:bottom w:val="none" w:sz="0" w:space="0" w:color="auto"/>
        <w:right w:val="none" w:sz="0" w:space="0" w:color="auto"/>
      </w:divBdr>
    </w:div>
    <w:div w:id="1342314953">
      <w:bodyDiv w:val="1"/>
      <w:marLeft w:val="0"/>
      <w:marRight w:val="0"/>
      <w:marTop w:val="0"/>
      <w:marBottom w:val="0"/>
      <w:divBdr>
        <w:top w:val="none" w:sz="0" w:space="0" w:color="auto"/>
        <w:left w:val="none" w:sz="0" w:space="0" w:color="auto"/>
        <w:bottom w:val="none" w:sz="0" w:space="0" w:color="auto"/>
        <w:right w:val="none" w:sz="0" w:space="0" w:color="auto"/>
      </w:divBdr>
    </w:div>
    <w:div w:id="1342929693">
      <w:bodyDiv w:val="1"/>
      <w:marLeft w:val="0"/>
      <w:marRight w:val="0"/>
      <w:marTop w:val="0"/>
      <w:marBottom w:val="0"/>
      <w:divBdr>
        <w:top w:val="none" w:sz="0" w:space="0" w:color="auto"/>
        <w:left w:val="none" w:sz="0" w:space="0" w:color="auto"/>
        <w:bottom w:val="none" w:sz="0" w:space="0" w:color="auto"/>
        <w:right w:val="none" w:sz="0" w:space="0" w:color="auto"/>
      </w:divBdr>
    </w:div>
    <w:div w:id="1374304030">
      <w:bodyDiv w:val="1"/>
      <w:marLeft w:val="0"/>
      <w:marRight w:val="0"/>
      <w:marTop w:val="0"/>
      <w:marBottom w:val="0"/>
      <w:divBdr>
        <w:top w:val="none" w:sz="0" w:space="0" w:color="auto"/>
        <w:left w:val="none" w:sz="0" w:space="0" w:color="auto"/>
        <w:bottom w:val="none" w:sz="0" w:space="0" w:color="auto"/>
        <w:right w:val="none" w:sz="0" w:space="0" w:color="auto"/>
      </w:divBdr>
    </w:div>
    <w:div w:id="1382634624">
      <w:bodyDiv w:val="1"/>
      <w:marLeft w:val="0"/>
      <w:marRight w:val="0"/>
      <w:marTop w:val="0"/>
      <w:marBottom w:val="0"/>
      <w:divBdr>
        <w:top w:val="none" w:sz="0" w:space="0" w:color="auto"/>
        <w:left w:val="none" w:sz="0" w:space="0" w:color="auto"/>
        <w:bottom w:val="none" w:sz="0" w:space="0" w:color="auto"/>
        <w:right w:val="none" w:sz="0" w:space="0" w:color="auto"/>
      </w:divBdr>
    </w:div>
    <w:div w:id="1383289142">
      <w:bodyDiv w:val="1"/>
      <w:marLeft w:val="0"/>
      <w:marRight w:val="0"/>
      <w:marTop w:val="0"/>
      <w:marBottom w:val="0"/>
      <w:divBdr>
        <w:top w:val="none" w:sz="0" w:space="0" w:color="auto"/>
        <w:left w:val="none" w:sz="0" w:space="0" w:color="auto"/>
        <w:bottom w:val="none" w:sz="0" w:space="0" w:color="auto"/>
        <w:right w:val="none" w:sz="0" w:space="0" w:color="auto"/>
      </w:divBdr>
    </w:div>
    <w:div w:id="1389455015">
      <w:bodyDiv w:val="1"/>
      <w:marLeft w:val="0"/>
      <w:marRight w:val="0"/>
      <w:marTop w:val="0"/>
      <w:marBottom w:val="0"/>
      <w:divBdr>
        <w:top w:val="none" w:sz="0" w:space="0" w:color="auto"/>
        <w:left w:val="none" w:sz="0" w:space="0" w:color="auto"/>
        <w:bottom w:val="none" w:sz="0" w:space="0" w:color="auto"/>
        <w:right w:val="none" w:sz="0" w:space="0" w:color="auto"/>
      </w:divBdr>
    </w:div>
    <w:div w:id="1393121103">
      <w:bodyDiv w:val="1"/>
      <w:marLeft w:val="0"/>
      <w:marRight w:val="0"/>
      <w:marTop w:val="0"/>
      <w:marBottom w:val="0"/>
      <w:divBdr>
        <w:top w:val="none" w:sz="0" w:space="0" w:color="auto"/>
        <w:left w:val="none" w:sz="0" w:space="0" w:color="auto"/>
        <w:bottom w:val="none" w:sz="0" w:space="0" w:color="auto"/>
        <w:right w:val="none" w:sz="0" w:space="0" w:color="auto"/>
      </w:divBdr>
    </w:div>
    <w:div w:id="1442918479">
      <w:bodyDiv w:val="1"/>
      <w:marLeft w:val="0"/>
      <w:marRight w:val="0"/>
      <w:marTop w:val="0"/>
      <w:marBottom w:val="0"/>
      <w:divBdr>
        <w:top w:val="none" w:sz="0" w:space="0" w:color="auto"/>
        <w:left w:val="none" w:sz="0" w:space="0" w:color="auto"/>
        <w:bottom w:val="none" w:sz="0" w:space="0" w:color="auto"/>
        <w:right w:val="none" w:sz="0" w:space="0" w:color="auto"/>
      </w:divBdr>
    </w:div>
    <w:div w:id="1462379792">
      <w:bodyDiv w:val="1"/>
      <w:marLeft w:val="0"/>
      <w:marRight w:val="0"/>
      <w:marTop w:val="0"/>
      <w:marBottom w:val="0"/>
      <w:divBdr>
        <w:top w:val="none" w:sz="0" w:space="0" w:color="auto"/>
        <w:left w:val="none" w:sz="0" w:space="0" w:color="auto"/>
        <w:bottom w:val="none" w:sz="0" w:space="0" w:color="auto"/>
        <w:right w:val="none" w:sz="0" w:space="0" w:color="auto"/>
      </w:divBdr>
    </w:div>
    <w:div w:id="1512717897">
      <w:bodyDiv w:val="1"/>
      <w:marLeft w:val="0"/>
      <w:marRight w:val="0"/>
      <w:marTop w:val="0"/>
      <w:marBottom w:val="0"/>
      <w:divBdr>
        <w:top w:val="none" w:sz="0" w:space="0" w:color="auto"/>
        <w:left w:val="none" w:sz="0" w:space="0" w:color="auto"/>
        <w:bottom w:val="none" w:sz="0" w:space="0" w:color="auto"/>
        <w:right w:val="none" w:sz="0" w:space="0" w:color="auto"/>
      </w:divBdr>
    </w:div>
    <w:div w:id="1548683768">
      <w:bodyDiv w:val="1"/>
      <w:marLeft w:val="0"/>
      <w:marRight w:val="0"/>
      <w:marTop w:val="0"/>
      <w:marBottom w:val="0"/>
      <w:divBdr>
        <w:top w:val="none" w:sz="0" w:space="0" w:color="auto"/>
        <w:left w:val="none" w:sz="0" w:space="0" w:color="auto"/>
        <w:bottom w:val="none" w:sz="0" w:space="0" w:color="auto"/>
        <w:right w:val="none" w:sz="0" w:space="0" w:color="auto"/>
      </w:divBdr>
    </w:div>
    <w:div w:id="1623727342">
      <w:bodyDiv w:val="1"/>
      <w:marLeft w:val="0"/>
      <w:marRight w:val="0"/>
      <w:marTop w:val="0"/>
      <w:marBottom w:val="0"/>
      <w:divBdr>
        <w:top w:val="none" w:sz="0" w:space="0" w:color="auto"/>
        <w:left w:val="none" w:sz="0" w:space="0" w:color="auto"/>
        <w:bottom w:val="none" w:sz="0" w:space="0" w:color="auto"/>
        <w:right w:val="none" w:sz="0" w:space="0" w:color="auto"/>
      </w:divBdr>
    </w:div>
    <w:div w:id="1629241607">
      <w:bodyDiv w:val="1"/>
      <w:marLeft w:val="0"/>
      <w:marRight w:val="0"/>
      <w:marTop w:val="0"/>
      <w:marBottom w:val="0"/>
      <w:divBdr>
        <w:top w:val="none" w:sz="0" w:space="0" w:color="auto"/>
        <w:left w:val="none" w:sz="0" w:space="0" w:color="auto"/>
        <w:bottom w:val="none" w:sz="0" w:space="0" w:color="auto"/>
        <w:right w:val="none" w:sz="0" w:space="0" w:color="auto"/>
      </w:divBdr>
    </w:div>
    <w:div w:id="1636905324">
      <w:bodyDiv w:val="1"/>
      <w:marLeft w:val="0"/>
      <w:marRight w:val="0"/>
      <w:marTop w:val="0"/>
      <w:marBottom w:val="0"/>
      <w:divBdr>
        <w:top w:val="none" w:sz="0" w:space="0" w:color="auto"/>
        <w:left w:val="none" w:sz="0" w:space="0" w:color="auto"/>
        <w:bottom w:val="none" w:sz="0" w:space="0" w:color="auto"/>
        <w:right w:val="none" w:sz="0" w:space="0" w:color="auto"/>
      </w:divBdr>
    </w:div>
    <w:div w:id="1636982721">
      <w:bodyDiv w:val="1"/>
      <w:marLeft w:val="0"/>
      <w:marRight w:val="0"/>
      <w:marTop w:val="0"/>
      <w:marBottom w:val="0"/>
      <w:divBdr>
        <w:top w:val="none" w:sz="0" w:space="0" w:color="auto"/>
        <w:left w:val="none" w:sz="0" w:space="0" w:color="auto"/>
        <w:bottom w:val="none" w:sz="0" w:space="0" w:color="auto"/>
        <w:right w:val="none" w:sz="0" w:space="0" w:color="auto"/>
      </w:divBdr>
    </w:div>
    <w:div w:id="1643735337">
      <w:bodyDiv w:val="1"/>
      <w:marLeft w:val="0"/>
      <w:marRight w:val="0"/>
      <w:marTop w:val="0"/>
      <w:marBottom w:val="0"/>
      <w:divBdr>
        <w:top w:val="none" w:sz="0" w:space="0" w:color="auto"/>
        <w:left w:val="none" w:sz="0" w:space="0" w:color="auto"/>
        <w:bottom w:val="none" w:sz="0" w:space="0" w:color="auto"/>
        <w:right w:val="none" w:sz="0" w:space="0" w:color="auto"/>
      </w:divBdr>
    </w:div>
    <w:div w:id="1718236252">
      <w:bodyDiv w:val="1"/>
      <w:marLeft w:val="0"/>
      <w:marRight w:val="0"/>
      <w:marTop w:val="0"/>
      <w:marBottom w:val="0"/>
      <w:divBdr>
        <w:top w:val="none" w:sz="0" w:space="0" w:color="auto"/>
        <w:left w:val="none" w:sz="0" w:space="0" w:color="auto"/>
        <w:bottom w:val="none" w:sz="0" w:space="0" w:color="auto"/>
        <w:right w:val="none" w:sz="0" w:space="0" w:color="auto"/>
      </w:divBdr>
    </w:div>
    <w:div w:id="1736930088">
      <w:bodyDiv w:val="1"/>
      <w:marLeft w:val="0"/>
      <w:marRight w:val="0"/>
      <w:marTop w:val="0"/>
      <w:marBottom w:val="0"/>
      <w:divBdr>
        <w:top w:val="none" w:sz="0" w:space="0" w:color="auto"/>
        <w:left w:val="none" w:sz="0" w:space="0" w:color="auto"/>
        <w:bottom w:val="none" w:sz="0" w:space="0" w:color="auto"/>
        <w:right w:val="none" w:sz="0" w:space="0" w:color="auto"/>
      </w:divBdr>
    </w:div>
    <w:div w:id="1740056780">
      <w:bodyDiv w:val="1"/>
      <w:marLeft w:val="0"/>
      <w:marRight w:val="0"/>
      <w:marTop w:val="0"/>
      <w:marBottom w:val="0"/>
      <w:divBdr>
        <w:top w:val="none" w:sz="0" w:space="0" w:color="auto"/>
        <w:left w:val="none" w:sz="0" w:space="0" w:color="auto"/>
        <w:bottom w:val="none" w:sz="0" w:space="0" w:color="auto"/>
        <w:right w:val="none" w:sz="0" w:space="0" w:color="auto"/>
      </w:divBdr>
    </w:div>
    <w:div w:id="1791776350">
      <w:bodyDiv w:val="1"/>
      <w:marLeft w:val="0"/>
      <w:marRight w:val="0"/>
      <w:marTop w:val="0"/>
      <w:marBottom w:val="0"/>
      <w:divBdr>
        <w:top w:val="none" w:sz="0" w:space="0" w:color="auto"/>
        <w:left w:val="none" w:sz="0" w:space="0" w:color="auto"/>
        <w:bottom w:val="none" w:sz="0" w:space="0" w:color="auto"/>
        <w:right w:val="none" w:sz="0" w:space="0" w:color="auto"/>
      </w:divBdr>
    </w:div>
    <w:div w:id="1799953258">
      <w:bodyDiv w:val="1"/>
      <w:marLeft w:val="0"/>
      <w:marRight w:val="0"/>
      <w:marTop w:val="0"/>
      <w:marBottom w:val="0"/>
      <w:divBdr>
        <w:top w:val="none" w:sz="0" w:space="0" w:color="auto"/>
        <w:left w:val="none" w:sz="0" w:space="0" w:color="auto"/>
        <w:bottom w:val="none" w:sz="0" w:space="0" w:color="auto"/>
        <w:right w:val="none" w:sz="0" w:space="0" w:color="auto"/>
      </w:divBdr>
    </w:div>
    <w:div w:id="1829594078">
      <w:bodyDiv w:val="1"/>
      <w:marLeft w:val="0"/>
      <w:marRight w:val="0"/>
      <w:marTop w:val="0"/>
      <w:marBottom w:val="0"/>
      <w:divBdr>
        <w:top w:val="none" w:sz="0" w:space="0" w:color="auto"/>
        <w:left w:val="none" w:sz="0" w:space="0" w:color="auto"/>
        <w:bottom w:val="none" w:sz="0" w:space="0" w:color="auto"/>
        <w:right w:val="none" w:sz="0" w:space="0" w:color="auto"/>
      </w:divBdr>
    </w:div>
    <w:div w:id="1847475176">
      <w:bodyDiv w:val="1"/>
      <w:marLeft w:val="0"/>
      <w:marRight w:val="0"/>
      <w:marTop w:val="0"/>
      <w:marBottom w:val="0"/>
      <w:divBdr>
        <w:top w:val="none" w:sz="0" w:space="0" w:color="auto"/>
        <w:left w:val="none" w:sz="0" w:space="0" w:color="auto"/>
        <w:bottom w:val="none" w:sz="0" w:space="0" w:color="auto"/>
        <w:right w:val="none" w:sz="0" w:space="0" w:color="auto"/>
      </w:divBdr>
    </w:div>
    <w:div w:id="1864052301">
      <w:bodyDiv w:val="1"/>
      <w:marLeft w:val="0"/>
      <w:marRight w:val="0"/>
      <w:marTop w:val="0"/>
      <w:marBottom w:val="0"/>
      <w:divBdr>
        <w:top w:val="none" w:sz="0" w:space="0" w:color="auto"/>
        <w:left w:val="none" w:sz="0" w:space="0" w:color="auto"/>
        <w:bottom w:val="none" w:sz="0" w:space="0" w:color="auto"/>
        <w:right w:val="none" w:sz="0" w:space="0" w:color="auto"/>
      </w:divBdr>
    </w:div>
    <w:div w:id="1870221085">
      <w:bodyDiv w:val="1"/>
      <w:marLeft w:val="0"/>
      <w:marRight w:val="0"/>
      <w:marTop w:val="0"/>
      <w:marBottom w:val="0"/>
      <w:divBdr>
        <w:top w:val="none" w:sz="0" w:space="0" w:color="auto"/>
        <w:left w:val="none" w:sz="0" w:space="0" w:color="auto"/>
        <w:bottom w:val="none" w:sz="0" w:space="0" w:color="auto"/>
        <w:right w:val="none" w:sz="0" w:space="0" w:color="auto"/>
      </w:divBdr>
    </w:div>
    <w:div w:id="1894464407">
      <w:bodyDiv w:val="1"/>
      <w:marLeft w:val="0"/>
      <w:marRight w:val="0"/>
      <w:marTop w:val="0"/>
      <w:marBottom w:val="0"/>
      <w:divBdr>
        <w:top w:val="none" w:sz="0" w:space="0" w:color="auto"/>
        <w:left w:val="none" w:sz="0" w:space="0" w:color="auto"/>
        <w:bottom w:val="none" w:sz="0" w:space="0" w:color="auto"/>
        <w:right w:val="none" w:sz="0" w:space="0" w:color="auto"/>
      </w:divBdr>
    </w:div>
    <w:div w:id="1917745293">
      <w:bodyDiv w:val="1"/>
      <w:marLeft w:val="0"/>
      <w:marRight w:val="0"/>
      <w:marTop w:val="0"/>
      <w:marBottom w:val="0"/>
      <w:divBdr>
        <w:top w:val="none" w:sz="0" w:space="0" w:color="auto"/>
        <w:left w:val="none" w:sz="0" w:space="0" w:color="auto"/>
        <w:bottom w:val="none" w:sz="0" w:space="0" w:color="auto"/>
        <w:right w:val="none" w:sz="0" w:space="0" w:color="auto"/>
      </w:divBdr>
    </w:div>
    <w:div w:id="1930311875">
      <w:bodyDiv w:val="1"/>
      <w:marLeft w:val="0"/>
      <w:marRight w:val="0"/>
      <w:marTop w:val="0"/>
      <w:marBottom w:val="0"/>
      <w:divBdr>
        <w:top w:val="none" w:sz="0" w:space="0" w:color="auto"/>
        <w:left w:val="none" w:sz="0" w:space="0" w:color="auto"/>
        <w:bottom w:val="none" w:sz="0" w:space="0" w:color="auto"/>
        <w:right w:val="none" w:sz="0" w:space="0" w:color="auto"/>
      </w:divBdr>
    </w:div>
    <w:div w:id="1965884400">
      <w:bodyDiv w:val="1"/>
      <w:marLeft w:val="0"/>
      <w:marRight w:val="0"/>
      <w:marTop w:val="0"/>
      <w:marBottom w:val="0"/>
      <w:divBdr>
        <w:top w:val="none" w:sz="0" w:space="0" w:color="auto"/>
        <w:left w:val="none" w:sz="0" w:space="0" w:color="auto"/>
        <w:bottom w:val="none" w:sz="0" w:space="0" w:color="auto"/>
        <w:right w:val="none" w:sz="0" w:space="0" w:color="auto"/>
      </w:divBdr>
    </w:div>
    <w:div w:id="2001811096">
      <w:bodyDiv w:val="1"/>
      <w:marLeft w:val="0"/>
      <w:marRight w:val="0"/>
      <w:marTop w:val="0"/>
      <w:marBottom w:val="0"/>
      <w:divBdr>
        <w:top w:val="none" w:sz="0" w:space="0" w:color="auto"/>
        <w:left w:val="none" w:sz="0" w:space="0" w:color="auto"/>
        <w:bottom w:val="none" w:sz="0" w:space="0" w:color="auto"/>
        <w:right w:val="none" w:sz="0" w:space="0" w:color="auto"/>
      </w:divBdr>
    </w:div>
    <w:div w:id="2024553317">
      <w:bodyDiv w:val="1"/>
      <w:marLeft w:val="0"/>
      <w:marRight w:val="0"/>
      <w:marTop w:val="0"/>
      <w:marBottom w:val="0"/>
      <w:divBdr>
        <w:top w:val="none" w:sz="0" w:space="0" w:color="auto"/>
        <w:left w:val="none" w:sz="0" w:space="0" w:color="auto"/>
        <w:bottom w:val="none" w:sz="0" w:space="0" w:color="auto"/>
        <w:right w:val="none" w:sz="0" w:space="0" w:color="auto"/>
      </w:divBdr>
    </w:div>
    <w:div w:id="2032677804">
      <w:bodyDiv w:val="1"/>
      <w:marLeft w:val="0"/>
      <w:marRight w:val="0"/>
      <w:marTop w:val="0"/>
      <w:marBottom w:val="0"/>
      <w:divBdr>
        <w:top w:val="none" w:sz="0" w:space="0" w:color="auto"/>
        <w:left w:val="none" w:sz="0" w:space="0" w:color="auto"/>
        <w:bottom w:val="none" w:sz="0" w:space="0" w:color="auto"/>
        <w:right w:val="none" w:sz="0" w:space="0" w:color="auto"/>
      </w:divBdr>
    </w:div>
    <w:div w:id="2057001367">
      <w:bodyDiv w:val="1"/>
      <w:marLeft w:val="0"/>
      <w:marRight w:val="0"/>
      <w:marTop w:val="0"/>
      <w:marBottom w:val="0"/>
      <w:divBdr>
        <w:top w:val="none" w:sz="0" w:space="0" w:color="auto"/>
        <w:left w:val="none" w:sz="0" w:space="0" w:color="auto"/>
        <w:bottom w:val="none" w:sz="0" w:space="0" w:color="auto"/>
        <w:right w:val="none" w:sz="0" w:space="0" w:color="auto"/>
      </w:divBdr>
    </w:div>
    <w:div w:id="2068987254">
      <w:bodyDiv w:val="1"/>
      <w:marLeft w:val="0"/>
      <w:marRight w:val="0"/>
      <w:marTop w:val="0"/>
      <w:marBottom w:val="0"/>
      <w:divBdr>
        <w:top w:val="none" w:sz="0" w:space="0" w:color="auto"/>
        <w:left w:val="none" w:sz="0" w:space="0" w:color="auto"/>
        <w:bottom w:val="none" w:sz="0" w:space="0" w:color="auto"/>
        <w:right w:val="none" w:sz="0" w:space="0" w:color="auto"/>
      </w:divBdr>
    </w:div>
    <w:div w:id="2075811440">
      <w:bodyDiv w:val="1"/>
      <w:marLeft w:val="0"/>
      <w:marRight w:val="0"/>
      <w:marTop w:val="0"/>
      <w:marBottom w:val="0"/>
      <w:divBdr>
        <w:top w:val="none" w:sz="0" w:space="0" w:color="auto"/>
        <w:left w:val="none" w:sz="0" w:space="0" w:color="auto"/>
        <w:bottom w:val="none" w:sz="0" w:space="0" w:color="auto"/>
        <w:right w:val="none" w:sz="0" w:space="0" w:color="auto"/>
      </w:divBdr>
    </w:div>
    <w:div w:id="20857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s.vnu.edu.vn/EAB/article/view/83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Users\anhle\Desktop\Nghiencuu\Data%20bai%201\Bieu%20do%202.%20Ty%20trong%20XNK%20ASE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'[Bieu do 2. Ty trong XNK ASEAN.xlsx]Ty trong XNK VN ASEAN 1990 2020'!$B$1</c:f>
              <c:strCache>
                <c:ptCount val="1"/>
                <c:pt idx="0">
                  <c:v>Tỷ trọng Xuất khẩu ASEAN (%)</c:v>
                </c:pt>
              </c:strCache>
            </c:strRef>
          </c:tx>
          <c:spPr>
            <a:ln w="9525" cap="rnd">
              <a:solidFill>
                <a:schemeClr val="accent1"/>
              </a:solidFill>
              <a:round/>
            </a:ln>
            <a:effectLst/>
          </c:spPr>
          <c:marker>
            <c:symbol val="none"/>
          </c:marker>
          <c:cat>
            <c:numRef>
              <c:f>'[Bieu do 2. Ty trong XNK ASEAN.xlsx]Ty trong XNK VN ASEAN 1990 2020'!$A$2:$A$36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'[Bieu do 2. Ty trong XNK ASEAN.xlsx]Ty trong XNK VN ASEAN 1990 2020'!$B$2:$B$36</c:f>
              <c:numCache>
                <c:formatCode>General</c:formatCode>
                <c:ptCount val="35"/>
                <c:pt idx="0">
                  <c:v>13.81</c:v>
                </c:pt>
                <c:pt idx="1">
                  <c:v>23.96</c:v>
                </c:pt>
                <c:pt idx="2">
                  <c:v>19.739999999999998</c:v>
                </c:pt>
                <c:pt idx="3">
                  <c:v>21.53</c:v>
                </c:pt>
                <c:pt idx="4">
                  <c:v>22.02</c:v>
                </c:pt>
                <c:pt idx="5">
                  <c:v>19.79</c:v>
                </c:pt>
                <c:pt idx="6">
                  <c:v>23.82</c:v>
                </c:pt>
                <c:pt idx="7">
                  <c:v>21.32</c:v>
                </c:pt>
                <c:pt idx="8">
                  <c:v>21.71</c:v>
                </c:pt>
                <c:pt idx="9">
                  <c:v>21.8</c:v>
                </c:pt>
                <c:pt idx="10">
                  <c:v>18.09</c:v>
                </c:pt>
                <c:pt idx="11">
                  <c:v>16.98</c:v>
                </c:pt>
                <c:pt idx="12">
                  <c:v>14.56</c:v>
                </c:pt>
                <c:pt idx="13">
                  <c:v>14.65</c:v>
                </c:pt>
                <c:pt idx="14">
                  <c:v>15.25</c:v>
                </c:pt>
                <c:pt idx="15">
                  <c:v>17.649999999999999</c:v>
                </c:pt>
                <c:pt idx="16">
                  <c:v>16.62</c:v>
                </c:pt>
                <c:pt idx="17">
                  <c:v>16.68</c:v>
                </c:pt>
                <c:pt idx="18">
                  <c:v>16.46</c:v>
                </c:pt>
                <c:pt idx="19">
                  <c:v>14.92</c:v>
                </c:pt>
                <c:pt idx="20">
                  <c:v>14.73</c:v>
                </c:pt>
                <c:pt idx="21">
                  <c:v>14.55</c:v>
                </c:pt>
                <c:pt idx="22">
                  <c:v>15.56</c:v>
                </c:pt>
                <c:pt idx="23">
                  <c:v>14.35</c:v>
                </c:pt>
                <c:pt idx="24">
                  <c:v>13.09</c:v>
                </c:pt>
                <c:pt idx="25">
                  <c:v>11.38</c:v>
                </c:pt>
                <c:pt idx="26">
                  <c:v>9.9499999999999993</c:v>
                </c:pt>
                <c:pt idx="27">
                  <c:v>10.19</c:v>
                </c:pt>
                <c:pt idx="28">
                  <c:v>10.38</c:v>
                </c:pt>
                <c:pt idx="29">
                  <c:v>9.74</c:v>
                </c:pt>
                <c:pt idx="30">
                  <c:v>8.35</c:v>
                </c:pt>
                <c:pt idx="31">
                  <c:v>8.73</c:v>
                </c:pt>
                <c:pt idx="32">
                  <c:v>9.1999999999999993</c:v>
                </c:pt>
                <c:pt idx="33">
                  <c:v>9.44</c:v>
                </c:pt>
                <c:pt idx="34">
                  <c:v>8.7100000000000009</c:v>
                </c:pt>
              </c:numCache>
            </c:numRef>
          </c:val>
          <c:smooth val="0"/>
          <c:extLst>
            <c:ext xmlns:c16="http://schemas.microsoft.com/office/drawing/2014/chart" uri="{C3380CC4-5D6E-409C-BE32-E72D297353CC}">
              <c16:uniqueId val="{00000000-B4DB-5846-BE7A-5296E52AD54C}"/>
            </c:ext>
          </c:extLst>
        </c:ser>
        <c:ser>
          <c:idx val="1"/>
          <c:order val="1"/>
          <c:tx>
            <c:strRef>
              <c:f>'[Bieu do 2. Ty trong XNK ASEAN.xlsx]Ty trong XNK VN ASEAN 1990 2020'!$C$1</c:f>
              <c:strCache>
                <c:ptCount val="1"/>
                <c:pt idx="0">
                  <c:v>Tỷ trọng Nhập khẩu (từ ASEAN (%)</c:v>
                </c:pt>
              </c:strCache>
            </c:strRef>
          </c:tx>
          <c:spPr>
            <a:ln w="9525" cap="rnd">
              <a:solidFill>
                <a:schemeClr val="accent2"/>
              </a:solidFill>
              <a:round/>
            </a:ln>
            <a:effectLst/>
          </c:spPr>
          <c:marker>
            <c:symbol val="none"/>
          </c:marker>
          <c:cat>
            <c:numRef>
              <c:f>'[Bieu do 2. Ty trong XNK ASEAN.xlsx]Ty trong XNK VN ASEAN 1990 2020'!$A$2:$A$36</c:f>
              <c:numCache>
                <c:formatCode>General</c:formatCode>
                <c:ptCount val="35"/>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pt idx="27">
                  <c:v>2017</c:v>
                </c:pt>
                <c:pt idx="28">
                  <c:v>2018</c:v>
                </c:pt>
                <c:pt idx="29">
                  <c:v>2019</c:v>
                </c:pt>
                <c:pt idx="30">
                  <c:v>2020</c:v>
                </c:pt>
                <c:pt idx="31">
                  <c:v>2021</c:v>
                </c:pt>
                <c:pt idx="32">
                  <c:v>2022</c:v>
                </c:pt>
                <c:pt idx="33">
                  <c:v>2023</c:v>
                </c:pt>
                <c:pt idx="34">
                  <c:v>2024</c:v>
                </c:pt>
              </c:numCache>
            </c:numRef>
          </c:cat>
          <c:val>
            <c:numRef>
              <c:f>'[Bieu do 2. Ty trong XNK ASEAN.xlsx]Ty trong XNK VN ASEAN 1990 2020'!$C$2:$C$36</c:f>
              <c:numCache>
                <c:formatCode>General</c:formatCode>
                <c:ptCount val="35"/>
                <c:pt idx="0">
                  <c:v>18.989999999999998</c:v>
                </c:pt>
                <c:pt idx="1">
                  <c:v>32.67</c:v>
                </c:pt>
                <c:pt idx="2">
                  <c:v>31.49</c:v>
                </c:pt>
                <c:pt idx="3">
                  <c:v>33.6</c:v>
                </c:pt>
                <c:pt idx="4">
                  <c:v>29</c:v>
                </c:pt>
                <c:pt idx="5">
                  <c:v>28.45</c:v>
                </c:pt>
                <c:pt idx="6">
                  <c:v>26.51</c:v>
                </c:pt>
                <c:pt idx="7">
                  <c:v>27.33</c:v>
                </c:pt>
                <c:pt idx="8">
                  <c:v>29.94</c:v>
                </c:pt>
                <c:pt idx="9">
                  <c:v>28.03</c:v>
                </c:pt>
                <c:pt idx="10">
                  <c:v>28.43</c:v>
                </c:pt>
                <c:pt idx="11">
                  <c:v>25.72</c:v>
                </c:pt>
                <c:pt idx="12">
                  <c:v>24.15</c:v>
                </c:pt>
                <c:pt idx="13">
                  <c:v>23.55</c:v>
                </c:pt>
                <c:pt idx="14">
                  <c:v>24.3</c:v>
                </c:pt>
                <c:pt idx="15">
                  <c:v>25.37</c:v>
                </c:pt>
                <c:pt idx="16">
                  <c:v>27.95</c:v>
                </c:pt>
                <c:pt idx="17">
                  <c:v>25.35</c:v>
                </c:pt>
                <c:pt idx="18">
                  <c:v>24.24</c:v>
                </c:pt>
                <c:pt idx="19">
                  <c:v>19.75</c:v>
                </c:pt>
                <c:pt idx="20">
                  <c:v>19.68</c:v>
                </c:pt>
                <c:pt idx="21">
                  <c:v>20.03</c:v>
                </c:pt>
                <c:pt idx="22">
                  <c:v>18.59</c:v>
                </c:pt>
                <c:pt idx="23">
                  <c:v>16.52</c:v>
                </c:pt>
                <c:pt idx="24">
                  <c:v>15.89</c:v>
                </c:pt>
                <c:pt idx="25">
                  <c:v>14.5</c:v>
                </c:pt>
                <c:pt idx="26">
                  <c:v>13.88</c:v>
                </c:pt>
                <c:pt idx="27">
                  <c:v>13.43</c:v>
                </c:pt>
                <c:pt idx="28">
                  <c:v>13.68</c:v>
                </c:pt>
                <c:pt idx="29">
                  <c:v>12.94</c:v>
                </c:pt>
                <c:pt idx="30">
                  <c:v>11.81</c:v>
                </c:pt>
                <c:pt idx="31">
                  <c:v>12.65</c:v>
                </c:pt>
                <c:pt idx="32">
                  <c:v>13.46</c:v>
                </c:pt>
                <c:pt idx="33">
                  <c:v>12.93</c:v>
                </c:pt>
                <c:pt idx="34">
                  <c:v>11.54</c:v>
                </c:pt>
              </c:numCache>
            </c:numRef>
          </c:val>
          <c:smooth val="0"/>
          <c:extLst>
            <c:ext xmlns:c16="http://schemas.microsoft.com/office/drawing/2014/chart" uri="{C3380CC4-5D6E-409C-BE32-E72D297353CC}">
              <c16:uniqueId val="{00000001-B4DB-5846-BE7A-5296E52AD54C}"/>
            </c:ext>
          </c:extLst>
        </c:ser>
        <c:dLbls>
          <c:showLegendKey val="0"/>
          <c:showVal val="0"/>
          <c:showCatName val="0"/>
          <c:showSerName val="0"/>
          <c:showPercent val="0"/>
          <c:showBubbleSize val="0"/>
        </c:dLbls>
        <c:smooth val="0"/>
        <c:axId val="171311104"/>
        <c:axId val="171312640"/>
      </c:lineChart>
      <c:catAx>
        <c:axId val="17131110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312640"/>
        <c:crosses val="autoZero"/>
        <c:auto val="1"/>
        <c:lblAlgn val="ctr"/>
        <c:lblOffset val="100"/>
        <c:noMultiLvlLbl val="0"/>
      </c:catAx>
      <c:valAx>
        <c:axId val="1713126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7131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EF0464-318A-4442-8391-E8F6B5D63328}">
  <we:reference id="wa104381909" version="3.14.3.0" store="en-US" storeType="OMEX"/>
  <we:alternateReferences>
    <we:reference id="WA104381909" version="3.14.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{08FEB4F5-192E-1442-A04E-22C45EA48BEE}</b:Guid>
    <b:RefOrder>15</b:RefOrder>
  </b:Source>
  <b:Source>
    <b:Tag>And79</b:Tag>
    <b:SourceType>JournalArticle</b:SourceType>
    <b:Guid>{0465A142-9D7C-7745-AB71-C58A3C3B7B04}</b:Guid>
    <b:Title>A theoretical foundation for gravity equation</b:Title>
    <b:Year>1979</b:Year>
    <b:Author>
      <b:Author>
        <b:NameList>
          <b:Person>
            <b:Last>Anderson</b:Last>
            <b:First>J.</b:First>
            <b:Middle>E.</b:Middle>
          </b:Person>
        </b:NameList>
      </b:Author>
    </b:Author>
    <b:JournalName>American Economic Review</b:JournalName>
    <b:Pages>106–116</b:Pages>
    <b:RefOrder>16</b:RefOrder>
  </b:Source>
  <b:Source>
    <b:Tag>Asi</b:Tag>
    <b:SourceType>Report</b:SourceType>
    <b:Guid>{DFB7479A-0E3B-384C-9F6D-B20446349F05}</b:Guid>
    <b:Title>Asian regionalism and its effects on trade in the 1980s and 1990s</b:Title>
    <b:Author>
      <b:Author>
        <b:Corporate>Asian Development Bank</b:Corporate>
      </b:Author>
    </b:Author>
    <b:RefOrder>17</b:RefOrder>
  </b:Source>
  <b:Source>
    <b:Tag>Bal61</b:Tag>
    <b:SourceType>Book</b:SourceType>
    <b:Guid>{036C88AA-7B52-CF42-8F77-A997522B067C}</b:Guid>
    <b:Title>The theory of economic integration</b:Title>
    <b:Publisher>Richard D. Irwin</b:Publisher>
    <b:Year>1961</b:Year>
    <b:Author>
      <b:Author>
        <b:NameList>
          <b:Person>
            <b:Last>Balassa</b:Last>
            <b:First>B.</b:First>
          </b:Person>
        </b:NameList>
      </b:Author>
    </b:Author>
    <b:RefOrder>18</b:RefOrder>
  </b:Source>
  <b:Source>
    <b:Tag>Bal</b:Tag>
    <b:SourceType>Report</b:SourceType>
    <b:Guid>{73BF0BCD-1EE0-4645-9E09-68D7B7B55C7F}</b:Guid>
    <b:Title>A domino theory of regionalism</b:Title>
    <b:Publisher>NBER Working Paper No. 4465</b:Publisher>
    <b:Author>
      <b:Author>
        <b:NameList>
          <b:Person>
            <b:Last>Baldwin</b:Last>
            <b:First>R.</b:First>
          </b:Person>
        </b:NameList>
      </b:Author>
    </b:Author>
    <b:RefOrder>19</b:RefOrder>
  </b:Source>
  <b:Source>
    <b:Tag>Ber</b:Tag>
    <b:SourceType>JournalArticle</b:SourceType>
    <b:Guid>{D7470467-B1F9-4049-9862-C4F3F8D82D9B}</b:Guid>
    <b:Title>The gravity equation in international trade: Some microeconomic foundations and empirical evidence</b:Title>
    <b:Author>
      <b:Author>
        <b:NameList>
          <b:Person>
            <b:Last>Bergstrand</b:Last>
            <b:First>J.</b:First>
            <b:Middle>H.</b:Middle>
          </b:Person>
        </b:NameList>
      </b:Author>
    </b:Author>
    <b:JournalName>The Review of Economics and Statistics</b:JournalName>
    <b:Pages>67(3), 474–481</b:Pages>
    <b:Year>1985</b:Year>
    <b:RefOrder>20</b:RefOrder>
  </b:Source>
  <b:Source>
    <b:Tag>Ber89</b:Tag>
    <b:SourceType>JournalArticle</b:SourceType>
    <b:Guid>{CDD35831-C00D-324A-8442-1B6BCA998B43}</b:Guid>
    <b:Author>
      <b:Author>
        <b:NameList>
          <b:Person>
            <b:Last>Bergstrand</b:Last>
            <b:First>J.</b:First>
            <b:Middle>H.</b:Middle>
          </b:Person>
        </b:NameList>
      </b:Author>
    </b:Author>
    <b:Title>The generalized gravity equation, monopolistic competition and the factor-propositions in international trade</b:Title>
    <b:JournalName>The Review of Economics and Statistics</b:JournalName>
    <b:Year>1989</b:Year>
    <b:Pages>71(1), 143–153</b:Pages>
    <b:RefOrder>21</b:RefOrder>
  </b:Source>
  <b:Source>
    <b:Tag>Bha96</b:Tag>
    <b:SourceType>Report</b:SourceType>
    <b:Guid>{161CA8E8-E9B4-DD4A-87A8-D02BC4187B7B}</b:Guid>
    <b:Title>Preferential trading areas and multilateralism: Strangers, friends or foes? (Discussion paper)</b:Title>
    <b:Publisher>AEI Press</b:Publisher>
    <b:Year>1996</b:Year>
    <b:Author>
      <b:Author>
        <b:NameList>
          <b:Person>
            <b:Last>Bhagwati</b:Last>
            <b:First>J.,</b:First>
            <b:Middle>&amp; Panagariya, A.</b:Middle>
          </b:Person>
        </b:NameList>
      </b:Author>
    </b:Author>
    <b:RefOrder>22</b:RefOrder>
  </b:Source>
  <b:Source>
    <b:Tag>Bla09</b:Tag>
    <b:SourceType>Book</b:SourceType>
    <b:Guid>{0A7A9B36-25CF-C44D-920E-865D811BDB8A}</b:Guid>
    <b:Title>A dictionary of economics (3rd ed.)</b:Title>
    <b:Publisher>Oxford University Press</b:Publisher>
    <b:Year>2009</b:Year>
    <b:Author>
      <b:Author>
        <b:NameList>
          <b:Person>
            <b:Last>Black</b:Last>
            <b:First>J.,</b:First>
            <b:Middle>&amp; Myles, G.</b:Middle>
          </b:Person>
        </b:NameList>
      </b:Author>
    </b:Author>
    <b:RefOrder>23</b:RefOrder>
  </b:Source>
  <b:Source>
    <b:Tag>Dea95</b:Tag>
    <b:SourceType>Report</b:SourceType>
    <b:Guid>{667BAE52-9187-9C4B-8DB2-BD97AD3BDCCE}</b:Guid>
    <b:Title>Determinants of bilateral trade: Does gravity work in a neoclassical world?</b:Title>
    <b:Publisher>NBER Working Paper No. 5377</b:Publisher>
    <b:Year>1995</b:Year>
    <b:Author>
      <b:Author>
        <b:NameList>
          <b:Person>
            <b:Last>Deardorff</b:Last>
            <b:First>A.</b:First>
            <b:Middle>V.</b:Middle>
          </b:Person>
        </b:NameList>
      </b:Author>
    </b:Author>
    <b:RefOrder>24</b:RefOrder>
  </b:Source>
  <b:Source>
    <b:Tag>Đin11</b:Tag>
    <b:SourceType>Report</b:SourceType>
    <b:Guid>{1659529F-8456-A34C-8DAA-CC32DA6FF799}</b:Guid>
    <b:Author>
      <b:Author>
        <b:Corporate>Đinh, T. T. T. B., Nguyễn, V. D., &amp; Hoàng, M. C.</b:Corporate>
      </b:Author>
    </b:Author>
    <b:Title>Applying gravity model to analyze trade activities of Vietnam</b:Title>
    <b:Publisher>FREIT Working Paper</b:Publisher>
    <b:Year>2011</b:Year>
    <b:RefOrder>25</b:RefOrder>
  </b:Source>
  <b:Source>
    <b:Tag>Dũn11</b:Tag>
    <b:SourceType>JournalArticle</b:SourceType>
    <b:Guid>{3E34AE32-B70E-9248-B272-28C9248F867B}</b:Guid>
    <b:Title>Tác động của khu vực mậu dịch tự do ASEAN–Hàn Quốc đến thương mại Việt Nam</b:Title>
    <b:Year>2011</b:Year>
    <b:Author>
      <b:Author>
        <b:Corporate>Dũng, N. T.</b:Corporate>
      </b:Author>
    </b:Author>
    <b:JournalName>Tạp chí Kinh tế và Kinh doanh</b:JournalName>
    <b:RefOrder>26</b:RefOrder>
  </b:Source>
  <b:Source>
    <b:Tag>Eco211</b:Tag>
    <b:SourceType>Report</b:SourceType>
    <b:Guid>{4453C0CF-CBF4-DF4C-B253-4C7774BB8303}</b:Guid>
    <b:Author>
      <b:Author>
        <b:Corporate>Economic Research Institute for ASEAN and East Asia</b:Corporate>
      </b:Author>
    </b:Author>
    <b:Title>Impact of the ASEAN Trade in Goods Agreement (ATIGA) on intra-ASEAN trade</b:Title>
    <b:Publisher>ERIA</b:Publisher>
    <b:Year>2021</b:Year>
    <b:RefOrder>11</b:RefOrder>
  </b:Source>
  <b:Source>
    <b:Tag>Egg00</b:Tag>
    <b:SourceType>JournalArticle</b:SourceType>
    <b:Guid>{F710E372-1F30-F544-902B-163DFA5EF073}</b:Guid>
    <b:Title>A note on the proper econometric specification of the gravity equation</b:Title>
    <b:Year>2000</b:Year>
    <b:Author>
      <b:Author>
        <b:NameList>
          <b:Person>
            <b:Last>Egger</b:Last>
            <b:First>P.</b:First>
          </b:Person>
        </b:NameList>
      </b:Author>
    </b:Author>
    <b:JournalName>Economics Letters</b:JournalName>
    <b:Pages>66(1), 25–31</b:Pages>
    <b:RefOrder>27</b:RefOrder>
  </b:Source>
  <b:Source>
    <b:Tag>Foo19</b:Tag>
    <b:SourceType>JournalArticle</b:SourceType>
    <b:Guid>{4530EADE-0B76-5040-9412-195DB9DDBEAA}</b:Guid>
    <b:Author>
      <b:Author>
        <b:Corporate>Foo, N., Lean, H. H., &amp; Salim, R.</b:Corporate>
      </b:Author>
    </b:Author>
    <b:Title>The impact of China’s One Belt One Road initiative on international trade in the ASEAN region</b:Title>
    <b:JournalName>North American Journal of Economics &amp; Finance</b:JournalName>
    <b:Year>2019</b:Year>
    <b:RefOrder>28</b:RefOrder>
  </b:Source>
  <b:Source>
    <b:Tag>Fuk99</b:Tag>
    <b:SourceType>Report</b:SourceType>
    <b:Guid>{C922F8DA-0069-B04A-BD74-DCD661C706C3}</b:Guid>
    <b:Author>
      <b:Author>
        <b:Corporate>Fukase, E., &amp; Martin, W.</b:Corporate>
      </b:Author>
    </b:Author>
    <b:Title>A quantitative evaluation of Vietnam’s accession to the ASEAN Free Trade Area</b:Title>
    <b:Year>1999</b:Year>
    <b:Publisher>World Bank</b:Publisher>
    <b:RefOrder>2</b:RefOrder>
  </b:Source>
  <b:Source>
    <b:Tag>Cor20</b:Tag>
    <b:SourceType>JournalArticle</b:SourceType>
    <b:Guid>{0349E08F-7B16-9449-A0E1-C8CB0D819D0A}</b:Guid>
    <b:Title>Fast Poisson estimation with high-dimensional fixed effects</b:Title>
    <b:Year>2020</b:Year>
    <b:Author>
      <b:Author>
        <b:Corporate>Correia, S., Guimarães, P., &amp; Zylkin, T.</b:Corporate>
      </b:Author>
    </b:Author>
    <b:JournalName>The Stata Journal</b:JournalName>
    <b:Pages>20(1), 95–115</b:Pages>
    <b:RefOrder>29</b:RefOrder>
  </b:Source>
  <b:Source>
    <b:Tag>Ell</b:Tag>
    <b:SourceType>JournalArticle</b:SourceType>
    <b:Guid>{6D9A29DA-E316-CF4A-9F83-373F3480C38E}</b:Guid>
    <b:Author>
      <b:Author>
        <b:Corporate>Elliott, R. J. R., &amp; Ikemoto, K.</b:Corporate>
      </b:Author>
    </b:Author>
    <b:Title>AFTA and the Asian crisis: Help or hindrance to ASEAN intra-regional trade?</b:Title>
    <b:JournalName>Asian Economic Journal</b:JournalName>
    <b:Pages>18(1), 1–23</b:Pages>
    <b:Year>2004</b:Year>
    <b:RefOrder>4</b:RefOrder>
  </b:Source>
  <b:Source>
    <b:Tag>Eve02</b:Tag>
    <b:SourceType>JournalArticle</b:SourceType>
    <b:Guid>{93B14626-AADB-D744-983D-C1A7EA6464EB}</b:Guid>
    <b:Author>
      <b:Author>
        <b:Corporate>Evenett, S. J., &amp; Keller, W.</b:Corporate>
      </b:Author>
    </b:Author>
    <b:Title>On theories explaining the success of the gravity equation</b:Title>
    <b:JournalName>Journal of Political Economy</b:JournalName>
    <b:Year>2002</b:Year>
    <b:Pages>110(2), 281–316</b:Pages>
    <b:RefOrder>30</b:RefOrder>
  </b:Source>
  <b:Source>
    <b:Tag>Ber15</b:Tag>
    <b:SourceType>JournalArticle</b:SourceType>
    <b:Guid>{24A96B71-515B-5641-86E3-198DF7B801FD}</b:Guid>
    <b:Author>
      <b:Author>
        <b:Corporate>Bergstrand, J. H., Larch, M., &amp; Yotov, Y. V.</b:Corporate>
      </b:Author>
    </b:Author>
    <b:Title>Economic integration agreements, border effects, and distance elasticities in the gravity equation</b:Title>
    <b:JournalName>European Economic Review</b:JournalName>
    <b:Year>2015</b:Year>
    <b:Pages>78, 307–327</b:Pages>
    <b:RefOrder>31</b:RefOrder>
  </b:Source>
  <b:Source>
    <b:Tag>Bha95</b:Tag>
    <b:SourceType>Book</b:SourceType>
    <b:Guid>{224937D7-AE7C-C84F-B2B9-32E3BBFCF7D4}</b:Guid>
    <b:Title>The dangerous drift of preferential trading areas</b:Title>
    <b:Year>1995</b:Year>
    <b:Author>
      <b:Author>
        <b:Corporate>Bhagwati, J., &amp; Krueger, A.</b:Corporate>
      </b:Author>
    </b:Author>
    <b:Publisher>AEI Press</b:Publisher>
    <b:RefOrder>32</b:RefOrder>
  </b:Source>
  <b:Source>
    <b:Tag>DeB11</b:Tag>
    <b:SourceType>Book</b:SourceType>
    <b:Guid>{6609910C-F82A-524D-811F-85266A5EFD42}</b:Guid>
    <b:Title>The trade impact of European Union preferential policies: An analysis through gravity model</b:Title>
    <b:Year>2011</b:Year>
    <b:Author>
      <b:Author>
        <b:Corporate>De Benedictis, L., &amp; Salvatici, L. (Eds.)</b:Corporate>
      </b:Author>
    </b:Author>
    <b:Publisher>Springer</b:Publisher>
    <b:RefOrder>33</b:RefOrder>
  </b:Source>
  <b:Source>
    <b:Tag>Eco21</b:Tag>
    <b:SourceType>Report</b:SourceType>
    <b:Guid>{420F8D31-5DF0-2A45-9350-1486F2835DDB}</b:Guid>
    <b:Title>Impact of the ASEAN Trade in Goods Agreement (ATIGA) on intra-ASEAN trade</b:Title>
    <b:Year>2021</b:Year>
    <b:Author>
      <b:Author>
        <b:Corporate>Asia, Economic Research Institute for ASEAN and East</b:Corporate>
      </b:Author>
    </b:Author>
    <b:Publisher>ERIA</b:Publisher>
    <b:RefOrder>34</b:RefOrder>
  </b:Source>
  <b:Source>
    <b:Tag>Bal06</b:Tag>
    <b:SourceType>Report</b:SourceType>
    <b:Guid>{C604A3BC-6A11-F548-B015-F8B7AE26B296}</b:Guid>
    <b:Author>
      <b:Author>
        <b:Corporate>Baldwin, R., &amp; Taglioni, D.</b:Corporate>
      </b:Author>
    </b:Author>
    <b:Title>Gravity for dummies and dummies for gravity equations</b:Title>
    <b:Publisher>NBER Working Paper No. 12516</b:Publisher>
    <b:Year>2006</b:Year>
    <b:RefOrder>35</b:RefOrder>
  </b:Source>
  <b:Source>
    <b:Tag>Hap06</b:Tag>
    <b:SourceType>Report</b:SourceType>
    <b:Guid>{52946717-F5EF-834B-BBDD-7CFCF4A15A41}</b:Guid>
    <b:Author>
      <b:Author>
        <b:Corporate>Hapsari, I. M., &amp; Mangunsong, C.</b:Corporate>
      </b:Author>
    </b:Author>
    <b:Title>Determinants of AFTA member’s trade flows and potential for trade diversion (ARTNeT Trade Working Paper No. 21)</b:Title>
    <b:Publisher>United Nations ESCAP</b:Publisher>
    <b:Year>2006</b:Year>
    <b:RefOrder>36</b:RefOrder>
  </b:Source>
  <b:Source>
    <b:Tag>Hun</b:Tag>
    <b:SourceType>JournalArticle</b:SourceType>
    <b:Guid>{B5EA483B-B625-2A40-869C-9ED77F9331EF}</b:Guid>
    <b:Title>ASEAN plus three: Towards a new age of pan-east Asian regionalism? A skeptic’s appraisal</b:Title>
    <b:Author>
      <b:Author>
        <b:NameList>
          <b:Person>
            <b:Last>Hund</b:Last>
            <b:First>M.</b:First>
          </b:Person>
        </b:NameList>
      </b:Author>
    </b:Author>
    <b:JournalName>The Pacific Review</b:JournalName>
    <b:Pages>16(3), 383–417</b:Pages>
    <b:Year>2003</b:Year>
    <b:RefOrder>37</b:RefOrder>
  </b:Source>
  <b:Source>
    <b:Tag>Huỳ</b:Tag>
    <b:SourceType>JournalArticle</b:SourceType>
    <b:Guid>{760054C9-95A5-2443-955A-5F1854263F60}</b:Guid>
    <b:Author>
      <b:Author>
        <b:Corporate>Huỳnh, T. D. L., &amp; Hoàng, T. H.</b:Corporate>
      </b:Author>
    </b:Author>
    <b:Title>Tác động của Hiệp định thương mại tự do đối với xuất nhập khẩu Việt Nam: Áp dụng mô hình trọng lực (gravity model) với các nhân tố cố định</b:Title>
    <b:JournalName>Tạp chí Kinh tế Phát triển</b:JournalName>
    <b:Pages>267</b:Pages>
    <b:RefOrder>38</b:RefOrder>
  </b:Source>
  <b:Source>
    <b:Tag>Int13</b:Tag>
    <b:SourceType>Report</b:SourceType>
    <b:Guid>{83EB0420-6922-A844-88F6-46E155405752}</b:Guid>
    <b:Title>Understanding a computable general equilibrium model</b:Title>
    <b:Year>2013</b:Year>
    <b:Author>
      <b:Author>
        <b:Corporate>Inter-American Development Bank</b:Corporate>
      </b:Author>
    </b:Author>
    <b:Publisher>IADB</b:Publisher>
    <b:RefOrder>39</b:RefOrder>
  </b:Source>
  <b:Source>
    <b:Tag>LeT21</b:Tag>
    <b:SourceType>JournalArticle</b:SourceType>
    <b:Guid>{2BF389F5-248E-8C48-94A0-25E98CEC9F8C}</b:Guid>
    <b:Title>The impact of tariffs on Vietnam's trade in the Comprehensive and Progressive Agreement for Trans-Pacific Partnership (CPTPP)</b:Title>
    <b:Year>2021</b:Year>
    <b:Author>
      <b:Author>
        <b:Corporate>Le, T. A. T.</b:Corporate>
      </b:Author>
    </b:Author>
    <b:JournalName>The Journal of Asian Finance, Economics and Business</b:JournalName>
    <b:Pages>8(3), 771–780</b:Pages>
    <b:RefOrder>12</b:RefOrder>
  </b:Source>
  <b:Source>
    <b:Tag>Ngo</b:Tag>
    <b:SourceType>JournalArticle</b:SourceType>
    <b:Guid>{3DB25712-35E4-2046-ABE0-C7D0E1C8E71D}</b:Guid>
    <b:Author>
      <b:Author>
        <b:Corporate>Ngo, T. M., &amp; Nguyen, T. T. T.</b:Corporate>
      </b:Author>
    </b:Author>
    <b:Title>Factors affecting Vietnam's goods exports to the comprehensive and progressive agreement for Trans-Pacific partnership members: A gravity model approach</b:Title>
    <b:JournalName>International Journal on Food System Dynamics</b:JournalName>
    <b:Pages>16(1), 97–106</b:Pages>
    <b:Year>2021</b:Year>
    <b:RefOrder>13</b:RefOrder>
  </b:Source>
  <b:Source>
    <b:Tag>San06</b:Tag>
    <b:SourceType>JournalArticle</b:SourceType>
    <b:Guid>{4EE766B6-D664-FF43-8ADE-6DF0BCEB218D}</b:Guid>
    <b:Author>
      <b:Author>
        <b:Corporate>Santos Silva, J. M. C., &amp; Tenreyro, S.</b:Corporate>
      </b:Author>
    </b:Author>
    <b:Title>The log of gravity</b:Title>
    <b:JournalName>The Review of Economics and Statistics</b:JournalName>
    <b:Year>2006</b:Year>
    <b:Pages>88(4), 641–658</b:Pages>
    <b:RefOrder>40</b:RefOrder>
  </b:Source>
  <b:Source>
    <b:Tag>Tha21</b:Tag>
    <b:SourceType>JournalArticle</b:SourceType>
    <b:Guid>{05F6B3D5-88F7-A941-B11D-4D23C960FBE6}</b:Guid>
    <b:Author>
      <b:Author>
        <b:Corporate>Thangavelu, S. M., Wang, W., &amp; Oum, S.</b:Corporate>
      </b:Author>
    </b:Author>
    <b:Title>Impact of FTA on trade in ASEAN and Australia using customs level data</b:Title>
    <b:JournalName>The Journal of Economic Integration</b:JournalName>
    <b:Year>2021</b:Year>
    <b:Pages>36(3), 437–461</b:Pages>
    <b:RefOrder>14</b:RefOrder>
  </b:Source>
  <b:Source>
    <b:Tag>Yot16</b:Tag>
    <b:SourceType>Book</b:SourceType>
    <b:Guid>{75B3D21B-9990-4A45-94DE-63426D5BA58F}</b:Guid>
    <b:Title>An advanced guide to trade policy analysis: The structural gravity model</b:Title>
    <b:Year>2016</b:Year>
    <b:Author>
      <b:Author>
        <b:Corporate>Yotov, Y. V., Piermartini, R., Monteiro, J. A., &amp; Larch, M.</b:Corporate>
      </b:Author>
    </b:Author>
    <b:Publisher>World Trade Organization</b:Publisher>
    <b:RefOrder>41</b:RefOrder>
  </b:Source>
  <b:Source>
    <b:Tag>Oka14</b:Tag>
    <b:SourceType>JournalArticle</b:SourceType>
    <b:Guid>{66F290D2-DF13-2948-9C65-30A5895F7FD2}</b:Guid>
    <b:Title>The impact of AFTA on intra-AFTA trade.</b:Title>
    <b:Year>2014</b:Year>
    <b:Author>
      <b:Author>
        <b:Corporate>Okabe, M., &amp; Urata, S.</b:Corporate>
      </b:Author>
    </b:Author>
    <b:JournalName>Journal of Asian Economics</b:JournalName>
    <b:Pages>35, 12–31</b:Pages>
    <b:RefOrder>6</b:RefOrder>
  </b:Source>
  <b:Source>
    <b:Tag>TừT08</b:Tag>
    <b:SourceType>Report</b:SourceType>
    <b:Guid>{62297EAF-6B94-6246-827A-85A3FF0286B0}</b:Guid>
    <b:Title>Các nhân tố ảnh hưởng đến mức độ tập trung thương mại của Việt Nam với ASEAN+3</b:Title>
    <b:Year>2008</b:Year>
    <b:Author>
      <b:Author>
        <b:Corporate>Từ, T. A., &amp; Đào, N. T.</b:Corporate>
      </b:Author>
    </b:Author>
    <b:Publisher>Trung tâm Nghiên cứu Kinh tế và Chính sách (VEPR), Trường Đại học Kinh tế – Đại học Quốc gia Hà Nội.</b:Publisher>
    <b:RefOrder>10</b:RefOrder>
  </b:Source>
  <b:Source>
    <b:Tag>DoB14</b:Tag>
    <b:SourceType>Report</b:SourceType>
    <b:Guid>{F5CD9BBE-C984-F84C-9E92-215E294D14BB}</b:Guid>
    <b:Author>
      <b:Author>
        <b:Corporate>Đỗ, B. K.</b:Corporate>
      </b:Author>
    </b:Author>
    <b:Title>Trade effects of ASEAN Free Trade Area (AFTA) membership [Doctoral dissertation]</b:Title>
    <b:Publisher>Dartmouth College</b:Publisher>
    <b:Year>2014</b:Year>
    <b:RefOrder>9</b:RefOrder>
  </b:Source>
  <b:Source>
    <b:Tag>Ngu15</b:Tag>
    <b:SourceType>JournalArticle</b:SourceType>
    <b:Guid>{A7A3333E-DE81-674C-9036-3218D5054E84}</b:Guid>
    <b:Title>Tác động của Cộng đồng Kinh tế ASEAN đến thương mại Việt Nam</b:Title>
    <b:Year>2015</b:Year>
    <b:Author>
      <b:Author>
        <b:Corporate>Nguyễn, A. T., Vũ, T. H., Vũ, V. T., &amp; Lê, T. T. X.</b:Corporate>
      </b:Author>
    </b:Author>
    <b:JournalName>Tạp chí Khoa học ĐHQGHN: Kinh tế và Kinh doanh</b:JournalName>
    <b:Pages>31(4), 39–50.</b:Pages>
    <b:RefOrder>8</b:RefOrder>
  </b:Source>
  <b:Source>
    <b:Tag>Ita14</b:Tag>
    <b:SourceType>JournalArticle</b:SourceType>
    <b:Guid>{593DD37A-1CE1-D944-AD1F-16F6A8E328AB}</b:Guid>
    <b:Author>
      <b:Author>
        <b:NameList>
          <b:Person>
            <b:Last>Itakura</b:Last>
            <b:First>K.</b:First>
          </b:Person>
        </b:NameList>
      </b:Author>
    </b:Author>
    <b:Title>Impact of liberalization and improved connectivity and facilitation in ASEAN</b:Title>
    <b:JournalName>Journal of Asian Economics</b:JournalName>
    <b:Year>2014</b:Year>
    <b:Pages>35, 2–11.</b:Pages>
    <b:RefOrder>7</b:RefOrder>
  </b:Source>
  <b:Source>
    <b:Tag>Ngu09</b:Tag>
    <b:SourceType>JournalArticle</b:SourceType>
    <b:Guid>{9C41EBBF-406D-A447-9027-8645FA7E5648}</b:Guid>
    <b:Author>
      <b:Author>
        <b:NameList>
          <b:Person>
            <b:Last>Nguyen</b:Last>
            <b:First>T.</b:First>
            <b:Middle>K.</b:Middle>
          </b:Person>
        </b:NameList>
      </b:Author>
    </b:Author>
    <b:Title>Gravity model by panel data approach: An empirical application with implications for the ASEAN Free Trade Area</b:Title>
    <b:JournalName>ASEAN Economic Bulletin</b:JournalName>
    <b:Year>2009</b:Year>
    <b:Pages>266–277</b:Pages>
    <b:RefOrder>5</b:RefOrder>
  </b:Source>
  <b:Source>
    <b:Tag>Sol01</b:Tag>
    <b:SourceType>JournalArticle</b:SourceType>
    <b:Guid>{F83BC94E-DB28-CA40-B1B1-769E2D7842EE}</b:Guid>
    <b:Author>
      <b:Author>
        <b:Corporate>Soloaga, I., &amp; Winters, L. A.</b:Corporate>
      </b:Author>
    </b:Author>
    <b:Title>Regionalism in the nineties: What effect on trade?</b:Title>
    <b:JournalName>The North American Journal of Economics and Finance</b:JournalName>
    <b:Year>2001</b:Year>
    <b:Pages>12(1), 1–29.</b:Pages>
    <b:RefOrder>3</b:RefOrder>
  </b:Source>
  <b:Source>
    <b:Tag>Vin50</b:Tag>
    <b:SourceType>Book</b:SourceType>
    <b:Guid>{64D99BD0-5D71-E243-A091-885BE74953AD}</b:Guid>
    <b:Title>The customs union issue</b:Title>
    <b:Year>1950</b:Year>
    <b:Author>
      <b:Author>
        <b:NameList>
          <b:Person>
            <b:Last>Viner</b:Last>
            <b:First>J.</b:First>
          </b:Person>
        </b:NameList>
      </b:Author>
    </b:Author>
    <b:Publisher>Carnegie Endowment for International Peace.</b:Publisher>
    <b:RefOrder>1</b:RefOrder>
  </b:Source>
</b:Sources>
</file>

<file path=customXml/itemProps1.xml><?xml version="1.0" encoding="utf-8"?>
<ds:datastoreItem xmlns:ds="http://schemas.openxmlformats.org/officeDocument/2006/customXml" ds:itemID="{78A32E9A-A183-4F66-ABF4-5C969D46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11</Pages>
  <Words>4034</Words>
  <Characters>22995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Anh</dc:creator>
  <cp:keywords/>
  <dc:description/>
  <cp:lastModifiedBy>Hương Lan</cp:lastModifiedBy>
  <cp:revision>33</cp:revision>
  <cp:lastPrinted>2026-03-17T12:41:00Z</cp:lastPrinted>
  <dcterms:created xsi:type="dcterms:W3CDTF">2026-03-25T03:31:00Z</dcterms:created>
  <dcterms:modified xsi:type="dcterms:W3CDTF">2026-04-25T05:03:00Z</dcterms:modified>
</cp:coreProperties>
</file>