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6E4C39E4" w:rsidR="005D2465" w:rsidRDefault="00650C3D">
      <w:pPr>
        <w:ind w:firstLine="720"/>
        <w:jc w:val="center"/>
        <w:rPr>
          <w:rFonts w:ascii="Times New Roman" w:eastAsia="Times New Roman" w:hAnsi="Times New Roman" w:cs="Times New Roman"/>
          <w:b/>
          <w:bCs/>
          <w:sz w:val="28"/>
          <w:szCs w:val="28"/>
        </w:rPr>
      </w:pPr>
      <w:bookmarkStart w:id="0" w:name="_GoBack"/>
      <w:r>
        <w:rPr>
          <w:rFonts w:ascii="Times New Roman" w:eastAsia="Times New Roman" w:hAnsi="Times New Roman" w:cs="Times New Roman"/>
          <w:b/>
          <w:bCs/>
          <w:sz w:val="28"/>
          <w:szCs w:val="28"/>
        </w:rPr>
        <w:t xml:space="preserve">Tài chính xanh tại Việt Nam: </w:t>
      </w:r>
      <w:r w:rsidR="002A03C5">
        <w:rPr>
          <w:rFonts w:ascii="Times New Roman" w:eastAsia="Times New Roman" w:hAnsi="Times New Roman" w:cs="Times New Roman"/>
          <w:b/>
          <w:bCs/>
          <w:sz w:val="28"/>
          <w:szCs w:val="28"/>
          <w:lang w:val="en-US"/>
        </w:rPr>
        <w:t>C</w:t>
      </w:r>
      <w:r>
        <w:rPr>
          <w:rFonts w:ascii="Times New Roman" w:eastAsia="Times New Roman" w:hAnsi="Times New Roman" w:cs="Times New Roman"/>
          <w:b/>
          <w:bCs/>
          <w:sz w:val="28"/>
          <w:szCs w:val="28"/>
        </w:rPr>
        <w:t>ơ hội và thách thức cho sự phát triển kinh tế bền vững</w:t>
      </w:r>
    </w:p>
    <w:p w14:paraId="00000002" w14:textId="77777777" w:rsidR="005D2465" w:rsidRDefault="00650C3D">
      <w:pPr>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Nguyễn Bích Thảo Uyên</w:t>
      </w:r>
    </w:p>
    <w:p w14:paraId="00000003" w14:textId="77777777" w:rsidR="005D2465" w:rsidRDefault="00650C3D">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Đại học Công nghiệp Thành phố Hồ Chí Minh</w:t>
      </w:r>
    </w:p>
    <w:p w14:paraId="00000004" w14:textId="77777777" w:rsidR="005D2465" w:rsidRDefault="00650C3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Tóm tắt:</w:t>
      </w:r>
    </w:p>
    <w:p w14:paraId="00000005" w14:textId="4B7BAF48" w:rsidR="005D2465" w:rsidRDefault="00650C3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Bài viết hệ thống hóa khung lý luận về tài chính xanh, đồng thời phân tích thực trạng </w:t>
      </w:r>
      <w:r>
        <w:rPr>
          <w:rFonts w:ascii="Times New Roman" w:eastAsia="Times New Roman" w:hAnsi="Times New Roman" w:cs="Times New Roman"/>
          <w:sz w:val="28"/>
          <w:szCs w:val="28"/>
        </w:rPr>
        <w:t>triển khai tại các doanh nghiệp Việt Nam. Kết quả chỉ ra, tài chính xanh mở ra những cơ hội đáng kể cho doanh nghiệp trong việc tiếp cận nguồn vốn ưu đãi, cải thiện hiệu quả vận hành và gia tăng giá trị thương hiệu. Tuy nhiên, quá trình triển khai cũng đặt</w:t>
      </w:r>
      <w:r>
        <w:rPr>
          <w:rFonts w:ascii="Times New Roman" w:eastAsia="Times New Roman" w:hAnsi="Times New Roman" w:cs="Times New Roman"/>
          <w:sz w:val="28"/>
          <w:szCs w:val="28"/>
        </w:rPr>
        <w:t xml:space="preserve"> ra không ít thách thức</w:t>
      </w:r>
      <w:r>
        <w:rPr>
          <w:rFonts w:ascii="Times New Roman" w:eastAsia="Times New Roman" w:hAnsi="Times New Roman" w:cs="Times New Roman"/>
          <w:sz w:val="28"/>
          <w:szCs w:val="28"/>
        </w:rPr>
        <w:t xml:space="preserve">. Trên cơ sở đó, nghiên cứu đề </w:t>
      </w:r>
      <w:r>
        <w:rPr>
          <w:rFonts w:ascii="Times New Roman" w:eastAsia="Times New Roman" w:hAnsi="Times New Roman" w:cs="Times New Roman"/>
          <w:sz w:val="28"/>
          <w:szCs w:val="28"/>
        </w:rPr>
        <w:t>xuất một số giải pháp nhằm tích hợp tài chính xanh vào chiến lược phát triển doanh nghiệp, xây dựng hệ thống báo cáo ESG, đa dạng hóa cấu trúc nguồn vốn và nâng cao năng lực đội ngũ nhân sự. Nghiên cứu đóng góp góc nhìn quản trị chiến lược về tài chính xan</w:t>
      </w:r>
      <w:r>
        <w:rPr>
          <w:rFonts w:ascii="Times New Roman" w:eastAsia="Times New Roman" w:hAnsi="Times New Roman" w:cs="Times New Roman"/>
          <w:sz w:val="28"/>
          <w:szCs w:val="28"/>
        </w:rPr>
        <w:t>h trong bối cảnh Việt Nam, từ đó cung cấp luận cứ khoa học phục vụ doanh nghiệp trong tiến trình phát triển bền vững.</w:t>
      </w:r>
    </w:p>
    <w:p w14:paraId="00000006" w14:textId="77777777" w:rsidR="005D2465" w:rsidRDefault="00650C3D">
      <w:pPr>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Từ khóa: tài chính xanh, phát triển bền vững, phân loại xanh, số hóa, trí tuệ nhân tạo.</w:t>
      </w:r>
    </w:p>
    <w:bookmarkEnd w:id="0"/>
    <w:p w14:paraId="00000007" w14:textId="77777777" w:rsidR="005D2465" w:rsidRDefault="00650C3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Đặt vấn đề</w:t>
      </w:r>
    </w:p>
    <w:p w14:paraId="00000008" w14:textId="1A7B841D" w:rsidR="005D2465" w:rsidRDefault="00DE0B08">
      <w:pPr>
        <w:ind w:firstLine="720"/>
        <w:jc w:val="both"/>
        <w:rPr>
          <w:rFonts w:ascii="Times New Roman" w:eastAsia="Times New Roman" w:hAnsi="Times New Roman" w:cs="Times New Roman"/>
          <w:sz w:val="28"/>
          <w:szCs w:val="28"/>
        </w:rPr>
      </w:pPr>
      <w:r w:rsidRPr="00650C3D">
        <w:rPr>
          <w:rFonts w:ascii="Times New Roman" w:eastAsia="Times New Roman" w:hAnsi="Times New Roman" w:cs="Times New Roman"/>
          <w:sz w:val="28"/>
          <w:szCs w:val="28"/>
        </w:rPr>
        <w:t>N</w:t>
      </w:r>
      <w:r w:rsidR="00650C3D">
        <w:rPr>
          <w:rFonts w:ascii="Times New Roman" w:eastAsia="Times New Roman" w:hAnsi="Times New Roman" w:cs="Times New Roman"/>
          <w:sz w:val="28"/>
          <w:szCs w:val="28"/>
        </w:rPr>
        <w:t xml:space="preserve">hững năm gần đây, tài chính xanh ngày càng khẳng định vai trò chiến lược trong hệ thống tài chính toàn cầu, với tác động lan tỏa đồng thời đến cả hiệu quả kinh tế lẫn bảo vệ môi trường sinh thái. </w:t>
      </w:r>
      <w:r w:rsidRPr="00650C3D">
        <w:rPr>
          <w:rFonts w:ascii="Times New Roman" w:eastAsia="Times New Roman" w:hAnsi="Times New Roman" w:cs="Times New Roman"/>
          <w:sz w:val="28"/>
          <w:szCs w:val="28"/>
        </w:rPr>
        <w:t>M</w:t>
      </w:r>
      <w:r w:rsidR="00650C3D">
        <w:rPr>
          <w:rFonts w:ascii="Times New Roman" w:eastAsia="Times New Roman" w:hAnsi="Times New Roman" w:cs="Times New Roman"/>
          <w:sz w:val="28"/>
          <w:szCs w:val="28"/>
        </w:rPr>
        <w:t>ối liên hệ chặt chẽ với quá trình hội nhập kinh tế toà</w:t>
      </w:r>
      <w:r w:rsidR="00650C3D">
        <w:rPr>
          <w:rFonts w:ascii="Times New Roman" w:eastAsia="Times New Roman" w:hAnsi="Times New Roman" w:cs="Times New Roman"/>
          <w:sz w:val="28"/>
          <w:szCs w:val="28"/>
        </w:rPr>
        <w:t>n diện, tài chính xanh đóng vai trò then chốt trong việc thúc đẩy chuyển đổi sang nền kinh tế xanh, mở rộng khả năng tiếp cận các dự án thân thiện với môi trường, từ đó tạo nền tảng vững chắc cho tăng trưởng kinh tế bền vững và đạt được các mục tiêu phát t</w:t>
      </w:r>
      <w:r w:rsidR="00650C3D">
        <w:rPr>
          <w:rFonts w:ascii="Times New Roman" w:eastAsia="Times New Roman" w:hAnsi="Times New Roman" w:cs="Times New Roman"/>
          <w:sz w:val="28"/>
          <w:szCs w:val="28"/>
        </w:rPr>
        <w:t>riển bền vững trong dài hạn.</w:t>
      </w:r>
    </w:p>
    <w:p w14:paraId="00000009" w14:textId="77777777" w:rsidR="005D2465" w:rsidRDefault="00650C3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Về phương diện phân bổ nguồn vốn, tài chính xanh đóng vai trò trọng yếu trong việc huy động và định hướng dòng vốn vào các dự án có giá trị môi trường cao, bao gồm năng lượng tái tạo, giảm phát thải khí nhà kính, bảo tồn tài ng</w:t>
      </w:r>
      <w:r>
        <w:rPr>
          <w:rFonts w:ascii="Times New Roman" w:eastAsia="Times New Roman" w:hAnsi="Times New Roman" w:cs="Times New Roman"/>
          <w:sz w:val="28"/>
          <w:szCs w:val="28"/>
        </w:rPr>
        <w:t>uyên thiên nhiên và thích ứng với biến đổi khí hậu. Việc thúc đẩy tài chính xanh ở Việt Nam không chỉ có ý nghĩa trong việc hội nhập toàn cầu mà còn gắn chặt với cam kết đạt phát thải ròng bằng “0” vào năm 2050, giúp Việt Nam trở thành quốc gia có vị thế t</w:t>
      </w:r>
      <w:r>
        <w:rPr>
          <w:rFonts w:ascii="Times New Roman" w:eastAsia="Times New Roman" w:hAnsi="Times New Roman" w:cs="Times New Roman"/>
          <w:sz w:val="28"/>
          <w:szCs w:val="28"/>
        </w:rPr>
        <w:t>huận lợi để thu hút nguồn vốn đưa Việt Nam thành điểm đến hấp dẫn cho các nguồn vốn.</w:t>
      </w:r>
    </w:p>
    <w:p w14:paraId="0000000A" w14:textId="77777777" w:rsidR="005D2465" w:rsidRDefault="00650C3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Ở cấp độ doanh nghiệp, tài chính xanh tạo ra các ưu đãi tài chính có chọn lọc nhằm khuyến khích áp dụng mô hình kinh doanh bền vững. Các chính sách tín dụng xanh được xác </w:t>
      </w:r>
      <w:r>
        <w:rPr>
          <w:rFonts w:ascii="Times New Roman" w:eastAsia="Times New Roman" w:hAnsi="Times New Roman" w:cs="Times New Roman"/>
          <w:sz w:val="28"/>
          <w:szCs w:val="28"/>
        </w:rPr>
        <w:t>định là công cụ tài chính sáng tạo thúc đẩy phát triển bền vững, khuyến khích doanh nghiệp áp dụng quy trình sản xuất sạch hơn và cải thiện hiệu quả môi trường. Nguồn vốn ưu đãi này được sử dụng để đầu tư vào công nghệ xanh, tối ưu hóa hiệu quả sử dụng tài</w:t>
      </w:r>
      <w:r>
        <w:rPr>
          <w:rFonts w:ascii="Times New Roman" w:eastAsia="Times New Roman" w:hAnsi="Times New Roman" w:cs="Times New Roman"/>
          <w:sz w:val="28"/>
          <w:szCs w:val="28"/>
        </w:rPr>
        <w:t xml:space="preserve"> nguyên và nâng cao trách nhiệm xã hội của doanh nghiệp, từ đó củng cố lợi thế cạnh tranh dài hạn trên thị trường.</w:t>
      </w:r>
    </w:p>
    <w:p w14:paraId="0000000B" w14:textId="0F88063C" w:rsidR="005D2465" w:rsidRDefault="00650C3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Bên cạnh đó, tài chính xanh còn đóng vai trò xúc tác quan trọng trong việc thúc đẩy đổi mới sáng tạo, đặc biệt trong nghiên cứu và phát triển</w:t>
      </w:r>
      <w:r>
        <w:rPr>
          <w:rFonts w:ascii="Times New Roman" w:eastAsia="Times New Roman" w:hAnsi="Times New Roman" w:cs="Times New Roman"/>
          <w:sz w:val="28"/>
          <w:szCs w:val="28"/>
        </w:rPr>
        <w:t xml:space="preserve"> công nghệ xanh. Tài chính xanh có khả năng định hướng dòng vốn từ các ngành ô nhiễm cao</w:t>
      </w:r>
      <w:r w:rsidR="00753D82" w:rsidRPr="00650C3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sang các ngành phát thải thấp, tạo điều kiện thuận lợi cho các hoạt động đổi mới xanh, giảm chi phí tài chính và thúc đẩy phát triển công nghệ xanh. Các giải pháp côn</w:t>
      </w:r>
      <w:r>
        <w:rPr>
          <w:rFonts w:ascii="Times New Roman" w:eastAsia="Times New Roman" w:hAnsi="Times New Roman" w:cs="Times New Roman"/>
          <w:sz w:val="28"/>
          <w:szCs w:val="28"/>
        </w:rPr>
        <w:t xml:space="preserve">g nghệ phát sinh từ quá trình này góp phần nâng cao năng suất sử dụng tài nguyên và tạo động lực cho tăng trưởng kinh tế xanh. Trong những năm </w:t>
      </w:r>
      <w:r w:rsidR="00607590" w:rsidRPr="00650C3D">
        <w:rPr>
          <w:rFonts w:ascii="Times New Roman" w:eastAsia="Times New Roman" w:hAnsi="Times New Roman" w:cs="Times New Roman"/>
          <w:sz w:val="28"/>
          <w:szCs w:val="28"/>
        </w:rPr>
        <w:t>gần</w:t>
      </w:r>
      <w:r>
        <w:rPr>
          <w:rFonts w:ascii="Times New Roman" w:eastAsia="Times New Roman" w:hAnsi="Times New Roman" w:cs="Times New Roman"/>
          <w:sz w:val="28"/>
          <w:szCs w:val="28"/>
        </w:rPr>
        <w:t xml:space="preserve"> đây, Việt Nam đã có những bước chuyển mình quan trọng trong việc hoàn thiện khung chính sách và pháp l</w:t>
      </w:r>
      <w:r>
        <w:rPr>
          <w:rFonts w:ascii="Times New Roman" w:eastAsia="Times New Roman" w:hAnsi="Times New Roman" w:cs="Times New Roman"/>
          <w:sz w:val="28"/>
          <w:szCs w:val="28"/>
        </w:rPr>
        <w:t>ý cho đầu tư xanh, tiêu biểu như việc ban hành Quyết định số 21/2025/QĐ-TTg về Danh mục phân loại xanh.</w:t>
      </w:r>
    </w:p>
    <w:p w14:paraId="0000000C" w14:textId="77777777" w:rsidR="005D2465" w:rsidRDefault="00650C3D">
      <w:pPr>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Cơ sở lý thuyết về tài chính xanh</w:t>
      </w:r>
    </w:p>
    <w:p w14:paraId="0000000D" w14:textId="77777777" w:rsidR="005D2465" w:rsidRPr="00650C3D" w:rsidRDefault="00650C3D">
      <w:pPr>
        <w:ind w:firstLine="720"/>
        <w:jc w:val="both"/>
        <w:rPr>
          <w:rFonts w:ascii="Times New Roman" w:eastAsia="Times New Roman" w:hAnsi="Times New Roman" w:cs="Times New Roman"/>
          <w:b/>
          <w:bCs/>
          <w:i/>
          <w:iCs/>
          <w:sz w:val="28"/>
          <w:szCs w:val="28"/>
        </w:rPr>
      </w:pPr>
      <w:r w:rsidRPr="00650C3D">
        <w:rPr>
          <w:rFonts w:ascii="Times New Roman" w:eastAsia="Times New Roman" w:hAnsi="Times New Roman" w:cs="Times New Roman"/>
          <w:b/>
          <w:bCs/>
          <w:i/>
          <w:iCs/>
          <w:sz w:val="28"/>
          <w:szCs w:val="28"/>
        </w:rPr>
        <w:t>2.1. Khái niệm về tài chính xanh</w:t>
      </w:r>
    </w:p>
    <w:p w14:paraId="0000000E" w14:textId="77777777" w:rsidR="005D2465" w:rsidRDefault="00650C3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Trước bối cảnh biến đổi khí hậu và suy thoái môi trường ngày càng trở nên phức tạp và khó lường, tài chính xanh trở thành một trong những công cụ quan trọng có tính chiến lược trong tiến trình chuyển đổi sang mô hình phát triển bền vững tại Việt Nam. Tài c</w:t>
      </w:r>
      <w:r>
        <w:rPr>
          <w:rFonts w:ascii="Times New Roman" w:eastAsia="Times New Roman" w:hAnsi="Times New Roman" w:cs="Times New Roman"/>
          <w:sz w:val="28"/>
          <w:szCs w:val="28"/>
        </w:rPr>
        <w:t xml:space="preserve">hính xanh góp phần giảm thiểu các tác động tiêu cực đến hệ sinh thái thông qua việc huy động và phân bổ nguồn lực tài chính cho các hoạt động thân thiện với môi trường. </w:t>
      </w:r>
    </w:p>
    <w:p w14:paraId="0000000F" w14:textId="77777777" w:rsidR="005D2465" w:rsidRDefault="00650C3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Theo những nghiên cứu trước, tài chính xanh được hiểu là các dòng vốn đầu tư vào dự án</w:t>
      </w:r>
      <w:r>
        <w:rPr>
          <w:rFonts w:ascii="Times New Roman" w:eastAsia="Times New Roman" w:hAnsi="Times New Roman" w:cs="Times New Roman"/>
          <w:sz w:val="28"/>
          <w:szCs w:val="28"/>
        </w:rPr>
        <w:t xml:space="preserve"> phát triển bền vững, các sản phẩm thân thiện với môi trường và các chính sách hỗ trợ nền kinh tế bền vững. (Sadiku và cộng sự 2019)</w:t>
      </w:r>
    </w:p>
    <w:p w14:paraId="00000010" w14:textId="77777777" w:rsidR="005D2465" w:rsidRDefault="00650C3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Theo Liu và công sự (2022), tài chính xanh là quá trình mà các tổ chức tài chính đưa ra các yếu tố môi trường và quản trị s</w:t>
      </w:r>
      <w:r>
        <w:rPr>
          <w:rFonts w:ascii="Times New Roman" w:eastAsia="Times New Roman" w:hAnsi="Times New Roman" w:cs="Times New Roman"/>
          <w:sz w:val="28"/>
          <w:szCs w:val="28"/>
        </w:rPr>
        <w:t xml:space="preserve">inh thái vào các quyết định đầu tư và tín dụng, thông qua đó gia tăng nguồn vốn dành cho các dự án xanh đồng thời hạn chế tài trợ cho các hoạt động gây ô nhiễm môi trường. </w:t>
      </w:r>
    </w:p>
    <w:p w14:paraId="00000011" w14:textId="7063DA06" w:rsidR="005D2465" w:rsidRDefault="00650C3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Tác giả Zhou và c</w:t>
      </w:r>
      <w:r w:rsidR="00753D82" w:rsidRPr="00650C3D">
        <w:rPr>
          <w:rFonts w:ascii="Times New Roman" w:eastAsia="Times New Roman" w:hAnsi="Times New Roman" w:cs="Times New Roman"/>
          <w:sz w:val="28"/>
          <w:szCs w:val="28"/>
        </w:rPr>
        <w:t>ộ</w:t>
      </w:r>
      <w:r>
        <w:rPr>
          <w:rFonts w:ascii="Times New Roman" w:eastAsia="Times New Roman" w:hAnsi="Times New Roman" w:cs="Times New Roman"/>
          <w:sz w:val="28"/>
          <w:szCs w:val="28"/>
        </w:rPr>
        <w:t>ng sự (2023) nhận định tài chính xanh là nhân tố trọng yếu cho m</w:t>
      </w:r>
      <w:r>
        <w:rPr>
          <w:rFonts w:ascii="Times New Roman" w:eastAsia="Times New Roman" w:hAnsi="Times New Roman" w:cs="Times New Roman"/>
          <w:sz w:val="28"/>
          <w:szCs w:val="28"/>
        </w:rPr>
        <w:t xml:space="preserve">ục tiêu phát triển bền vững thông qua việc huy động và phân bổ nguồn </w:t>
      </w:r>
      <w:r>
        <w:rPr>
          <w:rFonts w:ascii="Times New Roman" w:eastAsia="Times New Roman" w:hAnsi="Times New Roman" w:cs="Times New Roman"/>
          <w:sz w:val="28"/>
          <w:szCs w:val="28"/>
        </w:rPr>
        <w:lastRenderedPageBreak/>
        <w:t>lực tài chính cho các dự án liên quan đến năng lượng tái tạo, tiết kiệm năng lượng. Các hoạt động tài chính này đóng vai trò quan trọng trong việc chuyển đổi sang nền kinh tế giảm thiểu k</w:t>
      </w:r>
      <w:r>
        <w:rPr>
          <w:rFonts w:ascii="Times New Roman" w:eastAsia="Times New Roman" w:hAnsi="Times New Roman" w:cs="Times New Roman"/>
          <w:sz w:val="28"/>
          <w:szCs w:val="28"/>
        </w:rPr>
        <w:t>hí carbon.</w:t>
      </w:r>
    </w:p>
    <w:p w14:paraId="00000012" w14:textId="77777777" w:rsidR="005D2465" w:rsidRDefault="00650C3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Zadek và Flynn (2013) cho biết, tài chính xanh là sự dịch chuyển của dòng vốn từ các ngành kinh tế gây ô nhiễm sang các ngành kinh tế thân thiện với môi trường nhằm thúc đẩy quá trình phát triển bền vững. </w:t>
      </w:r>
    </w:p>
    <w:p w14:paraId="00000013" w14:textId="77777777" w:rsidR="005D2465" w:rsidRPr="00650C3D" w:rsidRDefault="00650C3D">
      <w:pPr>
        <w:ind w:firstLine="720"/>
        <w:jc w:val="both"/>
        <w:rPr>
          <w:rFonts w:ascii="Times New Roman" w:eastAsia="Times New Roman" w:hAnsi="Times New Roman" w:cs="Times New Roman"/>
          <w:b/>
          <w:bCs/>
          <w:i/>
          <w:iCs/>
          <w:sz w:val="28"/>
          <w:szCs w:val="28"/>
        </w:rPr>
      </w:pPr>
      <w:r w:rsidRPr="00650C3D">
        <w:rPr>
          <w:rFonts w:ascii="Times New Roman" w:eastAsia="Times New Roman" w:hAnsi="Times New Roman" w:cs="Times New Roman"/>
          <w:b/>
          <w:bCs/>
          <w:i/>
          <w:iCs/>
          <w:sz w:val="28"/>
          <w:szCs w:val="28"/>
        </w:rPr>
        <w:t>2.2. Phân loại các công cụ tài chính xa</w:t>
      </w:r>
      <w:r w:rsidRPr="00650C3D">
        <w:rPr>
          <w:rFonts w:ascii="Times New Roman" w:eastAsia="Times New Roman" w:hAnsi="Times New Roman" w:cs="Times New Roman"/>
          <w:b/>
          <w:bCs/>
          <w:i/>
          <w:iCs/>
          <w:sz w:val="28"/>
          <w:szCs w:val="28"/>
        </w:rPr>
        <w:t>nh</w:t>
      </w:r>
    </w:p>
    <w:p w14:paraId="00000014" w14:textId="77777777" w:rsidR="005D2465" w:rsidRDefault="00650C3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Trên thực tế, tài chính xanh được triển khai thông qua nhiều công cụ và cơ chế khác nhau, cụ thể là:</w:t>
      </w:r>
    </w:p>
    <w:p w14:paraId="00000015" w14:textId="77777777" w:rsidR="005D2465" w:rsidRDefault="00650C3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Tín dụng xanh (green credit): là khoản vay từ tổ chức ngân hàng dành cho các dự án sản xuất, kinh doanh không hoặc ít gây rủi ro tới môi trường.</w:t>
      </w:r>
    </w:p>
    <w:p w14:paraId="00000016" w14:textId="77777777" w:rsidR="005D2465" w:rsidRDefault="00650C3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Trá</w:t>
      </w:r>
      <w:r>
        <w:rPr>
          <w:rFonts w:ascii="Times New Roman" w:eastAsia="Times New Roman" w:hAnsi="Times New Roman" w:cs="Times New Roman"/>
          <w:sz w:val="28"/>
          <w:szCs w:val="28"/>
        </w:rPr>
        <w:t xml:space="preserve">i phiếu xanh (green bonds): là công cụ quan trọng nhằm huy động vốn cho các dự án môi trường như năng lượng tái tạo, quản lý chất thải và cơ sở hạ tầng xanh. </w:t>
      </w:r>
    </w:p>
    <w:p w14:paraId="00000017" w14:textId="77777777" w:rsidR="005D2465" w:rsidRDefault="00650C3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Bên cạnh đó, hình thức quỹ đầu tư xanh (green funds) là quỹ đầu tư tập trung vào cổ phiếu của các</w:t>
      </w:r>
      <w:r>
        <w:rPr>
          <w:rFonts w:ascii="Times New Roman" w:eastAsia="Times New Roman" w:hAnsi="Times New Roman" w:cs="Times New Roman"/>
          <w:sz w:val="28"/>
          <w:szCs w:val="28"/>
        </w:rPr>
        <w:t xml:space="preserve"> công ty tham gia vào các ngành kinh doanh bền vững với môi trường. Ngoài ra, tài chính xanh còn bao gồm các hình thức công cụ Fintech xanh (Green Fintech), bảo hiểm xanh (green insurance) và tài chính carbon (carbon finance). </w:t>
      </w:r>
    </w:p>
    <w:p w14:paraId="00000018" w14:textId="77777777" w:rsidR="005D2465" w:rsidRPr="00650C3D" w:rsidRDefault="00650C3D">
      <w:pPr>
        <w:ind w:firstLine="720"/>
        <w:jc w:val="both"/>
        <w:rPr>
          <w:rFonts w:ascii="Times New Roman" w:eastAsia="Times New Roman" w:hAnsi="Times New Roman" w:cs="Times New Roman"/>
          <w:b/>
          <w:bCs/>
          <w:i/>
          <w:iCs/>
          <w:sz w:val="28"/>
          <w:szCs w:val="28"/>
        </w:rPr>
      </w:pPr>
      <w:r w:rsidRPr="00650C3D">
        <w:rPr>
          <w:rFonts w:ascii="Times New Roman" w:eastAsia="Times New Roman" w:hAnsi="Times New Roman" w:cs="Times New Roman"/>
          <w:b/>
          <w:bCs/>
          <w:i/>
          <w:iCs/>
          <w:sz w:val="28"/>
          <w:szCs w:val="28"/>
        </w:rPr>
        <w:t>2.3. Vai trò của tài chính x</w:t>
      </w:r>
      <w:r w:rsidRPr="00650C3D">
        <w:rPr>
          <w:rFonts w:ascii="Times New Roman" w:eastAsia="Times New Roman" w:hAnsi="Times New Roman" w:cs="Times New Roman"/>
          <w:b/>
          <w:bCs/>
          <w:i/>
          <w:iCs/>
          <w:sz w:val="28"/>
          <w:szCs w:val="28"/>
        </w:rPr>
        <w:t>anh đối với phát triển bền vững</w:t>
      </w:r>
    </w:p>
    <w:p w14:paraId="00000019" w14:textId="77777777" w:rsidR="005D2465" w:rsidRDefault="00650C3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Theo nghiên cứu của Zhou, Tang và Zhang (2020), tài chính xanh không chỉ tác động tích cực đến môi trường mà còn thúc đẩy sự phát triển kinh tế thông qua việc hình thành các ngành công nghiệp xanh giúp tạo ra các cơ hội việc</w:t>
      </w:r>
      <w:r>
        <w:rPr>
          <w:rFonts w:ascii="Times New Roman" w:eastAsia="Times New Roman" w:hAnsi="Times New Roman" w:cs="Times New Roman"/>
          <w:sz w:val="28"/>
          <w:szCs w:val="28"/>
        </w:rPr>
        <w:t xml:space="preserve"> làm bền vững.</w:t>
      </w:r>
    </w:p>
    <w:p w14:paraId="0000001A" w14:textId="77777777" w:rsidR="005D2465" w:rsidRDefault="00650C3D">
      <w:pPr>
        <w:ind w:firstLine="720"/>
        <w:jc w:val="both"/>
        <w:rPr>
          <w:rFonts w:ascii="Times New Roman" w:eastAsia="Times New Roman" w:hAnsi="Times New Roman" w:cs="Times New Roman"/>
          <w:sz w:val="28"/>
          <w:szCs w:val="28"/>
        </w:rPr>
      </w:pPr>
      <w:r w:rsidRPr="00650C3D">
        <w:rPr>
          <w:rFonts w:ascii="Times New Roman" w:eastAsia="Times New Roman" w:hAnsi="Times New Roman" w:cs="Times New Roman"/>
          <w:i/>
          <w:iCs/>
          <w:sz w:val="28"/>
          <w:szCs w:val="28"/>
        </w:rPr>
        <w:t>Thứ nhất,</w:t>
      </w:r>
      <w:r>
        <w:rPr>
          <w:rFonts w:ascii="Times New Roman" w:eastAsia="Times New Roman" w:hAnsi="Times New Roman" w:cs="Times New Roman"/>
          <w:sz w:val="28"/>
          <w:szCs w:val="28"/>
        </w:rPr>
        <w:t xml:space="preserve"> tài chính xanh thúc đẩy đổi mới công nghệ và phát triển các ngành kinh tế xanh. Thông qua việc ưu tiên tài trợ cho các lĩnh vực như năng lượng tái tạo, giao thông xanh, xây dựng xanh và nông nghiệp bền vững, hệ thống tài chính có thể tạo ra động lực thúc </w:t>
      </w:r>
      <w:r>
        <w:rPr>
          <w:rFonts w:ascii="Times New Roman" w:eastAsia="Times New Roman" w:hAnsi="Times New Roman" w:cs="Times New Roman"/>
          <w:sz w:val="28"/>
          <w:szCs w:val="28"/>
        </w:rPr>
        <w:t>đẩy đổi mới sáng tạo và nâng cao hiệu quả sử dụng tài nguyên.</w:t>
      </w:r>
    </w:p>
    <w:p w14:paraId="0000001B" w14:textId="77777777" w:rsidR="005D2465" w:rsidRDefault="00650C3D">
      <w:pPr>
        <w:ind w:firstLine="720"/>
        <w:jc w:val="both"/>
        <w:rPr>
          <w:rFonts w:ascii="Times New Roman" w:eastAsia="Times New Roman" w:hAnsi="Times New Roman" w:cs="Times New Roman"/>
          <w:sz w:val="28"/>
          <w:szCs w:val="28"/>
        </w:rPr>
      </w:pPr>
      <w:r w:rsidRPr="00650C3D">
        <w:rPr>
          <w:rFonts w:ascii="Times New Roman" w:eastAsia="Times New Roman" w:hAnsi="Times New Roman" w:cs="Times New Roman"/>
          <w:i/>
          <w:iCs/>
          <w:sz w:val="28"/>
          <w:szCs w:val="28"/>
        </w:rPr>
        <w:t>Thứ hai,</w:t>
      </w:r>
      <w:r>
        <w:rPr>
          <w:rFonts w:ascii="Times New Roman" w:eastAsia="Times New Roman" w:hAnsi="Times New Roman" w:cs="Times New Roman"/>
          <w:sz w:val="28"/>
          <w:szCs w:val="28"/>
        </w:rPr>
        <w:t xml:space="preserve"> tạo ra cơ chế khuyến khích doanh nghiệp tích hợp các tiêu chí ESG vào chiến lược kinh doanh, nâng cao năng lực cạnh tranh dài hạn giúp cân bằng giữa lợi ích kinh tế và bảo vệ môi trường</w:t>
      </w:r>
      <w:r>
        <w:rPr>
          <w:rFonts w:ascii="Times New Roman" w:eastAsia="Times New Roman" w:hAnsi="Times New Roman" w:cs="Times New Roman"/>
          <w:sz w:val="28"/>
          <w:szCs w:val="28"/>
        </w:rPr>
        <w:t>, hướng đến nền kinh tế tuần hoàn.</w:t>
      </w:r>
    </w:p>
    <w:p w14:paraId="0000001C" w14:textId="77777777" w:rsidR="005D2465" w:rsidRDefault="00650C3D">
      <w:pPr>
        <w:ind w:firstLine="720"/>
        <w:jc w:val="both"/>
        <w:rPr>
          <w:rFonts w:ascii="Times New Roman" w:eastAsia="Times New Roman" w:hAnsi="Times New Roman" w:cs="Times New Roman"/>
          <w:sz w:val="28"/>
          <w:szCs w:val="28"/>
        </w:rPr>
      </w:pPr>
      <w:r w:rsidRPr="00650C3D">
        <w:rPr>
          <w:rFonts w:ascii="Times New Roman" w:eastAsia="Times New Roman" w:hAnsi="Times New Roman" w:cs="Times New Roman"/>
          <w:i/>
          <w:iCs/>
          <w:sz w:val="28"/>
          <w:szCs w:val="28"/>
        </w:rPr>
        <w:lastRenderedPageBreak/>
        <w:t>Thứ ba,</w:t>
      </w:r>
      <w:r>
        <w:rPr>
          <w:rFonts w:ascii="Times New Roman" w:eastAsia="Times New Roman" w:hAnsi="Times New Roman" w:cs="Times New Roman"/>
          <w:sz w:val="28"/>
          <w:szCs w:val="28"/>
        </w:rPr>
        <w:t xml:space="preserve"> huy động vốn cho phát triển bền vững. Các công cụ của tài chính xanh như tín dụng xanh, trái phiếu xanh, thị trường tín chỉ carbon giúp tạo ra dòng vốn lớn từ các tổ chức tài chính, doanh nghiệp và cá nhân.</w:t>
      </w:r>
    </w:p>
    <w:p w14:paraId="0000001D" w14:textId="77777777" w:rsidR="005D2465" w:rsidRDefault="00650C3D">
      <w:pPr>
        <w:ind w:firstLine="720"/>
        <w:jc w:val="both"/>
        <w:rPr>
          <w:rFonts w:ascii="Times New Roman" w:eastAsia="Times New Roman" w:hAnsi="Times New Roman" w:cs="Times New Roman"/>
          <w:sz w:val="28"/>
          <w:szCs w:val="28"/>
        </w:rPr>
      </w:pPr>
      <w:r w:rsidRPr="00650C3D">
        <w:rPr>
          <w:rFonts w:ascii="Times New Roman" w:eastAsia="Times New Roman" w:hAnsi="Times New Roman" w:cs="Times New Roman"/>
          <w:i/>
          <w:iCs/>
          <w:sz w:val="28"/>
          <w:szCs w:val="28"/>
        </w:rPr>
        <w:t xml:space="preserve">Thứ </w:t>
      </w:r>
      <w:r w:rsidRPr="00650C3D">
        <w:rPr>
          <w:rFonts w:ascii="Times New Roman" w:eastAsia="Times New Roman" w:hAnsi="Times New Roman" w:cs="Times New Roman"/>
          <w:i/>
          <w:iCs/>
          <w:sz w:val="28"/>
          <w:szCs w:val="28"/>
        </w:rPr>
        <w:t>tư,</w:t>
      </w:r>
      <w:r>
        <w:rPr>
          <w:rFonts w:ascii="Times New Roman" w:eastAsia="Times New Roman" w:hAnsi="Times New Roman" w:cs="Times New Roman"/>
          <w:sz w:val="28"/>
          <w:szCs w:val="28"/>
        </w:rPr>
        <w:t xml:space="preserve"> tăng cường khả năng ứng phó với biến đổi khí hậu. Tín dụng xanh hỗ trợ các doanh nghiệp chuyển đổi công nghệ, giảm phát thải khí nhà kính và thích ứng với biến đổi khí hậu. Đây là một trong những nhân tố giúp đảm bảo cho sự phát triển lâu dài, giảm thi</w:t>
      </w:r>
      <w:r>
        <w:rPr>
          <w:rFonts w:ascii="Times New Roman" w:eastAsia="Times New Roman" w:hAnsi="Times New Roman" w:cs="Times New Roman"/>
          <w:sz w:val="28"/>
          <w:szCs w:val="28"/>
        </w:rPr>
        <w:t xml:space="preserve">ểu các rủi ro liên quan đến môi trường cho nền kinh tế. </w:t>
      </w:r>
    </w:p>
    <w:p w14:paraId="0000001E" w14:textId="77777777" w:rsidR="005D2465" w:rsidRDefault="00650C3D">
      <w:pPr>
        <w:ind w:firstLine="720"/>
        <w:jc w:val="both"/>
        <w:rPr>
          <w:rFonts w:ascii="Times New Roman" w:eastAsia="Times New Roman" w:hAnsi="Times New Roman" w:cs="Times New Roman"/>
          <w:sz w:val="28"/>
          <w:szCs w:val="28"/>
        </w:rPr>
      </w:pPr>
      <w:r w:rsidRPr="00650C3D">
        <w:rPr>
          <w:rFonts w:ascii="Times New Roman" w:eastAsia="Times New Roman" w:hAnsi="Times New Roman" w:cs="Times New Roman"/>
          <w:i/>
          <w:iCs/>
          <w:sz w:val="28"/>
          <w:szCs w:val="28"/>
        </w:rPr>
        <w:t>Thứ năm,</w:t>
      </w:r>
      <w:r>
        <w:rPr>
          <w:rFonts w:ascii="Times New Roman" w:eastAsia="Times New Roman" w:hAnsi="Times New Roman" w:cs="Times New Roman"/>
          <w:sz w:val="28"/>
          <w:szCs w:val="28"/>
        </w:rPr>
        <w:t xml:space="preserve"> tài chính xanh giúp nâng cao giá trị hình ảnh quốc gia và năng lực cạnh tranh của nền kinh tế trong bối cảnh toàn cầu hóa. Trong những năm trở lại đây, nhiều quốc gia trên thế giới đã áp dụn</w:t>
      </w:r>
      <w:r>
        <w:rPr>
          <w:rFonts w:ascii="Times New Roman" w:eastAsia="Times New Roman" w:hAnsi="Times New Roman" w:cs="Times New Roman"/>
          <w:sz w:val="28"/>
          <w:szCs w:val="28"/>
        </w:rPr>
        <w:t xml:space="preserve">g các tiêu chuẩn môi trường nghiêm ngặt trong thương mại và đầu tư. Điều này mang lại hiệu quả giúp các doanh nghiệp nâng cao hình ảnh và mức độ uy tín của quốc gia trên thị trường quốc tế. </w:t>
      </w:r>
    </w:p>
    <w:p w14:paraId="0000001F" w14:textId="77777777" w:rsidR="005D2465" w:rsidRDefault="00650C3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Dựa trên những phân tích trên có thể thấy, tài chính xanh là một </w:t>
      </w:r>
      <w:r>
        <w:rPr>
          <w:rFonts w:ascii="Times New Roman" w:eastAsia="Times New Roman" w:hAnsi="Times New Roman" w:cs="Times New Roman"/>
          <w:sz w:val="28"/>
          <w:szCs w:val="28"/>
        </w:rPr>
        <w:t xml:space="preserve">trong những yếu tố quan trọng giúp chuyển đổi sang nền kinh tế phát triển  bền vững, giúp tăng cường nguồn lực cho các dự án bền vững, đồng thời thúc đẩy quá trình chuyển đổi sang mô hình tăng trưởng xanh. </w:t>
      </w:r>
    </w:p>
    <w:p w14:paraId="00000020" w14:textId="77777777" w:rsidR="005D2465" w:rsidRDefault="00650C3D">
      <w:pPr>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Thực trạng tài chính xanh tại Việt Nam</w:t>
      </w:r>
    </w:p>
    <w:p w14:paraId="00000021" w14:textId="77777777" w:rsidR="005D2465" w:rsidRPr="00650C3D" w:rsidRDefault="00650C3D">
      <w:pPr>
        <w:numPr>
          <w:ilvl w:val="1"/>
          <w:numId w:val="1"/>
        </w:numPr>
        <w:pBdr>
          <w:top w:val="nil"/>
          <w:left w:val="nil"/>
          <w:bottom w:val="nil"/>
          <w:right w:val="nil"/>
          <w:between w:val="nil"/>
        </w:pBdr>
        <w:jc w:val="both"/>
        <w:rPr>
          <w:rFonts w:ascii="Times New Roman" w:eastAsia="Times New Roman" w:hAnsi="Times New Roman" w:cs="Times New Roman"/>
          <w:b/>
          <w:bCs/>
          <w:i/>
          <w:iCs/>
          <w:color w:val="000000"/>
          <w:sz w:val="28"/>
          <w:szCs w:val="28"/>
        </w:rPr>
      </w:pPr>
      <w:r w:rsidRPr="00650C3D">
        <w:rPr>
          <w:rFonts w:ascii="Times New Roman" w:eastAsia="Times New Roman" w:hAnsi="Times New Roman" w:cs="Times New Roman"/>
          <w:b/>
          <w:bCs/>
          <w:i/>
          <w:iCs/>
          <w:color w:val="000000"/>
          <w:sz w:val="28"/>
          <w:szCs w:val="28"/>
        </w:rPr>
        <w:t xml:space="preserve">. Tổng </w:t>
      </w:r>
      <w:r w:rsidRPr="00650C3D">
        <w:rPr>
          <w:rFonts w:ascii="Times New Roman" w:eastAsia="Times New Roman" w:hAnsi="Times New Roman" w:cs="Times New Roman"/>
          <w:b/>
          <w:bCs/>
          <w:i/>
          <w:iCs/>
          <w:color w:val="000000"/>
          <w:sz w:val="28"/>
          <w:szCs w:val="28"/>
        </w:rPr>
        <w:t>quan về thị trường tài chính xanh Việt Nam</w:t>
      </w:r>
    </w:p>
    <w:p w14:paraId="00000022" w14:textId="766359C5" w:rsidR="005D2465" w:rsidRPr="00607590" w:rsidRDefault="00650C3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những năm gần đây, Việt Nam đang cố gắng </w:t>
      </w:r>
      <w:r>
        <w:rPr>
          <w:rFonts w:ascii="Times New Roman" w:eastAsia="Times New Roman" w:hAnsi="Times New Roman" w:cs="Times New Roman"/>
          <w:sz w:val="28"/>
          <w:szCs w:val="28"/>
        </w:rPr>
        <w:t>xây dựng và phát triển thị trường tài chính xanh và đặc biệt phấn đấu để hiện thực hóa cam kết đạt phát thải ròng bằng 0 vào năm 2050 (</w:t>
      </w:r>
      <w:r>
        <w:rPr>
          <w:rFonts w:ascii="Times New Roman" w:eastAsia="Times New Roman" w:hAnsi="Times New Roman" w:cs="Times New Roman"/>
          <w:sz w:val="28"/>
          <w:szCs w:val="28"/>
        </w:rPr>
        <w:t>Net Zero 2050)</w:t>
      </w:r>
      <w:r w:rsidR="000F7D68" w:rsidRPr="00650C3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loại bỏ nhiệt điện than vào năm 2040. Theo báo cáo của Ngân hàng Nhà nước Việt Nam (SBV) và các tổ chức quốc tế, tổng vốn đầu tư vào các dự án xanh đã tăng trưởng đáng kể trong giai đoạn 2023 - 2025. Các công cụ tài chính xanh chủ yếu </w:t>
      </w:r>
      <w:r>
        <w:rPr>
          <w:rFonts w:ascii="Times New Roman" w:eastAsia="Times New Roman" w:hAnsi="Times New Roman" w:cs="Times New Roman"/>
          <w:sz w:val="28"/>
          <w:szCs w:val="28"/>
        </w:rPr>
        <w:t>hiện nay bao gồm tín dụng xanh, cổ phiếu xanh và trái phiếu xanh, trong đó tín dụng xanh chiếm tỷ trọng lớn hơn, cụ thể theo căn cứ số liệu mới của Ngân hàng Nhà nước, tính đến ngày 30/11/2025, dư nợ tín dụng xanh của toàn hệ thống đạt xấp xỉ 750.000 tỷ đồ</w:t>
      </w:r>
      <w:r>
        <w:rPr>
          <w:rFonts w:ascii="Times New Roman" w:eastAsia="Times New Roman" w:hAnsi="Times New Roman" w:cs="Times New Roman"/>
          <w:sz w:val="28"/>
          <w:szCs w:val="28"/>
        </w:rPr>
        <w:t>ng, tăng khoảng 10,5% so với cuối năm 2024</w:t>
      </w:r>
      <w:r>
        <w:rPr>
          <w:rFonts w:ascii="Times New Roman" w:eastAsia="Times New Roman" w:hAnsi="Times New Roman" w:cs="Times New Roman"/>
          <w:sz w:val="28"/>
          <w:szCs w:val="28"/>
        </w:rPr>
        <w:t xml:space="preserve"> </w:t>
      </w:r>
      <w:r w:rsidR="00A300A2" w:rsidRPr="00650C3D">
        <w:rPr>
          <w:rFonts w:ascii="Times New Roman" w:eastAsia="Times New Roman" w:hAnsi="Times New Roman" w:cs="Times New Roman"/>
          <w:sz w:val="28"/>
          <w:szCs w:val="28"/>
        </w:rPr>
        <w:t>(Hà Tâm, 2025)</w:t>
      </w:r>
      <w:r w:rsidR="00607590">
        <w:rPr>
          <w:rFonts w:ascii="Times New Roman" w:eastAsia="Times New Roman" w:hAnsi="Times New Roman" w:cs="Times New Roman"/>
          <w:sz w:val="28"/>
          <w:szCs w:val="28"/>
        </w:rPr>
        <w:t>.</w:t>
      </w:r>
    </w:p>
    <w:p w14:paraId="00000023" w14:textId="77777777" w:rsidR="005D2465" w:rsidRDefault="00650C3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Về môi trường pháp lý, mặc dù Chính phủ Việt Nam đã có những bước đi quan trọng trong việc tài chính xanh, hệ thống pháp lý và chính sách hỗ trợ tài chính xanh vẫn chưa được đồng bộ và rõ ràng. Cụ</w:t>
      </w:r>
      <w:r>
        <w:rPr>
          <w:rFonts w:ascii="Times New Roman" w:eastAsia="Times New Roman" w:hAnsi="Times New Roman" w:cs="Times New Roman"/>
          <w:sz w:val="28"/>
          <w:szCs w:val="28"/>
        </w:rPr>
        <w:t xml:space="preserve"> thể là việc thiếu một khung pháp lý rõ ràng và phân loại dự án xanh gây ra những hạn chế trong việc xác định các dự </w:t>
      </w:r>
      <w:r>
        <w:rPr>
          <w:rFonts w:ascii="Times New Roman" w:eastAsia="Times New Roman" w:hAnsi="Times New Roman" w:cs="Times New Roman"/>
          <w:sz w:val="28"/>
          <w:szCs w:val="28"/>
        </w:rPr>
        <w:lastRenderedPageBreak/>
        <w:t xml:space="preserve">án đủ điều kiện nhận hỗ trợ tài chính xanh, từ đó ảnh hưởng đến hiệu quả triển khai và quản lý các chính sách phát triển bền vững. </w:t>
      </w:r>
    </w:p>
    <w:p w14:paraId="00000024" w14:textId="77777777" w:rsidR="005D2465" w:rsidRDefault="00650C3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Về tín </w:t>
      </w:r>
      <w:r>
        <w:rPr>
          <w:rFonts w:ascii="Times New Roman" w:eastAsia="Times New Roman" w:hAnsi="Times New Roman" w:cs="Times New Roman"/>
          <w:sz w:val="28"/>
          <w:szCs w:val="28"/>
        </w:rPr>
        <w:t>dụng xanh, các ngân hàng lớn như Vietcombank, Agribank, BIDV, HDBank và TPBank là những ngân hàng tiên phong trong việc tham gia vào các chương trình tín dụng xanh, và tập trung chủ yếu vào các lĩnh vực như năng lượng tái tạo và nông nghiệp hữu cơ. Các ngâ</w:t>
      </w:r>
      <w:r>
        <w:rPr>
          <w:rFonts w:ascii="Times New Roman" w:eastAsia="Times New Roman" w:hAnsi="Times New Roman" w:cs="Times New Roman"/>
          <w:sz w:val="28"/>
          <w:szCs w:val="28"/>
        </w:rPr>
        <w:t>n hàng đã và đang triển khai nhiều gói tín dụng chuyên biệt với ưu đãi hấp dẫn về lãi suất với nhiều ngành nghề khác nhau như sản xuất xanh, sản xuất nước sạch, dệt may, công trình xanh, năng lượng tái tạo và năng lượng sạch. Tuy nhiên, nhiều lĩnh vực quan</w:t>
      </w:r>
      <w:r>
        <w:rPr>
          <w:rFonts w:ascii="Times New Roman" w:eastAsia="Times New Roman" w:hAnsi="Times New Roman" w:cs="Times New Roman"/>
          <w:sz w:val="28"/>
          <w:szCs w:val="28"/>
        </w:rPr>
        <w:t xml:space="preserve"> trọng trong công tác bảo vệ môi trường, ứng phó với biến đổi khí hậu như quản lý chất thải, giao thông và xây dựng còn gặp khó khăn trong việc tiếp cận nguồn vốn dẫn đến tốc độ tăng trưởng dòng vốn xanh vẫn còn rất khiêm tốn so với kỳ vọng.</w:t>
      </w:r>
    </w:p>
    <w:p w14:paraId="00000025" w14:textId="5C77DD04" w:rsidR="005D2465" w:rsidRDefault="00650C3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Về trái phiếu </w:t>
      </w:r>
      <w:r>
        <w:rPr>
          <w:rFonts w:ascii="Times New Roman" w:eastAsia="Times New Roman" w:hAnsi="Times New Roman" w:cs="Times New Roman"/>
          <w:sz w:val="28"/>
          <w:szCs w:val="28"/>
        </w:rPr>
        <w:t>xanh, thị trường trái phiếu xanh tại Việt Nam được kỳ vọng trở thành kênh huy động vốn chung và dài hạn ổn định hỗ trợ cho các doanh nghiệp triển khai các dự án chuyển đổi xanh và phát triển bền vững. Nguồn vốn huy động chủ yếu được phân bổ vào các lĩnh vự</w:t>
      </w:r>
      <w:r>
        <w:rPr>
          <w:rFonts w:ascii="Times New Roman" w:eastAsia="Times New Roman" w:hAnsi="Times New Roman" w:cs="Times New Roman"/>
          <w:sz w:val="28"/>
          <w:szCs w:val="28"/>
        </w:rPr>
        <w:t>c có tác động môi trường tích cực như năng lượng tái tạo, hạ tầng bền vững và bất động sản xanh, qua đó phản ánh sự dịch chuyển bước đầu theo định hướng tài chính bền vững và tăng trưởng xanh. Tuy vậy, ghi nợ trái phiếu xanh của Việt Nam chỉ chiếm 2</w:t>
      </w:r>
      <w:r w:rsidR="000F7D68" w:rsidRPr="00650C3D">
        <w:rPr>
          <w:rFonts w:ascii="Times New Roman" w:eastAsia="Times New Roman" w:hAnsi="Times New Roman" w:cs="Times New Roman"/>
          <w:sz w:val="28"/>
          <w:szCs w:val="28"/>
        </w:rPr>
        <w:t>,</w:t>
      </w:r>
      <w:r>
        <w:rPr>
          <w:rFonts w:ascii="Times New Roman" w:eastAsia="Times New Roman" w:hAnsi="Times New Roman" w:cs="Times New Roman"/>
          <w:sz w:val="28"/>
          <w:szCs w:val="28"/>
        </w:rPr>
        <w:t>3% tổ</w:t>
      </w:r>
      <w:r>
        <w:rPr>
          <w:rFonts w:ascii="Times New Roman" w:eastAsia="Times New Roman" w:hAnsi="Times New Roman" w:cs="Times New Roman"/>
          <w:sz w:val="28"/>
          <w:szCs w:val="28"/>
        </w:rPr>
        <w:t xml:space="preserve">ng trái phiếu phát hành do còn nhiều điểm hạn chế trong việc thẩm định dự án của doanh nghiệp cũng như tính khả thi của dự án trong việc thu hút sự tín nhiệm của các nhà đầu tư. </w:t>
      </w:r>
    </w:p>
    <w:p w14:paraId="00000026" w14:textId="77777777" w:rsidR="005D2465" w:rsidRDefault="00650C3D">
      <w:pPr>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Cơ hội tài chính xanh đối với sự phát triển bền vững tại Việt Nam</w:t>
      </w:r>
    </w:p>
    <w:p w14:paraId="00000027" w14:textId="77777777" w:rsidR="005D2465" w:rsidRDefault="00650C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Chuyển đổi xanh và chuyển dịch năng lượng không chỉ là yêu cầu cấp thiết về môi trường mà còn là cơ hội để nâng cao năng lực cạnh tranh, thu hút đầu tư và là đòn bẩy tạo động lực giúp nền kinh tế Việt Nam tái định vị mô hình tăng trưởng. </w:t>
      </w:r>
    </w:p>
    <w:p w14:paraId="00000028" w14:textId="77777777" w:rsidR="005D2465" w:rsidRDefault="00650C3D">
      <w:pPr>
        <w:jc w:val="both"/>
        <w:rPr>
          <w:rFonts w:ascii="Times New Roman" w:eastAsia="Times New Roman" w:hAnsi="Times New Roman" w:cs="Times New Roman"/>
          <w:sz w:val="28"/>
          <w:szCs w:val="28"/>
        </w:rPr>
      </w:pPr>
      <w:r w:rsidRPr="00650C3D">
        <w:rPr>
          <w:rFonts w:ascii="Times New Roman" w:eastAsia="Times New Roman" w:hAnsi="Times New Roman" w:cs="Times New Roman"/>
          <w:i/>
          <w:iCs/>
          <w:sz w:val="28"/>
          <w:szCs w:val="28"/>
        </w:rPr>
        <w:t>Một là,</w:t>
      </w:r>
      <w:r>
        <w:rPr>
          <w:rFonts w:ascii="Times New Roman" w:eastAsia="Times New Roman" w:hAnsi="Times New Roman" w:cs="Times New Roman"/>
          <w:sz w:val="28"/>
          <w:szCs w:val="28"/>
        </w:rPr>
        <w:t xml:space="preserve"> khuyến kh</w:t>
      </w:r>
      <w:r>
        <w:rPr>
          <w:rFonts w:ascii="Times New Roman" w:eastAsia="Times New Roman" w:hAnsi="Times New Roman" w:cs="Times New Roman"/>
          <w:sz w:val="28"/>
          <w:szCs w:val="28"/>
        </w:rPr>
        <w:t>ích doanh nghiệp đầu tư vào các lĩnh vực kinh tế bền vững bao gồm năng lượng sạch thân thiện với môi trường và mô hình kinh tế tuần hoàn. Tài chính xanh tạo điều kiện thúc đẩy doanh nghiệp điều chỉnh định hướng trong quyết định phân bổ nguồn lực cũng như c</w:t>
      </w:r>
      <w:r>
        <w:rPr>
          <w:rFonts w:ascii="Times New Roman" w:eastAsia="Times New Roman" w:hAnsi="Times New Roman" w:cs="Times New Roman"/>
          <w:sz w:val="28"/>
          <w:szCs w:val="28"/>
        </w:rPr>
        <w:t xml:space="preserve">hiến lược sản xuất dựa trên các tiêu chí môi bảo vệ trường. Nhờ đó, thay vì chỉ tập trung vào mục tiêu tối đa hóa lợi nhuận tài chính ngắn hạn, doanh nghiệp có thể hoạch định chiến lược cho mục tiêu dài hạn giải quyết triệt để bài toán tăng trưởng kinh tế </w:t>
      </w:r>
      <w:r>
        <w:rPr>
          <w:rFonts w:ascii="Times New Roman" w:eastAsia="Times New Roman" w:hAnsi="Times New Roman" w:cs="Times New Roman"/>
          <w:sz w:val="28"/>
          <w:szCs w:val="28"/>
        </w:rPr>
        <w:t xml:space="preserve">gắn liền với trách nhiệm bảo vệ môi trường và xã hội. </w:t>
      </w:r>
    </w:p>
    <w:p w14:paraId="00000029" w14:textId="77777777" w:rsidR="005D2465" w:rsidRDefault="00650C3D">
      <w:pPr>
        <w:jc w:val="both"/>
        <w:rPr>
          <w:rFonts w:ascii="Times New Roman" w:eastAsia="Times New Roman" w:hAnsi="Times New Roman" w:cs="Times New Roman"/>
          <w:sz w:val="28"/>
          <w:szCs w:val="28"/>
        </w:rPr>
      </w:pPr>
      <w:r w:rsidRPr="00650C3D">
        <w:rPr>
          <w:rFonts w:ascii="Times New Roman" w:eastAsia="Times New Roman" w:hAnsi="Times New Roman" w:cs="Times New Roman"/>
          <w:i/>
          <w:iCs/>
          <w:sz w:val="28"/>
          <w:szCs w:val="28"/>
        </w:rPr>
        <w:lastRenderedPageBreak/>
        <w:t>Hai là,</w:t>
      </w:r>
      <w:r>
        <w:rPr>
          <w:rFonts w:ascii="Times New Roman" w:eastAsia="Times New Roman" w:hAnsi="Times New Roman" w:cs="Times New Roman"/>
          <w:sz w:val="28"/>
          <w:szCs w:val="28"/>
        </w:rPr>
        <w:t xml:space="preserve"> hỗ trợ doanh nghiệp tiếp cận nguồn vốn ưu đãi và đa dạng hóa kênh huy động vốn cho doanh nghiệp. Tài chính xanh trở thành nền tảng thiết yếu giúp doanh nghiệp mở rộng quy mô và đa dạng hóa phươ</w:t>
      </w:r>
      <w:r>
        <w:rPr>
          <w:rFonts w:ascii="Times New Roman" w:eastAsia="Times New Roman" w:hAnsi="Times New Roman" w:cs="Times New Roman"/>
          <w:sz w:val="28"/>
          <w:szCs w:val="28"/>
        </w:rPr>
        <w:t>ng thức huy động vốn thông qua các công cụ tài chính như tín dụng xanh, cổ phiếu xanh và trái phiếu xanh. Đặc biệt, dưới sự định hướng của Ngân hàng Nhà nước, các tổ chức tín dụng đã và đang tích cực triển khai các chương trình ưu đãi riêng cho các dự án t</w:t>
      </w:r>
      <w:r>
        <w:rPr>
          <w:rFonts w:ascii="Times New Roman" w:eastAsia="Times New Roman" w:hAnsi="Times New Roman" w:cs="Times New Roman"/>
          <w:sz w:val="28"/>
          <w:szCs w:val="28"/>
        </w:rPr>
        <w:t>iết kiệm năng lượng, tái tạo năng lượng và năng lượng sản xuất sạch. Việc tiếp cận thành công nguồn vốn này không chỉ giúp doanh nghiệp tối ưu hóa trong việc phân bổ vốn dài hạn mà còn giúp các doanh nghiệp cải thiện đáng kể trong việc củng cố cấu trúc tài</w:t>
      </w:r>
      <w:r>
        <w:rPr>
          <w:rFonts w:ascii="Times New Roman" w:eastAsia="Times New Roman" w:hAnsi="Times New Roman" w:cs="Times New Roman"/>
          <w:sz w:val="28"/>
          <w:szCs w:val="28"/>
        </w:rPr>
        <w:t xml:space="preserve"> chính nâng cao năng lực cạnh tranh. </w:t>
      </w:r>
    </w:p>
    <w:p w14:paraId="0000002A" w14:textId="77777777" w:rsidR="005D2465" w:rsidRDefault="00650C3D">
      <w:pPr>
        <w:jc w:val="both"/>
        <w:rPr>
          <w:rFonts w:ascii="Times New Roman" w:eastAsia="Times New Roman" w:hAnsi="Times New Roman" w:cs="Times New Roman"/>
          <w:sz w:val="28"/>
          <w:szCs w:val="28"/>
        </w:rPr>
      </w:pPr>
      <w:r w:rsidRPr="00650C3D">
        <w:rPr>
          <w:rFonts w:ascii="Times New Roman" w:eastAsia="Times New Roman" w:hAnsi="Times New Roman" w:cs="Times New Roman"/>
          <w:i/>
          <w:iCs/>
          <w:sz w:val="28"/>
          <w:szCs w:val="28"/>
        </w:rPr>
        <w:t>Ba là,</w:t>
      </w:r>
      <w:r>
        <w:rPr>
          <w:rFonts w:ascii="Times New Roman" w:eastAsia="Times New Roman" w:hAnsi="Times New Roman" w:cs="Times New Roman"/>
          <w:sz w:val="28"/>
          <w:szCs w:val="28"/>
        </w:rPr>
        <w:t xml:space="preserve"> tài chính xanh tạo động lực thúc đẩy doanh nghiệp tái cấu trúc chiến lược. Tài chính xanh không chỉ đơn thuần là công cụ huy động vốn mà là còn nhân tố then chốt trong quá trình tái cấu trúc đổi mới mô hình kinh</w:t>
      </w:r>
      <w:r>
        <w:rPr>
          <w:rFonts w:ascii="Times New Roman" w:eastAsia="Times New Roman" w:hAnsi="Times New Roman" w:cs="Times New Roman"/>
          <w:sz w:val="28"/>
          <w:szCs w:val="28"/>
        </w:rPr>
        <w:t xml:space="preserve"> doanh toàn diện theo hướng bền vững. Việc tiếp cận các nguồn vốn xanh luôn đi kèm với các tiêu chi điều kiện ràng buộc đến việc sử dụng hiệu quả năng lượng, giảm phát thải khí nhà kính và tối ưu hóa quy trình vận hành. Động lực này thúc đẩy doanh nghiệp c</w:t>
      </w:r>
      <w:r>
        <w:rPr>
          <w:rFonts w:ascii="Times New Roman" w:eastAsia="Times New Roman" w:hAnsi="Times New Roman" w:cs="Times New Roman"/>
          <w:sz w:val="28"/>
          <w:szCs w:val="28"/>
        </w:rPr>
        <w:t>huyển dịch từ mô hình truyền thống sang hệ sinh thái bền vững, điều chỉnh chiến lược, ứng dụng công nghệ mới để cải tiến quy trình sản xuất, nâng cao chất lượng hệ thống theo chuẩn mực của môi trường, xã hội và quản trị (ESG). Điều này giúp doanh nghiệp gi</w:t>
      </w:r>
      <w:r>
        <w:rPr>
          <w:rFonts w:ascii="Times New Roman" w:eastAsia="Times New Roman" w:hAnsi="Times New Roman" w:cs="Times New Roman"/>
          <w:sz w:val="28"/>
          <w:szCs w:val="28"/>
        </w:rPr>
        <w:t>ảm thiểu tác động tiêu cực đến môi trường, tối ưu hóa hiệu quả sử dụng tài nghiên góp phần nâng cao hình ảnh thương hiệu. Bên cạnh đó, sự chuyển đổi này còn giúp doanh nghiệp nâng cao khả năng thích ứng trước những biến động của thị trường cũng như dễ dàng</w:t>
      </w:r>
      <w:r>
        <w:rPr>
          <w:rFonts w:ascii="Times New Roman" w:eastAsia="Times New Roman" w:hAnsi="Times New Roman" w:cs="Times New Roman"/>
          <w:sz w:val="28"/>
          <w:szCs w:val="28"/>
        </w:rPr>
        <w:t xml:space="preserve"> đáp ứng các yêu cầu khắt khe về phát triển bền vững trong bối cảnh hội nhập quốc tế. </w:t>
      </w:r>
    </w:p>
    <w:p w14:paraId="243DDA24" w14:textId="77777777" w:rsidR="00BD184E" w:rsidRPr="00650C3D" w:rsidRDefault="00650C3D">
      <w:pPr>
        <w:jc w:val="both"/>
        <w:rPr>
          <w:rFonts w:ascii="Times New Roman" w:eastAsia="Times New Roman" w:hAnsi="Times New Roman" w:cs="Times New Roman"/>
          <w:sz w:val="28"/>
          <w:szCs w:val="28"/>
        </w:rPr>
      </w:pPr>
      <w:r w:rsidRPr="00650C3D">
        <w:rPr>
          <w:rFonts w:ascii="Times New Roman" w:eastAsia="Times New Roman" w:hAnsi="Times New Roman" w:cs="Times New Roman"/>
          <w:i/>
          <w:iCs/>
          <w:sz w:val="28"/>
          <w:szCs w:val="28"/>
        </w:rPr>
        <w:t>Bốn là,</w:t>
      </w:r>
      <w:r>
        <w:rPr>
          <w:rFonts w:ascii="Times New Roman" w:eastAsia="Times New Roman" w:hAnsi="Times New Roman" w:cs="Times New Roman"/>
          <w:sz w:val="28"/>
          <w:szCs w:val="28"/>
        </w:rPr>
        <w:t xml:space="preserve"> tài chính xanh tạo cơ hội thu hút đầu tư quốc tế và nâng cao vị thế của doanh nghiệp Việt Nam. Tài chính xanh đang mở ra cơ hội quan trọng trong việc thu hút dòn</w:t>
      </w:r>
      <w:r>
        <w:rPr>
          <w:rFonts w:ascii="Times New Roman" w:eastAsia="Times New Roman" w:hAnsi="Times New Roman" w:cs="Times New Roman"/>
          <w:sz w:val="28"/>
          <w:szCs w:val="28"/>
        </w:rPr>
        <w:t>g vốn đầu tư trực tiếp nước ngoài (FDI), đặc biệt trong bối cảnh các nhà đầu tư quốc tế ngày càng chú trọng đến các tiêu chí về môi trường, xã hội và quản trị (ESG). Các quỹ đầu tư quốc tế ngày càng ưu tiên rót vốn và các doanh nghiệp có cam kết rõ ràng về</w:t>
      </w:r>
      <w:r>
        <w:rPr>
          <w:rFonts w:ascii="Times New Roman" w:eastAsia="Times New Roman" w:hAnsi="Times New Roman" w:cs="Times New Roman"/>
          <w:sz w:val="28"/>
          <w:szCs w:val="28"/>
        </w:rPr>
        <w:t xml:space="preserve"> phát triển xanh và trách nhiệm môi trường. Do đó, việc triển khai dự án xanh không chỉ giúp doanh nghiệp Việt Nam nâng cao giá trị uy tín, mà còn là cơ hội để tiếp cận và thu hút các nhà đầu tư trực tiếp nước ngoài.</w:t>
      </w:r>
    </w:p>
    <w:p w14:paraId="0000002B" w14:textId="37A085E8" w:rsidR="005D2465" w:rsidRDefault="00650C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Thực tế cho thấy, nhiều doanh nghiệp V</w:t>
      </w:r>
      <w:r>
        <w:rPr>
          <w:rFonts w:ascii="Times New Roman" w:eastAsia="Times New Roman" w:hAnsi="Times New Roman" w:cs="Times New Roman"/>
          <w:sz w:val="28"/>
          <w:szCs w:val="28"/>
        </w:rPr>
        <w:t xml:space="preserve">iệt Nam điển hình là Công ty Cổ phần Tập đoàn PC1, BIM Land đã thành công trong việc huy động nguồn vốn từ các tổ chức tài chính quốc tế. Điều này không chỉ góp phần nâng cao hình ảnh của doanh </w:t>
      </w:r>
      <w:r>
        <w:rPr>
          <w:rFonts w:ascii="Times New Roman" w:eastAsia="Times New Roman" w:hAnsi="Times New Roman" w:cs="Times New Roman"/>
          <w:sz w:val="28"/>
          <w:szCs w:val="28"/>
        </w:rPr>
        <w:lastRenderedPageBreak/>
        <w:t xml:space="preserve">nghiệp và quốc gia, đồng thời là thế mạnh để thu hút dòng vốn </w:t>
      </w:r>
      <w:r>
        <w:rPr>
          <w:rFonts w:ascii="Times New Roman" w:eastAsia="Times New Roman" w:hAnsi="Times New Roman" w:cs="Times New Roman"/>
          <w:sz w:val="28"/>
          <w:szCs w:val="28"/>
        </w:rPr>
        <w:t xml:space="preserve">FDI chất lượng cao vào nền kinh tế Việt Nam. </w:t>
      </w:r>
    </w:p>
    <w:p w14:paraId="0000002C" w14:textId="77777777" w:rsidR="005D2465" w:rsidRDefault="00650C3D">
      <w:pPr>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 Thách thức của tài chính xanh tại Việt Nam</w:t>
      </w:r>
    </w:p>
    <w:p w14:paraId="0000002D" w14:textId="77777777" w:rsidR="005D2465" w:rsidRDefault="00650C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Tài chính xanh đang chuyển mình mạnh mẽ, được coi là chìa khóa giải quyết các vấn đề về môi trường và thúc đẩy phát triển bền vững. Tuy nhiên, tài chính xanh tại Vi</w:t>
      </w:r>
      <w:r>
        <w:rPr>
          <w:rFonts w:ascii="Times New Roman" w:eastAsia="Times New Roman" w:hAnsi="Times New Roman" w:cs="Times New Roman"/>
          <w:sz w:val="28"/>
          <w:szCs w:val="28"/>
        </w:rPr>
        <w:t>ệt Nam hiện nay vẫn còn tồn tại những hạn chế và thách thức.</w:t>
      </w:r>
    </w:p>
    <w:p w14:paraId="0000002E" w14:textId="77777777" w:rsidR="005D2465" w:rsidRDefault="00650C3D">
      <w:pPr>
        <w:jc w:val="both"/>
        <w:rPr>
          <w:rFonts w:ascii="Times New Roman" w:eastAsia="Times New Roman" w:hAnsi="Times New Roman" w:cs="Times New Roman"/>
          <w:sz w:val="28"/>
          <w:szCs w:val="28"/>
        </w:rPr>
      </w:pPr>
      <w:r w:rsidRPr="00650C3D">
        <w:rPr>
          <w:rFonts w:ascii="Times New Roman" w:eastAsia="Times New Roman" w:hAnsi="Times New Roman" w:cs="Times New Roman"/>
          <w:i/>
          <w:iCs/>
          <w:sz w:val="28"/>
          <w:szCs w:val="28"/>
        </w:rPr>
        <w:t>Một là,</w:t>
      </w:r>
      <w:r>
        <w:rPr>
          <w:rFonts w:ascii="Times New Roman" w:eastAsia="Times New Roman" w:hAnsi="Times New Roman" w:cs="Times New Roman"/>
          <w:sz w:val="28"/>
          <w:szCs w:val="28"/>
        </w:rPr>
        <w:t xml:space="preserve"> hệ thống phân loại xanh quốc gia (Green Taxonomy) chưa được thống nhất và đồng bộ. Mặc dù các cơ quan quản lý nhà nước đã ban hành nhiều văn bản liên quan đến khơi thông dòng vốn cho các </w:t>
      </w:r>
      <w:r>
        <w:rPr>
          <w:rFonts w:ascii="Times New Roman" w:eastAsia="Times New Roman" w:hAnsi="Times New Roman" w:cs="Times New Roman"/>
          <w:sz w:val="28"/>
          <w:szCs w:val="28"/>
        </w:rPr>
        <w:t xml:space="preserve">dự án bền vững, tuy nhiên chưa có một tiêu chí phân loại dự án xanh toàn diện và tương thích với tiêu chuẩn quốc tế. Sự chưa đồng bộ này tạo ra rào cản lớn trong công tác thẩm định và giám sát dòng vốn, làm phát sinh thêm chi phí giao dịch với các tổ chức </w:t>
      </w:r>
      <w:r>
        <w:rPr>
          <w:rFonts w:ascii="Times New Roman" w:eastAsia="Times New Roman" w:hAnsi="Times New Roman" w:cs="Times New Roman"/>
          <w:sz w:val="28"/>
          <w:szCs w:val="28"/>
        </w:rPr>
        <w:t xml:space="preserve">tín dụng, đồng thời gây khó khăn cho quá trình định hướng đầu tư vào các lĩnh vực ưu tiên và đem lại rủi ro “tẩy xanh” (greenwashing) cho doanh nghiệp, khiến các tổ chức tài chính dè dặt trong việc đưa ra quyết định rót vốn. </w:t>
      </w:r>
    </w:p>
    <w:p w14:paraId="0000002F" w14:textId="77777777" w:rsidR="005D2465" w:rsidRDefault="00650C3D">
      <w:pPr>
        <w:jc w:val="both"/>
        <w:rPr>
          <w:rFonts w:ascii="Times New Roman" w:eastAsia="Times New Roman" w:hAnsi="Times New Roman" w:cs="Times New Roman"/>
          <w:sz w:val="28"/>
          <w:szCs w:val="28"/>
        </w:rPr>
      </w:pPr>
      <w:r w:rsidRPr="00650C3D">
        <w:rPr>
          <w:rFonts w:ascii="Times New Roman" w:eastAsia="Times New Roman" w:hAnsi="Times New Roman" w:cs="Times New Roman"/>
          <w:i/>
          <w:iCs/>
          <w:sz w:val="28"/>
          <w:szCs w:val="28"/>
        </w:rPr>
        <w:t>Hai là,</w:t>
      </w:r>
      <w:r>
        <w:rPr>
          <w:rFonts w:ascii="Times New Roman" w:eastAsia="Times New Roman" w:hAnsi="Times New Roman" w:cs="Times New Roman"/>
          <w:sz w:val="28"/>
          <w:szCs w:val="28"/>
        </w:rPr>
        <w:t xml:space="preserve"> nhận thức và năng lực </w:t>
      </w:r>
      <w:r>
        <w:rPr>
          <w:rFonts w:ascii="Times New Roman" w:eastAsia="Times New Roman" w:hAnsi="Times New Roman" w:cs="Times New Roman"/>
          <w:sz w:val="28"/>
          <w:szCs w:val="28"/>
        </w:rPr>
        <w:t>thực thi ESG của doanh nghiệp còn hạn chế. Quy trình chuyển đổi sang mô hình kinh tế xanh đòi hỏi nguồn vốn đầu tư ban đầu khá lớn, trong khi mức độ sẵn sàng của doanh nghiệp, đặc biệt doanh nghiệp vừa và nhỏ còn chưa sẵn sàng và chưa hiểu rõ những lợi ích</w:t>
      </w:r>
      <w:r>
        <w:rPr>
          <w:rFonts w:ascii="Times New Roman" w:eastAsia="Times New Roman" w:hAnsi="Times New Roman" w:cs="Times New Roman"/>
          <w:sz w:val="28"/>
          <w:szCs w:val="28"/>
        </w:rPr>
        <w:t xml:space="preserve"> của tài chính xanh và cách tiếp cận nguồn vốn này như thế nào. Nhiều doanh nghiệp gặp khó khăn trong việc chứng minh hiệu quả môi trường của dự án và thiếu tài sản đảm bảo nên gây ra khó khăn trong quá trình thẩm định. Điều này tạo ra khoảng cách giữa chí</w:t>
      </w:r>
      <w:r>
        <w:rPr>
          <w:rFonts w:ascii="Times New Roman" w:eastAsia="Times New Roman" w:hAnsi="Times New Roman" w:cs="Times New Roman"/>
          <w:sz w:val="28"/>
          <w:szCs w:val="28"/>
        </w:rPr>
        <w:t xml:space="preserve">nh sách khuyến khích và khả năng tiếp cận thực tế của doanh nghiệp. </w:t>
      </w:r>
    </w:p>
    <w:p w14:paraId="00000030" w14:textId="77777777" w:rsidR="005D2465" w:rsidRDefault="00650C3D">
      <w:pPr>
        <w:jc w:val="both"/>
        <w:rPr>
          <w:rFonts w:ascii="Times New Roman" w:eastAsia="Times New Roman" w:hAnsi="Times New Roman" w:cs="Times New Roman"/>
          <w:sz w:val="28"/>
          <w:szCs w:val="28"/>
        </w:rPr>
      </w:pPr>
      <w:r w:rsidRPr="00650C3D">
        <w:rPr>
          <w:rFonts w:ascii="Times New Roman" w:eastAsia="Times New Roman" w:hAnsi="Times New Roman" w:cs="Times New Roman"/>
          <w:i/>
          <w:iCs/>
          <w:sz w:val="28"/>
          <w:szCs w:val="28"/>
        </w:rPr>
        <w:t>Ba là,</w:t>
      </w:r>
      <w:r>
        <w:rPr>
          <w:rFonts w:ascii="Times New Roman" w:eastAsia="Times New Roman" w:hAnsi="Times New Roman" w:cs="Times New Roman"/>
          <w:sz w:val="28"/>
          <w:szCs w:val="28"/>
        </w:rPr>
        <w:t xml:space="preserve"> hạn chế về sự thiếu minh bạch trong hệ thống dữ liệu ESG. Hệ thống dữ liệu ESG tại Việt Nam vẫn chưa đảm bảo tính rõ ràng và thiếu cơ chế kiểm chứng độc lập theo tiêu chuẩn quốc tế</w:t>
      </w:r>
      <w:r>
        <w:rPr>
          <w:rFonts w:ascii="Times New Roman" w:eastAsia="Times New Roman" w:hAnsi="Times New Roman" w:cs="Times New Roman"/>
          <w:sz w:val="28"/>
          <w:szCs w:val="28"/>
        </w:rPr>
        <w:t xml:space="preserve">. Vì thế, độ tin cậy của hệ thống dữ liệu ESG (môi trường, xã hội, quản lý) đang là nhân tố ảnh hưởng đến việc cản trở sự dịch chuyển vốn đầu tư nước ngoài vào thị trường Việt Nam. Bên cạnh đó, thực trạng “tẩy xanh” đang được hiện diện với hình thức doanh </w:t>
      </w:r>
      <w:r>
        <w:rPr>
          <w:rFonts w:ascii="Times New Roman" w:eastAsia="Times New Roman" w:hAnsi="Times New Roman" w:cs="Times New Roman"/>
          <w:sz w:val="28"/>
          <w:szCs w:val="28"/>
        </w:rPr>
        <w:t>nghiệp công bố cam kết phát triển bền vững mang tính hình thức nhưng lại thiếu các hành động thức tiễn. Điều này làm suy giảm niềm tin đối với các định chế tài chính trong và ngoài nước, gây ra hậu quả gia tăng chi phí thẩm định rủi ro, khiến các doanh ngh</w:t>
      </w:r>
      <w:r>
        <w:rPr>
          <w:rFonts w:ascii="Times New Roman" w:eastAsia="Times New Roman" w:hAnsi="Times New Roman" w:cs="Times New Roman"/>
          <w:sz w:val="28"/>
          <w:szCs w:val="28"/>
        </w:rPr>
        <w:t xml:space="preserve">iệp gặp bất lợi lớn trong việc đáp ứng các tiêu chí sàng lọc tín dụng khắt khe để tiếp cận dòng vốn ưu đãi. </w:t>
      </w:r>
    </w:p>
    <w:p w14:paraId="00000031" w14:textId="77777777" w:rsidR="005D2465" w:rsidRDefault="00650C3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6. Giải pháp phát triển tài chính xanh cho doanh nghiệp nhằm phát triển bền vững tại Việt Nam</w:t>
      </w:r>
    </w:p>
    <w:p w14:paraId="00000032" w14:textId="77777777" w:rsidR="005D2465" w:rsidRDefault="00650C3D">
      <w:pPr>
        <w:jc w:val="both"/>
        <w:rPr>
          <w:rFonts w:ascii="Times New Roman" w:eastAsia="Times New Roman" w:hAnsi="Times New Roman" w:cs="Times New Roman"/>
          <w:sz w:val="28"/>
          <w:szCs w:val="28"/>
        </w:rPr>
      </w:pPr>
      <w:r w:rsidRPr="00650C3D">
        <w:rPr>
          <w:rFonts w:ascii="Times New Roman" w:eastAsia="Times New Roman" w:hAnsi="Times New Roman" w:cs="Times New Roman"/>
          <w:i/>
          <w:iCs/>
          <w:sz w:val="28"/>
          <w:szCs w:val="28"/>
        </w:rPr>
        <w:t>Một là,</w:t>
      </w:r>
      <w:r>
        <w:rPr>
          <w:rFonts w:ascii="Times New Roman" w:eastAsia="Times New Roman" w:hAnsi="Times New Roman" w:cs="Times New Roman"/>
          <w:sz w:val="28"/>
          <w:szCs w:val="28"/>
        </w:rPr>
        <w:t xml:space="preserve"> hoàn thiện hành lang pháp lý và phát huy đòn bẩy tài chính. Các cơ quan quản lý cần sớm ban hành bộ tiêu chí phân loại xanh quốc gia và các văn bản hướng dẫn thực thi báo cáo ESG chi tiết cho từng nhóm ngành. Đây là cơ sở nền tảng giúp các tổ chức tín dụn</w:t>
      </w:r>
      <w:r>
        <w:rPr>
          <w:rFonts w:ascii="Times New Roman" w:eastAsia="Times New Roman" w:hAnsi="Times New Roman" w:cs="Times New Roman"/>
          <w:sz w:val="28"/>
          <w:szCs w:val="28"/>
        </w:rPr>
        <w:t xml:space="preserve">g đánh giá và phân bổ nguồn vốn chính xác và hợp lý. Bên cạnh đó, chính phủ cần đẩy mạnh các đòn bẩy tài chính thông qua các cơ chế chính sách giảm thuế, phí cho các doanh nghiệp có cam kết xanh cụ thể. Điều này sẽ tạo điều kiện cho các doanh nghiệp có cơ </w:t>
      </w:r>
      <w:r>
        <w:rPr>
          <w:rFonts w:ascii="Times New Roman" w:eastAsia="Times New Roman" w:hAnsi="Times New Roman" w:cs="Times New Roman"/>
          <w:sz w:val="28"/>
          <w:szCs w:val="28"/>
        </w:rPr>
        <w:t xml:space="preserve">hội tiếp cận và mạnh dạn tham gia vào các dự án xanh. </w:t>
      </w:r>
    </w:p>
    <w:p w14:paraId="00000033" w14:textId="77777777" w:rsidR="005D2465" w:rsidRDefault="00650C3D">
      <w:pPr>
        <w:jc w:val="both"/>
        <w:rPr>
          <w:rFonts w:ascii="Times New Roman" w:eastAsia="Times New Roman" w:hAnsi="Times New Roman" w:cs="Times New Roman"/>
          <w:sz w:val="28"/>
          <w:szCs w:val="28"/>
        </w:rPr>
      </w:pPr>
      <w:r w:rsidRPr="00650C3D">
        <w:rPr>
          <w:rFonts w:ascii="Times New Roman" w:eastAsia="Times New Roman" w:hAnsi="Times New Roman" w:cs="Times New Roman"/>
          <w:i/>
          <w:iCs/>
          <w:sz w:val="28"/>
          <w:szCs w:val="28"/>
        </w:rPr>
        <w:t>Hai là,</w:t>
      </w:r>
      <w:r>
        <w:rPr>
          <w:rFonts w:ascii="Times New Roman" w:eastAsia="Times New Roman" w:hAnsi="Times New Roman" w:cs="Times New Roman"/>
          <w:sz w:val="28"/>
          <w:szCs w:val="28"/>
        </w:rPr>
        <w:t xml:space="preserve"> ứng dụng chuyển đổi xanh, chuyển đổi số và minh bạch hóa hệ sinh thái dữ liệu. Quá trình chuyển đổi xanh phải được kết nối chặt chẽ với việc chuyển đổi số. Việc áp dụng các công nghệ tiên tiến </w:t>
      </w:r>
      <w:r>
        <w:rPr>
          <w:rFonts w:ascii="Times New Roman" w:eastAsia="Times New Roman" w:hAnsi="Times New Roman" w:cs="Times New Roman"/>
          <w:sz w:val="28"/>
          <w:szCs w:val="28"/>
        </w:rPr>
        <w:t>như trí tuệ nhân tạo (AI), dữ liệu lớn (Big Data) là chìa khóa để số hóa và bảo toàn tính minh bạch của hệ sinh thái dữ liệu ESG. Bên cạnh đó, Việt Nam cần xây dựng một hệ sinh thái ESG minh bạch, tích hợp các công nghệ chuỗi khối (blockchain) để giúp số h</w:t>
      </w:r>
      <w:r>
        <w:rPr>
          <w:rFonts w:ascii="Times New Roman" w:eastAsia="Times New Roman" w:hAnsi="Times New Roman" w:cs="Times New Roman"/>
          <w:sz w:val="28"/>
          <w:szCs w:val="28"/>
        </w:rPr>
        <w:t xml:space="preserve">óa quy trình truy xuất nguồn gốc của các dự án xanh, chống “tẩy xanh”. Điều này đóng vai trò rất lớn trong việc xây dựng niềm tin vững chắc đối với các tổ chức tài chính quốc tế. </w:t>
      </w:r>
    </w:p>
    <w:p w14:paraId="00000034" w14:textId="77777777" w:rsidR="005D2465" w:rsidRDefault="00650C3D">
      <w:pPr>
        <w:jc w:val="both"/>
        <w:rPr>
          <w:rFonts w:ascii="Times New Roman" w:eastAsia="Times New Roman" w:hAnsi="Times New Roman" w:cs="Times New Roman"/>
          <w:sz w:val="28"/>
          <w:szCs w:val="28"/>
        </w:rPr>
      </w:pPr>
      <w:r w:rsidRPr="00650C3D">
        <w:rPr>
          <w:rFonts w:ascii="Times New Roman" w:eastAsia="Times New Roman" w:hAnsi="Times New Roman" w:cs="Times New Roman"/>
          <w:i/>
          <w:iCs/>
          <w:sz w:val="28"/>
          <w:szCs w:val="28"/>
        </w:rPr>
        <w:t>Ba là,</w:t>
      </w:r>
      <w:r>
        <w:rPr>
          <w:rFonts w:ascii="Times New Roman" w:eastAsia="Times New Roman" w:hAnsi="Times New Roman" w:cs="Times New Roman"/>
          <w:sz w:val="28"/>
          <w:szCs w:val="28"/>
        </w:rPr>
        <w:t xml:space="preserve"> phát triển nguồn nhân lực và thúc đẩy liên kết chuỗi cung ứng. Thách </w:t>
      </w:r>
      <w:r>
        <w:rPr>
          <w:rFonts w:ascii="Times New Roman" w:eastAsia="Times New Roman" w:hAnsi="Times New Roman" w:cs="Times New Roman"/>
          <w:sz w:val="28"/>
          <w:szCs w:val="28"/>
        </w:rPr>
        <w:t>thức với các doanh nghiệp vừa và nhỏ trong việc thực thi các tiêu chuẩn ESG đó là yêu cầu nguồn vốn ban đầu lớn. Để vượt qua rào cản này, các doanh nghiệp cần thay đổi tư duy, chủ động hợp tác và tạo kết nối trong cùng chuỗi cung ứng, nhằm chia sẻ nguồn lự</w:t>
      </w:r>
      <w:r>
        <w:rPr>
          <w:rFonts w:ascii="Times New Roman" w:eastAsia="Times New Roman" w:hAnsi="Times New Roman" w:cs="Times New Roman"/>
          <w:sz w:val="28"/>
          <w:szCs w:val="28"/>
        </w:rPr>
        <w:t xml:space="preserve">c, kinh nghiệm và tối ưu hóa chi phí chuyển đổi. Bên cạnh đó, việc đầu tư bài bản vào nguồn nhân lực, nâng cao nhận thức và kiến thức chuyên sâu về ESG cho các cán bộ ngân hàng và doanh nghiệp chính là yếu tố then chốt, giúp doanh nghiệp xây dựng năng lực </w:t>
      </w:r>
      <w:r>
        <w:rPr>
          <w:rFonts w:ascii="Times New Roman" w:eastAsia="Times New Roman" w:hAnsi="Times New Roman" w:cs="Times New Roman"/>
          <w:sz w:val="28"/>
          <w:szCs w:val="28"/>
        </w:rPr>
        <w:t>nội tại, đảm bảo khả năng thực thi bền vững và duy trì lợi thế cạnh tranh trong dài hạn.</w:t>
      </w:r>
    </w:p>
    <w:p w14:paraId="00000035" w14:textId="6AB10B23" w:rsidR="005D2465" w:rsidRPr="00607590" w:rsidRDefault="00BD184E">
      <w:pPr>
        <w:jc w:val="both"/>
        <w:rPr>
          <w:rFonts w:ascii="Times New Roman" w:eastAsia="Times New Roman" w:hAnsi="Times New Roman" w:cs="Times New Roman"/>
          <w:sz w:val="28"/>
          <w:szCs w:val="28"/>
        </w:rPr>
      </w:pPr>
      <w:r w:rsidRPr="00650C3D">
        <w:rPr>
          <w:rFonts w:ascii="Times New Roman" w:eastAsia="Times New Roman" w:hAnsi="Times New Roman" w:cs="Times New Roman"/>
          <w:i/>
          <w:iCs/>
          <w:sz w:val="28"/>
          <w:szCs w:val="28"/>
        </w:rPr>
        <w:t>Bốn là</w:t>
      </w:r>
      <w:r w:rsidR="00650C3D" w:rsidRPr="00650C3D">
        <w:rPr>
          <w:rFonts w:ascii="Times New Roman" w:eastAsia="Times New Roman" w:hAnsi="Times New Roman" w:cs="Times New Roman"/>
          <w:i/>
          <w:iCs/>
          <w:sz w:val="28"/>
          <w:szCs w:val="28"/>
        </w:rPr>
        <w:t>,</w:t>
      </w:r>
      <w:r w:rsidR="00650C3D">
        <w:rPr>
          <w:rFonts w:ascii="Times New Roman" w:eastAsia="Times New Roman" w:hAnsi="Times New Roman" w:cs="Times New Roman"/>
          <w:sz w:val="28"/>
          <w:szCs w:val="28"/>
        </w:rPr>
        <w:t xml:space="preserve"> phát huy tối đa vai trò của Ngân hàng Nhà nước và hệ thống ngân hàng. Trong công cuộc chuyển đổi xanh, hệ thống ngân hàng được xác định là trụ cột cung ứng vốn, trong khi Ngân hàng Nhà nước đóng vai trò cơ quan điều phối chính sách, định hướng dòng vốn th</w:t>
      </w:r>
      <w:r w:rsidR="00650C3D">
        <w:rPr>
          <w:rFonts w:ascii="Times New Roman" w:eastAsia="Times New Roman" w:hAnsi="Times New Roman" w:cs="Times New Roman"/>
          <w:sz w:val="28"/>
          <w:szCs w:val="28"/>
        </w:rPr>
        <w:t>ông qua các công cụ chính sách. Sự chủ động của hệ thống ngân hàng trong việc phát triển các sản phẩm tín dụng xanh, đồng thời tích hợp các tiêu chuẩn quản trị rủi ro môi trường vào hoạt động cấp tín dụng, sẽ đóng vai trò mang tính quyết định trong việc hu</w:t>
      </w:r>
      <w:r w:rsidR="00650C3D">
        <w:rPr>
          <w:rFonts w:ascii="Times New Roman" w:eastAsia="Times New Roman" w:hAnsi="Times New Roman" w:cs="Times New Roman"/>
          <w:sz w:val="28"/>
          <w:szCs w:val="28"/>
        </w:rPr>
        <w:t xml:space="preserve">y động và phân bổ hiệu quả các nguồn lực tài chính. Qua đó, tạo điều kiện thuận lợi cho doanh nghiệp nâng cao năng lực </w:t>
      </w:r>
      <w:r w:rsidR="00650C3D">
        <w:rPr>
          <w:rFonts w:ascii="Times New Roman" w:eastAsia="Times New Roman" w:hAnsi="Times New Roman" w:cs="Times New Roman"/>
          <w:sz w:val="28"/>
          <w:szCs w:val="28"/>
        </w:rPr>
        <w:lastRenderedPageBreak/>
        <w:t>cạnh tranh, thúc đẩy tăng trưởng bền vững và từng bước hội nhập sâu rộng vào chuỗi giá trị toàn cầu</w:t>
      </w:r>
      <w:r w:rsidR="00607590" w:rsidRPr="00650C3D">
        <w:rPr>
          <w:rFonts w:ascii="Times New Roman" w:eastAsia="Times New Roman" w:hAnsi="Times New Roman" w:cs="Times New Roman"/>
          <w:sz w:val="28"/>
          <w:szCs w:val="28"/>
        </w:rPr>
        <w:t>.</w:t>
      </w:r>
    </w:p>
    <w:p w14:paraId="00000036" w14:textId="77777777" w:rsidR="005D2465" w:rsidRDefault="00650C3D">
      <w:pPr>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 Kết luận</w:t>
      </w:r>
    </w:p>
    <w:p w14:paraId="7D7DFA84" w14:textId="77777777" w:rsidR="00BD184E" w:rsidRPr="00650C3D" w:rsidRDefault="00650C3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Tài chính chính xanh ở V</w:t>
      </w:r>
      <w:r>
        <w:rPr>
          <w:rFonts w:ascii="Times New Roman" w:eastAsia="Times New Roman" w:hAnsi="Times New Roman" w:cs="Times New Roman"/>
          <w:sz w:val="28"/>
          <w:szCs w:val="28"/>
        </w:rPr>
        <w:t>iệt Nam được dự báo sẽ có sự chuyển mình mạnh mẽ trong những năm sắp tới và trở thành nhân tố trụ cột không thể thiếu trong chiến lược phát triển kinh tế bền vững. Các dự báo cho thấy</w:t>
      </w:r>
      <w:r w:rsidR="00BD184E" w:rsidRPr="00650C3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quy mô thị trường tài chính xanh có khả năng mở rộng đáng kể vào năm 20</w:t>
      </w:r>
      <w:r>
        <w:rPr>
          <w:rFonts w:ascii="Times New Roman" w:eastAsia="Times New Roman" w:hAnsi="Times New Roman" w:cs="Times New Roman"/>
          <w:sz w:val="28"/>
          <w:szCs w:val="28"/>
        </w:rPr>
        <w:t>30 khi có sự tham gia tích cực từ các tổ chức tài chính, doanh nghiệp trong và ngoài nước. Đồng thời, việc tiêu chuẩn hóa các tiêu chí “xanh” đóng vai trò quan trọng trong việc nâng cao tính minh bạch, tạo điều kiện thuận lợi cho sự thu hút đầu tư quốc tế.</w:t>
      </w:r>
      <w:r>
        <w:rPr>
          <w:rFonts w:ascii="Times New Roman" w:eastAsia="Times New Roman" w:hAnsi="Times New Roman" w:cs="Times New Roman"/>
          <w:sz w:val="28"/>
          <w:szCs w:val="28"/>
        </w:rPr>
        <w:t xml:space="preserve"> Bên cạnh đó, sự thâm nhập của công nghệ tài chính (fintech) và các công nghệ tiên tiến sẽ là yếu tố chủ chốt, thúc đẩy sự phát triển của các sản phẩm tài chính xanh, giúp nâng cao hiệu quả và tính minh bạch trong các giao dịch tài chính. </w:t>
      </w:r>
    </w:p>
    <w:p w14:paraId="00000037" w14:textId="5478B9CD" w:rsidR="005D2465" w:rsidRDefault="00650C3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Mặc dù hiện trạn</w:t>
      </w:r>
      <w:r>
        <w:rPr>
          <w:rFonts w:ascii="Times New Roman" w:eastAsia="Times New Roman" w:hAnsi="Times New Roman" w:cs="Times New Roman"/>
          <w:sz w:val="28"/>
          <w:szCs w:val="28"/>
        </w:rPr>
        <w:t xml:space="preserve">g tài chính xanh ở Việt Nam vẫn còn </w:t>
      </w:r>
      <w:r>
        <w:rPr>
          <w:rFonts w:ascii="Times New Roman" w:eastAsia="Times New Roman" w:hAnsi="Times New Roman" w:cs="Times New Roman"/>
          <w:sz w:val="28"/>
          <w:szCs w:val="28"/>
        </w:rPr>
        <w:t xml:space="preserve">không ít </w:t>
      </w:r>
      <w:r w:rsidR="00BD184E" w:rsidRPr="00650C3D">
        <w:rPr>
          <w:rFonts w:ascii="Times New Roman" w:eastAsia="Times New Roman" w:hAnsi="Times New Roman" w:cs="Times New Roman"/>
          <w:sz w:val="28"/>
          <w:szCs w:val="28"/>
        </w:rPr>
        <w:t>khó khăn</w:t>
      </w:r>
      <w:r>
        <w:rPr>
          <w:rFonts w:ascii="Times New Roman" w:eastAsia="Times New Roman" w:hAnsi="Times New Roman" w:cs="Times New Roman"/>
          <w:sz w:val="28"/>
          <w:szCs w:val="28"/>
        </w:rPr>
        <w:t>, nhưng với sự hỗ trợ từ các chính sách pháp lý ngày càng hoàn thiện, cùng cam kết mạnh mẽ của Chính phủ và sự tham gia ngày càng đông đảo của các tổ chức tài chính và doanh ngh</w:t>
      </w:r>
      <w:r>
        <w:rPr>
          <w:rFonts w:ascii="Times New Roman" w:eastAsia="Times New Roman" w:hAnsi="Times New Roman" w:cs="Times New Roman"/>
          <w:sz w:val="28"/>
          <w:szCs w:val="28"/>
        </w:rPr>
        <w:t>iệp, tài chính xanh đang dần trở thành một động lực quan trọng trong việc thúc đẩy sự phát triển kinh tế bền vững. Từ những cơ hội này, Việt Nam có thể khai thác tối đa các nguồn lực quốc tế, hiện thực hóa mục tiêu Net Zero để hướng đến một tương lai xanh,</w:t>
      </w:r>
      <w:r>
        <w:rPr>
          <w:rFonts w:ascii="Times New Roman" w:eastAsia="Times New Roman" w:hAnsi="Times New Roman" w:cs="Times New Roman"/>
          <w:sz w:val="28"/>
          <w:szCs w:val="28"/>
        </w:rPr>
        <w:t xml:space="preserve"> thịnh vượng, đóng góp vào sự phát triển bền vững dài hạn. </w:t>
      </w:r>
    </w:p>
    <w:p w14:paraId="00000038" w14:textId="77777777" w:rsidR="005D2465" w:rsidRDefault="005D2465">
      <w:pPr>
        <w:ind w:firstLine="720"/>
        <w:jc w:val="both"/>
        <w:rPr>
          <w:rFonts w:ascii="Times New Roman" w:eastAsia="Times New Roman" w:hAnsi="Times New Roman" w:cs="Times New Roman"/>
          <w:b/>
          <w:bCs/>
          <w:sz w:val="28"/>
          <w:szCs w:val="28"/>
        </w:rPr>
      </w:pPr>
    </w:p>
    <w:p w14:paraId="00000039" w14:textId="77777777" w:rsidR="005D2465" w:rsidRPr="00650C3D" w:rsidRDefault="00650C3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Tài liệu tham khảo:</w:t>
      </w:r>
    </w:p>
    <w:p w14:paraId="6DEBCFF0" w14:textId="5149A648" w:rsidR="00A300A2" w:rsidRPr="00650C3D" w:rsidRDefault="00A300A2">
      <w:pPr>
        <w:jc w:val="both"/>
        <w:rPr>
          <w:rFonts w:ascii="Times New Roman" w:eastAsia="Times New Roman" w:hAnsi="Times New Roman" w:cs="Times New Roman"/>
          <w:sz w:val="28"/>
          <w:szCs w:val="28"/>
          <w:lang w:val="en-US"/>
        </w:rPr>
      </w:pPr>
      <w:r w:rsidRPr="00650C3D">
        <w:rPr>
          <w:rFonts w:ascii="Times New Roman" w:eastAsia="Times New Roman" w:hAnsi="Times New Roman" w:cs="Times New Roman"/>
          <w:sz w:val="28"/>
          <w:szCs w:val="28"/>
        </w:rPr>
        <w:t xml:space="preserve">Hà Tâm (2025), “Kiềng ba chân” cho vốn xanh bứt tốc. </w:t>
      </w:r>
      <w:r w:rsidRPr="00650C3D">
        <w:rPr>
          <w:rFonts w:ascii="Times New Roman" w:eastAsia="Times New Roman" w:hAnsi="Times New Roman" w:cs="Times New Roman"/>
          <w:sz w:val="28"/>
          <w:szCs w:val="28"/>
          <w:lang w:val="en-US"/>
        </w:rPr>
        <w:t>Truy cập tại https://baodautu.vn/kieng-ba-chan-cho-von-xanh-but-toc-d461544.html</w:t>
      </w:r>
    </w:p>
    <w:p w14:paraId="0000003A" w14:textId="77777777" w:rsidR="005D2465" w:rsidRDefault="00650C3D">
      <w:pPr>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HanaGold (2024). </w:t>
      </w:r>
      <w:r>
        <w:rPr>
          <w:rFonts w:ascii="Times New Roman" w:eastAsia="Times New Roman" w:hAnsi="Times New Roman" w:cs="Times New Roman"/>
          <w:i/>
          <w:iCs/>
          <w:sz w:val="28"/>
          <w:szCs w:val="28"/>
        </w:rPr>
        <w:t xml:space="preserve">Thực trạng tài chính </w:t>
      </w:r>
      <w:r>
        <w:rPr>
          <w:rFonts w:ascii="Times New Roman" w:eastAsia="Times New Roman" w:hAnsi="Times New Roman" w:cs="Times New Roman"/>
          <w:i/>
          <w:iCs/>
          <w:sz w:val="28"/>
          <w:szCs w:val="28"/>
        </w:rPr>
        <w:t>xanh ở Việt Nam: Cơ hội, thách thức và giải pháp</w:t>
      </w:r>
      <w:r>
        <w:rPr>
          <w:rFonts w:ascii="Times New Roman" w:eastAsia="Times New Roman" w:hAnsi="Times New Roman" w:cs="Times New Roman"/>
          <w:sz w:val="28"/>
          <w:szCs w:val="28"/>
        </w:rPr>
        <w:t xml:space="preserve">. Truy cập tại </w:t>
      </w:r>
      <w:hyperlink r:id="rId7">
        <w:r w:rsidR="005D2465">
          <w:rPr>
            <w:rFonts w:ascii="Times New Roman" w:eastAsia="Times New Roman" w:hAnsi="Times New Roman" w:cs="Times New Roman"/>
            <w:color w:val="0563C1"/>
            <w:sz w:val="28"/>
            <w:szCs w:val="28"/>
            <w:u w:val="single"/>
          </w:rPr>
          <w:t>https://hanagold.vn/thuc-trang-tai-chinh-xanh-o-viet-nam-co-hoi-thach-thuc-va-giai-phap</w:t>
        </w:r>
      </w:hyperlink>
      <w:r>
        <w:rPr>
          <w:rFonts w:ascii="Times New Roman" w:eastAsia="Times New Roman" w:hAnsi="Times New Roman" w:cs="Times New Roman"/>
          <w:color w:val="0563C1"/>
          <w:sz w:val="28"/>
          <w:szCs w:val="28"/>
          <w:u w:val="single"/>
        </w:rPr>
        <w:t>.</w:t>
      </w:r>
    </w:p>
    <w:p w14:paraId="0000003B" w14:textId="5D1AC969" w:rsidR="005D2465" w:rsidRDefault="00650C3D">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Nguyễn Thanh Hà (2025). Vai trò của Chính phủ trong việc thúc đẩy đầu tư xanh và tài chính xanh. </w:t>
      </w:r>
      <w:r>
        <w:rPr>
          <w:rFonts w:ascii="Times New Roman" w:eastAsia="Times New Roman" w:hAnsi="Times New Roman" w:cs="Times New Roman"/>
          <w:i/>
          <w:iCs/>
          <w:sz w:val="28"/>
          <w:szCs w:val="28"/>
        </w:rPr>
        <w:t>Tạp chí Công Thương, Số 32/2025.</w:t>
      </w:r>
      <w:r w:rsidR="00607590" w:rsidRPr="00607590">
        <w:t xml:space="preserve"> </w:t>
      </w:r>
      <w:r w:rsidR="00607590" w:rsidRPr="00650C3D">
        <w:t>Truy</w:t>
      </w:r>
      <w:r w:rsidR="00607590">
        <w:rPr>
          <w:lang w:val="en-US"/>
        </w:rPr>
        <w:t xml:space="preserve"> cập tại </w:t>
      </w:r>
      <w:r w:rsidR="00607590" w:rsidRPr="00607590">
        <w:rPr>
          <w:rFonts w:ascii="Times New Roman" w:eastAsia="Times New Roman" w:hAnsi="Times New Roman" w:cs="Times New Roman"/>
          <w:i/>
          <w:iCs/>
          <w:sz w:val="28"/>
          <w:szCs w:val="28"/>
        </w:rPr>
        <w:t>https://ojs.tapchicongthuong.vn/vi/ojs-post/vai-tro-cua-chinh-phu-trong-viec-thuc-day-dau-tu-xanh-va-tai-chinh-xanh-423510.htm</w:t>
      </w:r>
    </w:p>
    <w:p w14:paraId="0000003C" w14:textId="1A7FF571" w:rsidR="005D2465" w:rsidRDefault="00650C3D">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Trần Trọng Triết (2026). </w:t>
      </w:r>
      <w:r>
        <w:rPr>
          <w:rFonts w:ascii="Times New Roman" w:eastAsia="Times New Roman" w:hAnsi="Times New Roman" w:cs="Times New Roman"/>
          <w:i/>
          <w:iCs/>
          <w:sz w:val="28"/>
          <w:szCs w:val="28"/>
        </w:rPr>
        <w:t>Tài chính xanh: “Tấm hộ chiếu” và động lực mới cho khát vọng hóa rồng của kinh tế Việt Nam</w:t>
      </w:r>
      <w:r>
        <w:rPr>
          <w:rFonts w:ascii="Times New Roman" w:eastAsia="Times New Roman" w:hAnsi="Times New Roman" w:cs="Times New Roman"/>
          <w:sz w:val="28"/>
          <w:szCs w:val="28"/>
        </w:rPr>
        <w:t xml:space="preserve">. </w:t>
      </w:r>
      <w:r w:rsidR="00607590" w:rsidRPr="00650C3D">
        <w:rPr>
          <w:rFonts w:ascii="Times New Roman" w:eastAsia="Times New Roman" w:hAnsi="Times New Roman" w:cs="Times New Roman"/>
          <w:sz w:val="28"/>
          <w:szCs w:val="28"/>
        </w:rPr>
        <w:t xml:space="preserve">Tạp chí Thị trường tài chính tiền tệ. </w:t>
      </w:r>
      <w:r>
        <w:rPr>
          <w:rFonts w:ascii="Times New Roman" w:eastAsia="Times New Roman" w:hAnsi="Times New Roman" w:cs="Times New Roman"/>
          <w:sz w:val="28"/>
          <w:szCs w:val="28"/>
        </w:rPr>
        <w:t xml:space="preserve">Truy cập tại </w:t>
      </w:r>
      <w:hyperlink r:id="rId8">
        <w:r w:rsidR="005D2465">
          <w:rPr>
            <w:rFonts w:ascii="Times New Roman" w:eastAsia="Times New Roman" w:hAnsi="Times New Roman" w:cs="Times New Roman"/>
            <w:color w:val="0563C1"/>
            <w:sz w:val="28"/>
            <w:szCs w:val="28"/>
            <w:u w:val="single"/>
          </w:rPr>
          <w:t>https://thitruongtaichinhtiente.vn/tai-chinh-xanh-tam-ho-chieu-va-dong-luc-moi-cho-khat-vong-hoa-rong-cua-kinh-te-viet-nam-77254.html</w:t>
        </w:r>
      </w:hyperlink>
      <w:r>
        <w:rPr>
          <w:rFonts w:ascii="Times New Roman" w:eastAsia="Times New Roman" w:hAnsi="Times New Roman" w:cs="Times New Roman"/>
          <w:color w:val="0563C1"/>
          <w:sz w:val="28"/>
          <w:szCs w:val="28"/>
          <w:u w:val="single"/>
        </w:rPr>
        <w:t>.</w:t>
      </w:r>
    </w:p>
    <w:p w14:paraId="0000003D" w14:textId="367CD7F2" w:rsidR="005D2465" w:rsidRDefault="00650C3D">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Thủ tướng Chính phủ (2025). Quyết định số 21/2025/QĐ-TTg ngày 04/07/2025 quy định tiêu chí môi trường và việc xác nhận dự án đầu tư thuộc danh mục phân loại xanh</w:t>
      </w:r>
      <w:r>
        <w:rPr>
          <w:rFonts w:ascii="Times New Roman" w:eastAsia="Times New Roman" w:hAnsi="Times New Roman" w:cs="Times New Roman"/>
          <w:sz w:val="28"/>
          <w:szCs w:val="28"/>
        </w:rPr>
        <w:t>.</w:t>
      </w:r>
    </w:p>
    <w:p w14:paraId="0000003E" w14:textId="77777777" w:rsidR="005D2465" w:rsidRDefault="00650C3D">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Li X., Lu Y. (2022). How green credit policy shapes financial performance: Evidence from Chinese listed construction energy-saving enterprise. </w:t>
      </w:r>
      <w:r>
        <w:rPr>
          <w:rFonts w:ascii="Times New Roman" w:eastAsia="Times New Roman" w:hAnsi="Times New Roman" w:cs="Times New Roman"/>
          <w:i/>
          <w:iCs/>
          <w:sz w:val="28"/>
          <w:szCs w:val="28"/>
        </w:rPr>
        <w:t>Frontiers in Environmental Science</w:t>
      </w:r>
      <w:r>
        <w:rPr>
          <w:rFonts w:ascii="Times New Roman" w:eastAsia="Times New Roman" w:hAnsi="Times New Roman" w:cs="Times New Roman"/>
          <w:sz w:val="28"/>
          <w:szCs w:val="28"/>
        </w:rPr>
        <w:t xml:space="preserve">, 10, 1004247. </w:t>
      </w:r>
    </w:p>
    <w:p w14:paraId="0000003F" w14:textId="77777777" w:rsidR="005D2465" w:rsidRDefault="00650C3D">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Liu Y., Zhang L., Wang Q. et al. (2022). Does green finance pro</w:t>
      </w:r>
      <w:r>
        <w:rPr>
          <w:rFonts w:ascii="Times New Roman" w:eastAsia="Times New Roman" w:hAnsi="Times New Roman" w:cs="Times New Roman"/>
          <w:sz w:val="28"/>
          <w:szCs w:val="28"/>
        </w:rPr>
        <w:t xml:space="preserve">mote the social responsibility fulfilment of highly polluting enterprises?. </w:t>
      </w:r>
      <w:r>
        <w:rPr>
          <w:rFonts w:ascii="Times New Roman" w:eastAsia="Times New Roman" w:hAnsi="Times New Roman" w:cs="Times New Roman"/>
          <w:i/>
          <w:iCs/>
          <w:sz w:val="28"/>
          <w:szCs w:val="28"/>
        </w:rPr>
        <w:t>International Review of Economics &amp; Finance</w:t>
      </w:r>
      <w:r>
        <w:rPr>
          <w:rFonts w:ascii="Times New Roman" w:eastAsia="Times New Roman" w:hAnsi="Times New Roman" w:cs="Times New Roman"/>
          <w:sz w:val="28"/>
          <w:szCs w:val="28"/>
        </w:rPr>
        <w:t xml:space="preserve">, 89, 1185-1202. </w:t>
      </w:r>
    </w:p>
    <w:p w14:paraId="00000040" w14:textId="77777777" w:rsidR="005D2465" w:rsidRDefault="00650C3D">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Luo Y., Zhang X., Li H. et al. (2024). Can green finance improve the ESG performance? Evidence from green credit policy</w:t>
      </w:r>
      <w:r>
        <w:rPr>
          <w:rFonts w:ascii="Times New Roman" w:eastAsia="Times New Roman" w:hAnsi="Times New Roman" w:cs="Times New Roman"/>
          <w:sz w:val="28"/>
          <w:szCs w:val="28"/>
        </w:rPr>
        <w:t xml:space="preserve"> in China. </w:t>
      </w:r>
      <w:r>
        <w:rPr>
          <w:rFonts w:ascii="Times New Roman" w:eastAsia="Times New Roman" w:hAnsi="Times New Roman" w:cs="Times New Roman"/>
          <w:i/>
          <w:iCs/>
          <w:sz w:val="28"/>
          <w:szCs w:val="28"/>
        </w:rPr>
        <w:t>Energy Economics</w:t>
      </w:r>
      <w:r>
        <w:rPr>
          <w:rFonts w:ascii="Times New Roman" w:eastAsia="Times New Roman" w:hAnsi="Times New Roman" w:cs="Times New Roman"/>
          <w:sz w:val="28"/>
          <w:szCs w:val="28"/>
        </w:rPr>
        <w:t xml:space="preserve">, 137, 107772. </w:t>
      </w:r>
    </w:p>
    <w:p w14:paraId="00000041" w14:textId="77777777" w:rsidR="005D2465" w:rsidRDefault="00650C3D">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Mohammad Mudasser &amp; Abhinav Goyal (2025). </w:t>
      </w:r>
      <w:r>
        <w:rPr>
          <w:rFonts w:ascii="Times New Roman" w:eastAsia="Times New Roman" w:hAnsi="Times New Roman" w:cs="Times New Roman"/>
          <w:i/>
          <w:iCs/>
          <w:sz w:val="28"/>
          <w:szCs w:val="28"/>
        </w:rPr>
        <w:t>Green Finance in Vietnam: Pathway to Sustainable Economic Development</w:t>
      </w:r>
      <w:r>
        <w:rPr>
          <w:rFonts w:ascii="Times New Roman" w:eastAsia="Times New Roman" w:hAnsi="Times New Roman" w:cs="Times New Roman"/>
          <w:sz w:val="28"/>
          <w:szCs w:val="28"/>
        </w:rPr>
        <w:t>. PwC Viet Nam.</w:t>
      </w:r>
    </w:p>
    <w:p w14:paraId="00000042" w14:textId="77777777" w:rsidR="005D2465" w:rsidRDefault="00650C3D">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Sadiku M., Musa S., Nelatury S. (2019), Green finance: A gentle introduction, </w:t>
      </w:r>
      <w:r>
        <w:rPr>
          <w:rFonts w:ascii="Times New Roman" w:eastAsia="Times New Roman" w:hAnsi="Times New Roman" w:cs="Times New Roman"/>
          <w:i/>
          <w:iCs/>
          <w:sz w:val="28"/>
          <w:szCs w:val="28"/>
        </w:rPr>
        <w:t xml:space="preserve">Journal </w:t>
      </w:r>
      <w:r>
        <w:rPr>
          <w:rFonts w:ascii="Times New Roman" w:eastAsia="Times New Roman" w:hAnsi="Times New Roman" w:cs="Times New Roman"/>
          <w:i/>
          <w:iCs/>
          <w:sz w:val="28"/>
          <w:szCs w:val="28"/>
        </w:rPr>
        <w:t>of Scientific and Engineering Research</w:t>
      </w:r>
      <w:r>
        <w:rPr>
          <w:rFonts w:ascii="Times New Roman" w:eastAsia="Times New Roman" w:hAnsi="Times New Roman" w:cs="Times New Roman"/>
          <w:sz w:val="28"/>
          <w:szCs w:val="28"/>
        </w:rPr>
        <w:t xml:space="preserve">, 6(1), 1-6. </w:t>
      </w:r>
    </w:p>
    <w:p w14:paraId="00000043" w14:textId="77777777" w:rsidR="005D2465" w:rsidRDefault="00650C3D">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Tang X., Wang Q., Noor S. et al. (2024). Exploring the impact of green finance and green innovation on resource efficiency. </w:t>
      </w:r>
      <w:r>
        <w:rPr>
          <w:rFonts w:ascii="Times New Roman" w:eastAsia="Times New Roman" w:hAnsi="Times New Roman" w:cs="Times New Roman"/>
          <w:i/>
          <w:iCs/>
          <w:sz w:val="28"/>
          <w:szCs w:val="28"/>
        </w:rPr>
        <w:t>Sustainability</w:t>
      </w:r>
      <w:r>
        <w:rPr>
          <w:rFonts w:ascii="Times New Roman" w:eastAsia="Times New Roman" w:hAnsi="Times New Roman" w:cs="Times New Roman"/>
          <w:sz w:val="28"/>
          <w:szCs w:val="28"/>
        </w:rPr>
        <w:t xml:space="preserve">, 16(18), 8047. </w:t>
      </w:r>
    </w:p>
    <w:p w14:paraId="00000044" w14:textId="77777777" w:rsidR="005D2465" w:rsidRDefault="00650C3D">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Van Niekerk A. (2024). Green finance and inclusi</w:t>
      </w:r>
      <w:r>
        <w:rPr>
          <w:rFonts w:ascii="Times New Roman" w:eastAsia="Times New Roman" w:hAnsi="Times New Roman" w:cs="Times New Roman"/>
          <w:sz w:val="28"/>
          <w:szCs w:val="28"/>
        </w:rPr>
        <w:t xml:space="preserve">ve economic transition. </w:t>
      </w:r>
      <w:r>
        <w:rPr>
          <w:rFonts w:ascii="Times New Roman" w:eastAsia="Times New Roman" w:hAnsi="Times New Roman" w:cs="Times New Roman"/>
          <w:i/>
          <w:iCs/>
          <w:sz w:val="28"/>
          <w:szCs w:val="28"/>
        </w:rPr>
        <w:t>Frontiers in Environmental Science</w:t>
      </w:r>
      <w:r>
        <w:rPr>
          <w:rFonts w:ascii="Times New Roman" w:eastAsia="Times New Roman" w:hAnsi="Times New Roman" w:cs="Times New Roman"/>
          <w:sz w:val="28"/>
          <w:szCs w:val="28"/>
        </w:rPr>
        <w:t xml:space="preserve">, 12, 1513204. </w:t>
      </w:r>
    </w:p>
    <w:p w14:paraId="00000045" w14:textId="77777777" w:rsidR="005D2465" w:rsidRDefault="00650C3D">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Zadek S., Flynn  C. (2013). South-originating green finance: Exploring the potential. </w:t>
      </w:r>
      <w:r>
        <w:rPr>
          <w:rFonts w:ascii="Times New Roman" w:eastAsia="Times New Roman" w:hAnsi="Times New Roman" w:cs="Times New Roman"/>
          <w:i/>
          <w:iCs/>
          <w:sz w:val="28"/>
          <w:szCs w:val="28"/>
        </w:rPr>
        <w:t>UNEP Inquiry Report</w:t>
      </w:r>
      <w:r>
        <w:rPr>
          <w:rFonts w:ascii="Times New Roman" w:eastAsia="Times New Roman" w:hAnsi="Times New Roman" w:cs="Times New Roman"/>
          <w:sz w:val="28"/>
          <w:szCs w:val="28"/>
        </w:rPr>
        <w:t xml:space="preserve">. </w:t>
      </w:r>
    </w:p>
    <w:p w14:paraId="00000046" w14:textId="77777777" w:rsidR="005D2465" w:rsidRDefault="00650C3D">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Zheng M., Wu L., Feng G., Chang C. P. (2025). The impact of green financ</w:t>
      </w:r>
      <w:r>
        <w:rPr>
          <w:rFonts w:ascii="Times New Roman" w:eastAsia="Times New Roman" w:hAnsi="Times New Roman" w:cs="Times New Roman"/>
          <w:sz w:val="28"/>
          <w:szCs w:val="28"/>
        </w:rPr>
        <w:t xml:space="preserve">e on sustainable development: An investigation into national ESG performance. </w:t>
      </w:r>
      <w:r>
        <w:rPr>
          <w:rFonts w:ascii="Times New Roman" w:eastAsia="Times New Roman" w:hAnsi="Times New Roman" w:cs="Times New Roman"/>
          <w:i/>
          <w:iCs/>
          <w:sz w:val="28"/>
          <w:szCs w:val="28"/>
        </w:rPr>
        <w:t>Journal of Applied Economics</w:t>
      </w:r>
      <w:r>
        <w:rPr>
          <w:rFonts w:ascii="Times New Roman" w:eastAsia="Times New Roman" w:hAnsi="Times New Roman" w:cs="Times New Roman"/>
          <w:sz w:val="28"/>
          <w:szCs w:val="28"/>
        </w:rPr>
        <w:t xml:space="preserve">, 28(1). </w:t>
      </w:r>
    </w:p>
    <w:p w14:paraId="00000047" w14:textId="77777777" w:rsidR="005D2465" w:rsidRDefault="00650C3D">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Zhou X., Tang X., &amp; Zhang R. (2020), </w:t>
      </w:r>
      <w:r>
        <w:rPr>
          <w:rFonts w:ascii="Times New Roman" w:eastAsia="Times New Roman" w:hAnsi="Times New Roman" w:cs="Times New Roman"/>
          <w:i/>
          <w:iCs/>
          <w:sz w:val="28"/>
          <w:szCs w:val="28"/>
        </w:rPr>
        <w:t>Impact of green finance on economic development and environmental quality: A study based on provincial</w:t>
      </w:r>
      <w:r>
        <w:rPr>
          <w:rFonts w:ascii="Times New Roman" w:eastAsia="Times New Roman" w:hAnsi="Times New Roman" w:cs="Times New Roman"/>
          <w:i/>
          <w:iCs/>
          <w:sz w:val="28"/>
          <w:szCs w:val="28"/>
        </w:rPr>
        <w:t xml:space="preserve"> panel data from China</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Environmental Science and Pollution Research</w:t>
      </w:r>
      <w:r>
        <w:rPr>
          <w:rFonts w:ascii="Times New Roman" w:eastAsia="Times New Roman" w:hAnsi="Times New Roman" w:cs="Times New Roman"/>
          <w:sz w:val="28"/>
          <w:szCs w:val="28"/>
        </w:rPr>
        <w:t>, 27, 19915–19932.</w:t>
      </w:r>
    </w:p>
    <w:p w14:paraId="00000048" w14:textId="77777777" w:rsidR="005D2465" w:rsidRDefault="00650C3D">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Ziolo M., Bak I., Cheba K. et al. (2021). Sustainable finance instruments and SDGs. </w:t>
      </w:r>
      <w:r>
        <w:rPr>
          <w:rFonts w:ascii="Times New Roman" w:eastAsia="Times New Roman" w:hAnsi="Times New Roman" w:cs="Times New Roman"/>
          <w:i/>
          <w:iCs/>
          <w:sz w:val="28"/>
          <w:szCs w:val="28"/>
        </w:rPr>
        <w:t>Sustainability</w:t>
      </w:r>
      <w:r>
        <w:rPr>
          <w:rFonts w:ascii="Times New Roman" w:eastAsia="Times New Roman" w:hAnsi="Times New Roman" w:cs="Times New Roman"/>
          <w:sz w:val="28"/>
          <w:szCs w:val="28"/>
        </w:rPr>
        <w:t>, 13(6), 1-20.</w:t>
      </w:r>
    </w:p>
    <w:p w14:paraId="00000049" w14:textId="77777777" w:rsidR="005D2465" w:rsidRDefault="005D2465">
      <w:pPr>
        <w:rPr>
          <w:rFonts w:ascii="Times New Roman" w:eastAsia="Times New Roman" w:hAnsi="Times New Roman" w:cs="Times New Roman"/>
          <w:sz w:val="28"/>
          <w:szCs w:val="28"/>
        </w:rPr>
      </w:pPr>
    </w:p>
    <w:p w14:paraId="0000004C" w14:textId="21E1DACD" w:rsidR="005D2465" w:rsidRPr="00650C3D" w:rsidRDefault="005D2465">
      <w:pPr>
        <w:spacing w:before="120" w:after="0" w:line="240" w:lineRule="auto"/>
        <w:jc w:val="both"/>
        <w:rPr>
          <w:rFonts w:ascii="Times New Roman" w:eastAsia="Times New Roman" w:hAnsi="Times New Roman" w:cs="Times New Roman"/>
          <w:sz w:val="28"/>
          <w:szCs w:val="28"/>
        </w:rPr>
      </w:pPr>
    </w:p>
    <w:p w14:paraId="29B0311D" w14:textId="77777777" w:rsidR="00650C3D" w:rsidRDefault="00650C3D" w:rsidP="00650C3D">
      <w:r>
        <w:t>Ngày nhận bài: 20/01/2026</w:t>
      </w:r>
    </w:p>
    <w:p w14:paraId="6758FE06" w14:textId="77777777" w:rsidR="00650C3D" w:rsidRDefault="00650C3D" w:rsidP="00650C3D">
      <w:r>
        <w:t>Ngày phản biện đánh giá và sửa chữa: 08/02/2026</w:t>
      </w:r>
    </w:p>
    <w:p w14:paraId="0000004D" w14:textId="13F197AB" w:rsidR="005D2465" w:rsidRDefault="00650C3D">
      <w:pPr>
        <w:spacing w:before="120" w:after="0" w:line="240" w:lineRule="auto"/>
        <w:jc w:val="both"/>
        <w:rPr>
          <w:lang w:val="en-US"/>
        </w:rPr>
      </w:pPr>
      <w:r>
        <w:t xml:space="preserve">Ngày chấp nhận đăng bài: 22/02/2026 </w:t>
      </w:r>
    </w:p>
    <w:p w14:paraId="36543770" w14:textId="77777777" w:rsidR="00650C3D" w:rsidRPr="00650C3D" w:rsidRDefault="00650C3D">
      <w:pPr>
        <w:spacing w:before="120" w:after="0" w:line="240" w:lineRule="auto"/>
        <w:jc w:val="both"/>
        <w:rPr>
          <w:rFonts w:ascii="Times New Roman" w:eastAsia="Times New Roman" w:hAnsi="Times New Roman" w:cs="Times New Roman"/>
          <w:sz w:val="28"/>
          <w:szCs w:val="28"/>
          <w:lang w:val="en-US"/>
        </w:rPr>
      </w:pPr>
    </w:p>
    <w:p w14:paraId="7BB7FAED" w14:textId="6BCE718C" w:rsidR="00E5356B" w:rsidRPr="00650C3D" w:rsidRDefault="00E5356B">
      <w:pPr>
        <w:ind w:firstLine="720"/>
        <w:jc w:val="center"/>
        <w:rPr>
          <w:rFonts w:ascii="Times New Roman" w:eastAsia="Times New Roman" w:hAnsi="Times New Roman" w:cs="Times New Roman"/>
          <w:b/>
          <w:bCs/>
          <w:sz w:val="28"/>
          <w:szCs w:val="28"/>
          <w:lang w:val="en-US"/>
        </w:rPr>
      </w:pPr>
      <w:r w:rsidRPr="00E5356B">
        <w:rPr>
          <w:rFonts w:ascii="Times New Roman" w:eastAsia="Times New Roman" w:hAnsi="Times New Roman" w:cs="Times New Roman"/>
          <w:b/>
          <w:bCs/>
          <w:sz w:val="28"/>
          <w:szCs w:val="28"/>
          <w:lang w:val="en-US"/>
        </w:rPr>
        <w:t xml:space="preserve">Green </w:t>
      </w:r>
      <w:r>
        <w:rPr>
          <w:rFonts w:ascii="Times New Roman" w:eastAsia="Times New Roman" w:hAnsi="Times New Roman" w:cs="Times New Roman"/>
          <w:b/>
          <w:bCs/>
          <w:sz w:val="28"/>
          <w:szCs w:val="28"/>
          <w:lang w:val="en-US"/>
        </w:rPr>
        <w:t>f</w:t>
      </w:r>
      <w:r w:rsidRPr="00E5356B">
        <w:rPr>
          <w:rFonts w:ascii="Times New Roman" w:eastAsia="Times New Roman" w:hAnsi="Times New Roman" w:cs="Times New Roman"/>
          <w:b/>
          <w:bCs/>
          <w:sz w:val="28"/>
          <w:szCs w:val="28"/>
          <w:lang w:val="en-US"/>
        </w:rPr>
        <w:t>inance in Vietnam: Opportunities</w:t>
      </w:r>
      <w:r>
        <w:rPr>
          <w:rFonts w:ascii="Times New Roman" w:eastAsia="Times New Roman" w:hAnsi="Times New Roman" w:cs="Times New Roman"/>
          <w:b/>
          <w:bCs/>
          <w:sz w:val="28"/>
          <w:szCs w:val="28"/>
          <w:lang w:val="en-US"/>
        </w:rPr>
        <w:t xml:space="preserve"> and challenges for</w:t>
      </w:r>
      <w:r w:rsidRPr="00E5356B">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b/>
          <w:bCs/>
          <w:sz w:val="28"/>
          <w:szCs w:val="28"/>
          <w:lang w:val="en-US"/>
        </w:rPr>
        <w:t>s</w:t>
      </w:r>
      <w:r w:rsidRPr="00E5356B">
        <w:rPr>
          <w:rFonts w:ascii="Times New Roman" w:eastAsia="Times New Roman" w:hAnsi="Times New Roman" w:cs="Times New Roman"/>
          <w:b/>
          <w:bCs/>
          <w:sz w:val="28"/>
          <w:szCs w:val="28"/>
          <w:lang w:val="en-US"/>
        </w:rPr>
        <w:t xml:space="preserve">ustainable </w:t>
      </w:r>
      <w:r>
        <w:rPr>
          <w:rFonts w:ascii="Times New Roman" w:eastAsia="Times New Roman" w:hAnsi="Times New Roman" w:cs="Times New Roman"/>
          <w:b/>
          <w:bCs/>
          <w:sz w:val="28"/>
          <w:szCs w:val="28"/>
          <w:lang w:val="en-US"/>
        </w:rPr>
        <w:t>ec</w:t>
      </w:r>
      <w:r w:rsidRPr="00E5356B">
        <w:rPr>
          <w:rFonts w:ascii="Times New Roman" w:eastAsia="Times New Roman" w:hAnsi="Times New Roman" w:cs="Times New Roman"/>
          <w:b/>
          <w:bCs/>
          <w:sz w:val="28"/>
          <w:szCs w:val="28"/>
          <w:lang w:val="en-US"/>
        </w:rPr>
        <w:t xml:space="preserve">onomic </w:t>
      </w:r>
      <w:r>
        <w:rPr>
          <w:rFonts w:ascii="Times New Roman" w:eastAsia="Times New Roman" w:hAnsi="Times New Roman" w:cs="Times New Roman"/>
          <w:b/>
          <w:bCs/>
          <w:sz w:val="28"/>
          <w:szCs w:val="28"/>
          <w:lang w:val="en-US"/>
        </w:rPr>
        <w:t>d</w:t>
      </w:r>
      <w:r w:rsidRPr="00E5356B">
        <w:rPr>
          <w:rFonts w:ascii="Times New Roman" w:eastAsia="Times New Roman" w:hAnsi="Times New Roman" w:cs="Times New Roman"/>
          <w:b/>
          <w:bCs/>
          <w:sz w:val="28"/>
          <w:szCs w:val="28"/>
          <w:lang w:val="en-US"/>
        </w:rPr>
        <w:t>evelopment</w:t>
      </w:r>
    </w:p>
    <w:p w14:paraId="0000004F" w14:textId="77777777" w:rsidR="005D2465" w:rsidRDefault="00650C3D">
      <w:pPr>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Nguyen Bich Thao Uyen</w:t>
      </w:r>
    </w:p>
    <w:p w14:paraId="00000050" w14:textId="77777777" w:rsidR="005D2465" w:rsidRDefault="00650C3D">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Industrial University of Ho Chi Minh City</w:t>
      </w:r>
    </w:p>
    <w:p w14:paraId="00000051" w14:textId="77777777" w:rsidR="005D2465" w:rsidRDefault="00650C3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14:paraId="511F8D7C" w14:textId="0A1A492D" w:rsidR="004D1A0B" w:rsidRDefault="004D1A0B">
      <w:pPr>
        <w:jc w:val="both"/>
        <w:rPr>
          <w:rFonts w:ascii="Times New Roman" w:eastAsia="Times New Roman" w:hAnsi="Times New Roman" w:cs="Times New Roman"/>
          <w:sz w:val="28"/>
          <w:szCs w:val="28"/>
        </w:rPr>
      </w:pPr>
      <w:r w:rsidRPr="004D1A0B">
        <w:rPr>
          <w:rFonts w:ascii="Times New Roman" w:eastAsia="Times New Roman" w:hAnsi="Times New Roman" w:cs="Times New Roman"/>
          <w:sz w:val="28"/>
          <w:szCs w:val="28"/>
        </w:rPr>
        <w:t xml:space="preserve">This </w:t>
      </w:r>
      <w:r w:rsidR="00E5356B">
        <w:rPr>
          <w:rFonts w:ascii="Times New Roman" w:eastAsia="Times New Roman" w:hAnsi="Times New Roman" w:cs="Times New Roman"/>
          <w:sz w:val="28"/>
          <w:szCs w:val="28"/>
          <w:lang w:val="en-US"/>
        </w:rPr>
        <w:t>study</w:t>
      </w:r>
      <w:r w:rsidRPr="004D1A0B">
        <w:rPr>
          <w:rFonts w:ascii="Times New Roman" w:eastAsia="Times New Roman" w:hAnsi="Times New Roman" w:cs="Times New Roman"/>
          <w:sz w:val="28"/>
          <w:szCs w:val="28"/>
        </w:rPr>
        <w:t xml:space="preserve"> systematizes the theoretical foundations of green finance and examines its implementation among Vietnamese enterprises. The findings indicate that green finance offers substantial opportunities for accessing preferential capital, enhancing operational efficiency, and strengthening brand value. However, its adoption also entails a range of challenges related to institutional readiness, financial capacity, and implementation capabilities. Overall, the study provides a strategic management perspective on the role of green finance in the Vietnamese context, contributing to a deeper understanding of how it supports firms’ transition toward sustainable development.</w:t>
      </w:r>
    </w:p>
    <w:p w14:paraId="00000053" w14:textId="77777777" w:rsidR="005D2465" w:rsidRDefault="00650C3D">
      <w:pPr>
        <w:jc w:val="both"/>
        <w:rPr>
          <w:rFonts w:ascii="Times New Roman" w:eastAsia="Times New Roman" w:hAnsi="Times New Roman" w:cs="Times New Roman"/>
          <w:b/>
          <w:bCs/>
          <w:sz w:val="28"/>
          <w:szCs w:val="28"/>
        </w:rPr>
      </w:pPr>
      <w:bookmarkStart w:id="1" w:name="_heading=h.i06xoley0knj" w:colFirst="0" w:colLast="0"/>
      <w:bookmarkEnd w:id="1"/>
      <w:r>
        <w:rPr>
          <w:rFonts w:ascii="Times New Roman" w:eastAsia="Times New Roman" w:hAnsi="Times New Roman" w:cs="Times New Roman"/>
          <w:b/>
          <w:bCs/>
          <w:i/>
          <w:iCs/>
          <w:sz w:val="28"/>
          <w:szCs w:val="28"/>
        </w:rPr>
        <w:t>Keywords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green finance, sustainable development, green taxonomy, digitalization, artificial</w:t>
      </w:r>
      <w:r>
        <w:rPr>
          <w:rFonts w:ascii="Times New Roman" w:eastAsia="Times New Roman" w:hAnsi="Times New Roman" w:cs="Times New Roman"/>
          <w:sz w:val="28"/>
          <w:szCs w:val="28"/>
        </w:rPr>
        <w:t xml:space="preserve"> intelligence.</w:t>
      </w:r>
    </w:p>
    <w:p w14:paraId="00000054" w14:textId="77777777" w:rsidR="005D2465" w:rsidRDefault="005D2465">
      <w:pPr>
        <w:pBdr>
          <w:top w:val="nil"/>
          <w:left w:val="nil"/>
          <w:bottom w:val="nil"/>
          <w:right w:val="nil"/>
          <w:between w:val="nil"/>
        </w:pBdr>
        <w:spacing w:after="0"/>
        <w:ind w:left="720"/>
        <w:rPr>
          <w:rFonts w:ascii="Times New Roman" w:eastAsia="Times New Roman" w:hAnsi="Times New Roman" w:cs="Times New Roman"/>
          <w:color w:val="000000"/>
          <w:sz w:val="28"/>
          <w:szCs w:val="28"/>
        </w:rPr>
      </w:pPr>
    </w:p>
    <w:p w14:paraId="00000055" w14:textId="77777777" w:rsidR="005D2465" w:rsidRDefault="005D2465">
      <w:pPr>
        <w:pBdr>
          <w:top w:val="nil"/>
          <w:left w:val="nil"/>
          <w:bottom w:val="nil"/>
          <w:right w:val="nil"/>
          <w:between w:val="nil"/>
        </w:pBdr>
        <w:spacing w:after="0"/>
        <w:ind w:left="720"/>
        <w:rPr>
          <w:rFonts w:ascii="Times New Roman" w:eastAsia="Times New Roman" w:hAnsi="Times New Roman" w:cs="Times New Roman"/>
          <w:color w:val="000000"/>
          <w:sz w:val="28"/>
          <w:szCs w:val="28"/>
          <w:lang w:val="en-US"/>
        </w:rPr>
      </w:pPr>
    </w:p>
    <w:p w14:paraId="09097E8A" w14:textId="77777777" w:rsidR="009872A9" w:rsidRPr="00650C3D" w:rsidRDefault="009872A9">
      <w:pPr>
        <w:pBdr>
          <w:top w:val="nil"/>
          <w:left w:val="nil"/>
          <w:bottom w:val="nil"/>
          <w:right w:val="nil"/>
          <w:between w:val="nil"/>
        </w:pBdr>
        <w:spacing w:after="0"/>
        <w:ind w:left="720"/>
        <w:rPr>
          <w:rFonts w:ascii="Times New Roman" w:eastAsia="Times New Roman" w:hAnsi="Times New Roman" w:cs="Times New Roman"/>
          <w:color w:val="000000"/>
          <w:sz w:val="28"/>
          <w:szCs w:val="28"/>
          <w:lang w:val="en-US"/>
        </w:rPr>
      </w:pPr>
    </w:p>
    <w:p w14:paraId="00000056" w14:textId="77777777" w:rsidR="005D2465" w:rsidRDefault="005D2465">
      <w:pPr>
        <w:pBdr>
          <w:top w:val="nil"/>
          <w:left w:val="nil"/>
          <w:bottom w:val="nil"/>
          <w:right w:val="nil"/>
          <w:between w:val="nil"/>
        </w:pBdr>
        <w:spacing w:after="0"/>
        <w:ind w:left="720"/>
        <w:rPr>
          <w:rFonts w:ascii="Times New Roman" w:eastAsia="Times New Roman" w:hAnsi="Times New Roman" w:cs="Times New Roman"/>
          <w:color w:val="000000"/>
          <w:sz w:val="28"/>
          <w:szCs w:val="28"/>
        </w:rPr>
      </w:pPr>
    </w:p>
    <w:p w14:paraId="00000057" w14:textId="77777777" w:rsidR="005D2465" w:rsidRDefault="005D2465">
      <w:pPr>
        <w:pBdr>
          <w:top w:val="nil"/>
          <w:left w:val="nil"/>
          <w:bottom w:val="nil"/>
          <w:right w:val="nil"/>
          <w:between w:val="nil"/>
        </w:pBdr>
        <w:ind w:left="720"/>
        <w:rPr>
          <w:rFonts w:ascii="Times New Roman" w:eastAsia="Times New Roman" w:hAnsi="Times New Roman" w:cs="Times New Roman"/>
          <w:color w:val="000000"/>
          <w:sz w:val="28"/>
          <w:szCs w:val="28"/>
        </w:rPr>
      </w:pPr>
    </w:p>
    <w:p w14:paraId="00000058" w14:textId="77777777" w:rsidR="005D2465" w:rsidRDefault="005D2465">
      <w:pPr>
        <w:rPr>
          <w:rFonts w:ascii="Times New Roman" w:eastAsia="Times New Roman" w:hAnsi="Times New Roman" w:cs="Times New Roman"/>
          <w:sz w:val="28"/>
          <w:szCs w:val="28"/>
        </w:rPr>
      </w:pPr>
    </w:p>
    <w:sectPr w:rsidR="005D246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B5F552BD-95F4-418B-A466-C85FC679CEE0}"/>
    <w:embedBold r:id="rId2" w:fontKey="{5192BEFD-08C4-4888-9FD8-9D11179A1327}"/>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E10002FF" w:usb1="4000FCFF" w:usb2="00000009" w:usb3="00000000" w:csb0="0000019F" w:csb1="00000000"/>
    <w:embedRegular r:id="rId3" w:fontKey="{19C3DFF7-091C-4803-B084-A08B354755F5}"/>
  </w:font>
  <w:font w:name="Calibri Light">
    <w:charset w:val="00"/>
    <w:family w:val="swiss"/>
    <w:pitch w:val="variable"/>
    <w:sig w:usb0="E4002EFF" w:usb1="C200247B" w:usb2="00000009" w:usb3="00000000" w:csb0="000001FF" w:csb1="00000000"/>
    <w:embedRegular r:id="rId4" w:fontKey="{7DDD8596-3497-44F4-B008-35BAE2D531CB}"/>
  </w:font>
  <w:font w:name="Georgia">
    <w:panose1 w:val="02040502050405020303"/>
    <w:charset w:val="00"/>
    <w:family w:val="roman"/>
    <w:pitch w:val="variable"/>
    <w:sig w:usb0="00000287" w:usb1="00000000" w:usb2="00000000" w:usb3="00000000" w:csb0="0000009F" w:csb1="00000000"/>
    <w:embedItalic r:id="rId5" w:fontKey="{7F1042A2-0DBA-4F9F-8798-C42F82AE996D}"/>
  </w:font>
  <w:font w:name="Tahoma">
    <w:panose1 w:val="020B0604030504040204"/>
    <w:charset w:val="00"/>
    <w:family w:val="swiss"/>
    <w:pitch w:val="variable"/>
    <w:sig w:usb0="E1002EFF" w:usb1="C000605B" w:usb2="00000029" w:usb3="00000000" w:csb0="000101FF" w:csb1="00000000"/>
    <w:embedRegular r:id="rId6" w:fontKey="{6F2331A1-D526-4CC0-976E-EC2E9F7B2D3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195634"/>
    <w:multiLevelType w:val="multilevel"/>
    <w:tmpl w:val="A040394C"/>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rson w15:author="ngothidieuthuy ngothidieuthuy">
    <w15:presenceInfo w15:providerId="Windows Live" w15:userId="b52535cc6664a60a"/>
  </w15:person>
  <w15:person w15:author="Dang Duy Quang">
    <w15:presenceInfo w15:providerId="None" w15:userId="Dang Duy Qu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doNotDisplayPageBoundaries/>
  <w:embedTrueTypeFonts/>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465"/>
    <w:rsid w:val="000F7D68"/>
    <w:rsid w:val="002A03C5"/>
    <w:rsid w:val="004D1A0B"/>
    <w:rsid w:val="005D2465"/>
    <w:rsid w:val="00607590"/>
    <w:rsid w:val="00650C3D"/>
    <w:rsid w:val="00753D82"/>
    <w:rsid w:val="0090163F"/>
    <w:rsid w:val="00947C8B"/>
    <w:rsid w:val="009872A9"/>
    <w:rsid w:val="00A300A2"/>
    <w:rsid w:val="00BD184E"/>
    <w:rsid w:val="00DE0B08"/>
    <w:rsid w:val="00E1582D"/>
    <w:rsid w:val="00E5356B"/>
    <w:rsid w:val="00E82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78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E50D20"/>
    <w:pPr>
      <w:ind w:left="720"/>
      <w:contextualSpacing/>
    </w:pPr>
  </w:style>
  <w:style w:type="character" w:styleId="Hyperlink">
    <w:name w:val="Hyperlink"/>
    <w:basedOn w:val="DefaultParagraphFont"/>
    <w:uiPriority w:val="99"/>
    <w:unhideWhenUsed/>
    <w:rsid w:val="00C946FA"/>
    <w:rPr>
      <w:color w:val="0563C1" w:themeColor="hyperlink"/>
      <w:u w:val="single"/>
    </w:rPr>
  </w:style>
  <w:style w:type="character" w:customStyle="1" w:styleId="UnresolvedMention1">
    <w:name w:val="Unresolved Mention1"/>
    <w:basedOn w:val="DefaultParagraphFont"/>
    <w:uiPriority w:val="99"/>
    <w:semiHidden/>
    <w:unhideWhenUsed/>
    <w:rsid w:val="00C946FA"/>
    <w:rPr>
      <w:color w:val="605E5C"/>
      <w:shd w:val="clear" w:color="auto" w:fill="E1DFDD"/>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f"/>
    <w:basedOn w:val="Normal"/>
    <w:link w:val="FootnoteTextChar"/>
    <w:uiPriority w:val="99"/>
    <w:unhideWhenUsed/>
    <w:qFormat/>
    <w:rsid w:val="00C946FA"/>
    <w:pPr>
      <w:spacing w:after="0" w:line="240" w:lineRule="auto"/>
    </w:pPr>
    <w:rPr>
      <w:sz w:val="20"/>
      <w:szCs w:val="20"/>
      <w:lang w:val="en-GB"/>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 Char"/>
    <w:basedOn w:val="DefaultParagraphFont"/>
    <w:link w:val="FootnoteText"/>
    <w:uiPriority w:val="99"/>
    <w:qFormat/>
    <w:rsid w:val="00C946FA"/>
    <w:rPr>
      <w:sz w:val="20"/>
      <w:szCs w:val="20"/>
      <w:lang w:val="en-GB"/>
    </w:rPr>
  </w:style>
  <w:style w:type="character" w:styleId="FootnoteReference">
    <w:name w:val="footnote reference"/>
    <w:aliases w:val="Footnote,BearingPoint,Ref,de nota al pie,ftref,BVI fnr,Footnote text,16 Point,Superscript 6 Point,fr,Footnote Text1,Footnote + Arial,10 pt,Black,Footnote Text11"/>
    <w:basedOn w:val="DefaultParagraphFont"/>
    <w:link w:val="4GCharCharChar"/>
    <w:uiPriority w:val="99"/>
    <w:unhideWhenUsed/>
    <w:qFormat/>
    <w:rsid w:val="00C946FA"/>
    <w:rPr>
      <w:vertAlign w:val="superscript"/>
    </w:rPr>
  </w:style>
  <w:style w:type="paragraph" w:customStyle="1" w:styleId="P68B1DB1-Normal5">
    <w:name w:val="P68B1DB1-Normal5"/>
    <w:basedOn w:val="Normal"/>
    <w:rsid w:val="00C946FA"/>
    <w:pPr>
      <w:spacing w:line="278" w:lineRule="auto"/>
    </w:pPr>
    <w:rPr>
      <w:rFonts w:ascii="Arial" w:hAnsi="Arial" w:cs="Arial"/>
      <w:sz w:val="20"/>
      <w:szCs w:val="20"/>
      <w:lang w:val="en-GB"/>
    </w:rPr>
  </w:style>
  <w:style w:type="paragraph" w:styleId="NormalWeb">
    <w:name w:val="Normal (Web)"/>
    <w:basedOn w:val="Normal"/>
    <w:uiPriority w:val="99"/>
    <w:unhideWhenUsed/>
    <w:rsid w:val="0044066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40664"/>
    <w:rPr>
      <w:b/>
      <w:bCs/>
    </w:rPr>
  </w:style>
  <w:style w:type="paragraph" w:customStyle="1" w:styleId="P68B1DB1-ListParagraph9">
    <w:name w:val="P68B1DB1-ListParagraph9"/>
    <w:basedOn w:val="ListParagraph"/>
    <w:rsid w:val="003D0096"/>
    <w:pPr>
      <w:spacing w:line="278" w:lineRule="auto"/>
    </w:pPr>
    <w:rPr>
      <w:rFonts w:ascii="Arial" w:hAnsi="Arial" w:cs="Arial"/>
      <w:sz w:val="20"/>
      <w:szCs w:val="20"/>
      <w:lang w:val="en-GB"/>
    </w:rPr>
  </w:style>
  <w:style w:type="paragraph" w:customStyle="1" w:styleId="4GCharCharChar">
    <w:name w:val="4_G Char Char Char"/>
    <w:basedOn w:val="Normal"/>
    <w:link w:val="FootnoteReference"/>
    <w:uiPriority w:val="99"/>
    <w:qFormat/>
    <w:rsid w:val="008A5E3B"/>
    <w:pPr>
      <w:spacing w:before="100" w:after="0" w:line="240" w:lineRule="exact"/>
    </w:pPr>
    <w:rPr>
      <w:vertAlign w:val="superscript"/>
    </w:rPr>
  </w:style>
  <w:style w:type="paragraph" w:styleId="HTMLPreformatted">
    <w:name w:val="HTML Preformatted"/>
    <w:basedOn w:val="Normal"/>
    <w:link w:val="HTMLPreformattedChar"/>
    <w:uiPriority w:val="99"/>
    <w:semiHidden/>
    <w:unhideWhenUsed/>
    <w:rsid w:val="0066499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64995"/>
    <w:rPr>
      <w:rFonts w:ascii="Consolas" w:hAnsi="Consolas"/>
      <w:sz w:val="20"/>
      <w:szCs w:val="20"/>
    </w:rPr>
  </w:style>
  <w:style w:type="character" w:customStyle="1" w:styleId="Heading2Char">
    <w:name w:val="Heading 2 Char"/>
    <w:basedOn w:val="DefaultParagraphFont"/>
    <w:link w:val="Heading2"/>
    <w:uiPriority w:val="9"/>
    <w:semiHidden/>
    <w:rsid w:val="008042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80422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04222"/>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2A03C5"/>
    <w:pPr>
      <w:spacing w:after="0" w:line="240" w:lineRule="auto"/>
    </w:pPr>
  </w:style>
  <w:style w:type="paragraph" w:styleId="BalloonText">
    <w:name w:val="Balloon Text"/>
    <w:basedOn w:val="Normal"/>
    <w:link w:val="BalloonTextChar"/>
    <w:uiPriority w:val="99"/>
    <w:semiHidden/>
    <w:unhideWhenUsed/>
    <w:rsid w:val="00650C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C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E50D20"/>
    <w:pPr>
      <w:ind w:left="720"/>
      <w:contextualSpacing/>
    </w:pPr>
  </w:style>
  <w:style w:type="character" w:styleId="Hyperlink">
    <w:name w:val="Hyperlink"/>
    <w:basedOn w:val="DefaultParagraphFont"/>
    <w:uiPriority w:val="99"/>
    <w:unhideWhenUsed/>
    <w:rsid w:val="00C946FA"/>
    <w:rPr>
      <w:color w:val="0563C1" w:themeColor="hyperlink"/>
      <w:u w:val="single"/>
    </w:rPr>
  </w:style>
  <w:style w:type="character" w:customStyle="1" w:styleId="UnresolvedMention1">
    <w:name w:val="Unresolved Mention1"/>
    <w:basedOn w:val="DefaultParagraphFont"/>
    <w:uiPriority w:val="99"/>
    <w:semiHidden/>
    <w:unhideWhenUsed/>
    <w:rsid w:val="00C946FA"/>
    <w:rPr>
      <w:color w:val="605E5C"/>
      <w:shd w:val="clear" w:color="auto" w:fill="E1DFDD"/>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f"/>
    <w:basedOn w:val="Normal"/>
    <w:link w:val="FootnoteTextChar"/>
    <w:uiPriority w:val="99"/>
    <w:unhideWhenUsed/>
    <w:qFormat/>
    <w:rsid w:val="00C946FA"/>
    <w:pPr>
      <w:spacing w:after="0" w:line="240" w:lineRule="auto"/>
    </w:pPr>
    <w:rPr>
      <w:sz w:val="20"/>
      <w:szCs w:val="20"/>
      <w:lang w:val="en-GB"/>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 Char"/>
    <w:basedOn w:val="DefaultParagraphFont"/>
    <w:link w:val="FootnoteText"/>
    <w:uiPriority w:val="99"/>
    <w:qFormat/>
    <w:rsid w:val="00C946FA"/>
    <w:rPr>
      <w:sz w:val="20"/>
      <w:szCs w:val="20"/>
      <w:lang w:val="en-GB"/>
    </w:rPr>
  </w:style>
  <w:style w:type="character" w:styleId="FootnoteReference">
    <w:name w:val="footnote reference"/>
    <w:aliases w:val="Footnote,BearingPoint,Ref,de nota al pie,ftref,BVI fnr,Footnote text,16 Point,Superscript 6 Point,fr,Footnote Text1,Footnote + Arial,10 pt,Black,Footnote Text11"/>
    <w:basedOn w:val="DefaultParagraphFont"/>
    <w:link w:val="4GCharCharChar"/>
    <w:uiPriority w:val="99"/>
    <w:unhideWhenUsed/>
    <w:qFormat/>
    <w:rsid w:val="00C946FA"/>
    <w:rPr>
      <w:vertAlign w:val="superscript"/>
    </w:rPr>
  </w:style>
  <w:style w:type="paragraph" w:customStyle="1" w:styleId="P68B1DB1-Normal5">
    <w:name w:val="P68B1DB1-Normal5"/>
    <w:basedOn w:val="Normal"/>
    <w:rsid w:val="00C946FA"/>
    <w:pPr>
      <w:spacing w:line="278" w:lineRule="auto"/>
    </w:pPr>
    <w:rPr>
      <w:rFonts w:ascii="Arial" w:hAnsi="Arial" w:cs="Arial"/>
      <w:sz w:val="20"/>
      <w:szCs w:val="20"/>
      <w:lang w:val="en-GB"/>
    </w:rPr>
  </w:style>
  <w:style w:type="paragraph" w:styleId="NormalWeb">
    <w:name w:val="Normal (Web)"/>
    <w:basedOn w:val="Normal"/>
    <w:uiPriority w:val="99"/>
    <w:unhideWhenUsed/>
    <w:rsid w:val="0044066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40664"/>
    <w:rPr>
      <w:b/>
      <w:bCs/>
    </w:rPr>
  </w:style>
  <w:style w:type="paragraph" w:customStyle="1" w:styleId="P68B1DB1-ListParagraph9">
    <w:name w:val="P68B1DB1-ListParagraph9"/>
    <w:basedOn w:val="ListParagraph"/>
    <w:rsid w:val="003D0096"/>
    <w:pPr>
      <w:spacing w:line="278" w:lineRule="auto"/>
    </w:pPr>
    <w:rPr>
      <w:rFonts w:ascii="Arial" w:hAnsi="Arial" w:cs="Arial"/>
      <w:sz w:val="20"/>
      <w:szCs w:val="20"/>
      <w:lang w:val="en-GB"/>
    </w:rPr>
  </w:style>
  <w:style w:type="paragraph" w:customStyle="1" w:styleId="4GCharCharChar">
    <w:name w:val="4_G Char Char Char"/>
    <w:basedOn w:val="Normal"/>
    <w:link w:val="FootnoteReference"/>
    <w:uiPriority w:val="99"/>
    <w:qFormat/>
    <w:rsid w:val="008A5E3B"/>
    <w:pPr>
      <w:spacing w:before="100" w:after="0" w:line="240" w:lineRule="exact"/>
    </w:pPr>
    <w:rPr>
      <w:vertAlign w:val="superscript"/>
    </w:rPr>
  </w:style>
  <w:style w:type="paragraph" w:styleId="HTMLPreformatted">
    <w:name w:val="HTML Preformatted"/>
    <w:basedOn w:val="Normal"/>
    <w:link w:val="HTMLPreformattedChar"/>
    <w:uiPriority w:val="99"/>
    <w:semiHidden/>
    <w:unhideWhenUsed/>
    <w:rsid w:val="0066499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64995"/>
    <w:rPr>
      <w:rFonts w:ascii="Consolas" w:hAnsi="Consolas"/>
      <w:sz w:val="20"/>
      <w:szCs w:val="20"/>
    </w:rPr>
  </w:style>
  <w:style w:type="character" w:customStyle="1" w:styleId="Heading2Char">
    <w:name w:val="Heading 2 Char"/>
    <w:basedOn w:val="DefaultParagraphFont"/>
    <w:link w:val="Heading2"/>
    <w:uiPriority w:val="9"/>
    <w:semiHidden/>
    <w:rsid w:val="008042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80422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04222"/>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2A03C5"/>
    <w:pPr>
      <w:spacing w:after="0" w:line="240" w:lineRule="auto"/>
    </w:pPr>
  </w:style>
  <w:style w:type="paragraph" w:styleId="BalloonText">
    <w:name w:val="Balloon Text"/>
    <w:basedOn w:val="Normal"/>
    <w:link w:val="BalloonTextChar"/>
    <w:uiPriority w:val="99"/>
    <w:semiHidden/>
    <w:unhideWhenUsed/>
    <w:rsid w:val="00650C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C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itruongtaichinhtiente.vn/tai-chinh-xanh-tam-ho-chieu-va-dong-luc-moi-cho-khat-vong-hoa-rong-cua-kinh-te-viet-nam-77254.html?utm_source=chatgpt.com" TargetMode="External"/><Relationship Id="rId3" Type="http://schemas.openxmlformats.org/officeDocument/2006/relationships/styles" Target="styles.xml"/><Relationship Id="rId7" Type="http://schemas.openxmlformats.org/officeDocument/2006/relationships/hyperlink" Target="https://hanagold.vn/thuc-trang-tai-chinh-xanh-o-viet-nam-co-hoi-thach-thuc-va-giai-pha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people" Target="people.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KoM9vkoLz3BYy4OhzIwdlgoTtA==">CgMxLjAyDmguaTA2eG9sZXkwa25qOAByITFHNXZzRFBTUEdRRHMxTkRKSnlMWFpvUXdUZmZXbTlLaw==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Pages>
  <Words>3714</Words>
  <Characters>21174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thuan.kopoko@outlook.com</dc:creator>
  <cp:lastModifiedBy>admin12</cp:lastModifiedBy>
  <cp:revision>13</cp:revision>
  <dcterms:created xsi:type="dcterms:W3CDTF">2026-03-25T04:56:00Z</dcterms:created>
  <dcterms:modified xsi:type="dcterms:W3CDTF">2026-04-23T05:01:00Z</dcterms:modified>
</cp:coreProperties>
</file>