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C245E" w14:textId="77777777" w:rsidR="000808CB" w:rsidRDefault="00856F01" w:rsidP="00842091">
      <w:pPr>
        <w:spacing w:before="120" w:after="0" w:line="240" w:lineRule="auto"/>
        <w:jc w:val="center"/>
        <w:rPr>
          <w:rFonts w:ascii="Times New Roman" w:eastAsia="Times New Roman" w:hAnsi="Times New Roman" w:cs="Times New Roman"/>
          <w:b/>
          <w:bCs/>
          <w:sz w:val="28"/>
          <w:szCs w:val="28"/>
        </w:rPr>
      </w:pPr>
      <w:bookmarkStart w:id="0" w:name="_GoBack"/>
      <w:r>
        <w:rPr>
          <w:rFonts w:ascii="Times New Roman" w:eastAsia="Times New Roman" w:hAnsi="Times New Roman" w:cs="Times New Roman"/>
          <w:b/>
          <w:bCs/>
          <w:sz w:val="28"/>
          <w:szCs w:val="28"/>
        </w:rPr>
        <w:t>Hiệu quả hoạt động tín dụng chính sách của ngân hàng chính sách xã hội Việt Nam giai đoạn 2023 - 2025</w:t>
      </w:r>
    </w:p>
    <w:p w14:paraId="58CC15E5" w14:textId="77777777" w:rsidR="000808CB" w:rsidRDefault="00856F01" w:rsidP="00842091">
      <w:pPr>
        <w:spacing w:before="12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Hồ Thị Yến Ly</w:t>
      </w:r>
    </w:p>
    <w:p w14:paraId="2870D3D3" w14:textId="77777777" w:rsidR="000808CB" w:rsidRDefault="00856F01" w:rsidP="00842091">
      <w:pPr>
        <w:spacing w:before="12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Trường Đại học Bà Rịa - Vũng Tàu</w:t>
      </w:r>
    </w:p>
    <w:p w14:paraId="0B7B1322" w14:textId="77777777" w:rsidR="000808CB" w:rsidRDefault="00856F01" w:rsidP="00842091">
      <w:pPr>
        <w:spacing w:before="120"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TÓM TẮT:</w:t>
      </w:r>
    </w:p>
    <w:p w14:paraId="0B99ABCA" w14:textId="77777777" w:rsidR="000808CB" w:rsidRDefault="00856F01" w:rsidP="00842091">
      <w:pPr>
        <w:spacing w:before="120"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Tín dụng chính sách xã hội là một trong những chủ trương lớn của Đảng và Nhà nước nhằm mục tiêu </w:t>
      </w:r>
      <w:r>
        <w:rPr>
          <w:rFonts w:ascii="Times New Roman" w:eastAsia="Times New Roman" w:hAnsi="Times New Roman" w:cs="Times New Roman"/>
          <w:sz w:val="28"/>
          <w:szCs w:val="28"/>
        </w:rPr>
        <w:t>xóa đói giảm nghèo bền vững, nâng cao chất lượng cuộc sống và an sinh xã hội. Thực hiện chính sách thông qua Ngân hàng Chính sách xã hội (NHCSXH) cung cấp các khoản vay ưu đãi cho đối tượng chính sách nhằm hỗ trợ phát triển sản xuất, tạo việc làm và cải th</w:t>
      </w:r>
      <w:r>
        <w:rPr>
          <w:rFonts w:ascii="Times New Roman" w:eastAsia="Times New Roman" w:hAnsi="Times New Roman" w:cs="Times New Roman"/>
          <w:sz w:val="28"/>
          <w:szCs w:val="28"/>
        </w:rPr>
        <w:t xml:space="preserve">iện thu nhập. Nghiên cứu đánh giá hiệu quả hoạt động tín dụng chính sách giai đoạn 2023 - 2025 dựa trên dữ liệu thứ cấp. Phương pháp nghiên cứu bao gồm thống kê mô tả, phân tích so sánh theo chuỗi thời gian và hệ thống các chỉ tiêu kinh tế - xã hội để làm </w:t>
      </w:r>
      <w:r>
        <w:rPr>
          <w:rFonts w:ascii="Times New Roman" w:eastAsia="Times New Roman" w:hAnsi="Times New Roman" w:cs="Times New Roman"/>
          <w:sz w:val="28"/>
          <w:szCs w:val="28"/>
        </w:rPr>
        <w:t>rõ quy mô, chất lượng tín dụng và mức độ thực hiện mục tiêu an sinh xã hội. Kết quả phân tích là cơ sở đề xuất một số hàm ý nhằm nâng cao hiệu quả hoạt động và tăng tính bền vững của chương trình.</w:t>
      </w:r>
    </w:p>
    <w:p w14:paraId="21600CD9" w14:textId="77777777" w:rsidR="000808CB" w:rsidRDefault="00856F01" w:rsidP="00842091">
      <w:pPr>
        <w:spacing w:before="120"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Từ khóa:</w:t>
      </w:r>
      <w:r>
        <w:rPr>
          <w:rFonts w:ascii="Times New Roman" w:eastAsia="Times New Roman" w:hAnsi="Times New Roman" w:cs="Times New Roman"/>
          <w:sz w:val="28"/>
          <w:szCs w:val="28"/>
        </w:rPr>
        <w:t xml:space="preserve"> tín dụng chính sách, ngân hàng chính sách xã hội, </w:t>
      </w:r>
      <w:r>
        <w:rPr>
          <w:rFonts w:ascii="Times New Roman" w:eastAsia="Times New Roman" w:hAnsi="Times New Roman" w:cs="Times New Roman"/>
          <w:sz w:val="28"/>
          <w:szCs w:val="28"/>
        </w:rPr>
        <w:t>xóa đói giảm nghèo, hiệu quả chương trình tín dụng</w:t>
      </w:r>
      <w:bookmarkEnd w:id="0"/>
      <w:r>
        <w:rPr>
          <w:rFonts w:ascii="Times New Roman" w:eastAsia="Times New Roman" w:hAnsi="Times New Roman" w:cs="Times New Roman"/>
          <w:sz w:val="28"/>
          <w:szCs w:val="28"/>
        </w:rPr>
        <w:t>.</w:t>
      </w:r>
    </w:p>
    <w:p w14:paraId="7CD9979A" w14:textId="77777777" w:rsidR="000808CB" w:rsidRDefault="00856F01" w:rsidP="00842091">
      <w:pPr>
        <w:numPr>
          <w:ilvl w:val="0"/>
          <w:numId w:val="1"/>
        </w:numPr>
        <w:pBdr>
          <w:top w:val="nil"/>
          <w:left w:val="nil"/>
          <w:bottom w:val="nil"/>
          <w:right w:val="nil"/>
          <w:between w:val="nil"/>
        </w:pBdr>
        <w:tabs>
          <w:tab w:val="left" w:pos="426"/>
        </w:tabs>
        <w:spacing w:before="120" w:after="0" w:line="240" w:lineRule="auto"/>
        <w:ind w:hanging="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Đặt vấn đề</w:t>
      </w:r>
    </w:p>
    <w:p w14:paraId="4299E6AE" w14:textId="0B7CAAC0" w:rsidR="000808CB" w:rsidRDefault="00856F01" w:rsidP="00842091">
      <w:pPr>
        <w:pBdr>
          <w:top w:val="nil"/>
          <w:left w:val="nil"/>
          <w:bottom w:val="nil"/>
          <w:right w:val="nil"/>
          <w:between w:val="nil"/>
        </w:pBdr>
        <w:spacing w:before="120"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Giảm nghèo bền vững và đảm bảo an sinh xã hội là mục tiêu trọng tâm trong chiến lược phát triển kinh tế </w:t>
      </w:r>
      <w:r w:rsidR="00517CC1" w:rsidRPr="00856F0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xã hội của đất nước. Ngày 4/10/2002</w:t>
      </w:r>
      <w:r w:rsidR="00517CC1" w:rsidRPr="00856F0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Thủ tướng Chính phủ ban hành Nghị định số 78/2002/NĐ-CP “về tín dụng đối với người nghèo và đối tượng chính sách khác” cho thấy tầm quan trọng của tín dụng chính sách, thông qua </w:t>
      </w:r>
      <w:r>
        <w:rPr>
          <w:rFonts w:ascii="Times New Roman" w:eastAsia="Times New Roman" w:hAnsi="Times New Roman" w:cs="Times New Roman"/>
          <w:sz w:val="28"/>
          <w:szCs w:val="28"/>
        </w:rPr>
        <w:t>NHCSXH</w:t>
      </w:r>
      <w:r>
        <w:rPr>
          <w:rFonts w:ascii="Times New Roman" w:eastAsia="Times New Roman" w:hAnsi="Times New Roman" w:cs="Times New Roman"/>
          <w:color w:val="000000"/>
          <w:sz w:val="28"/>
          <w:szCs w:val="28"/>
        </w:rPr>
        <w:t xml:space="preserve"> cung cấp các khoản vay ưu đãi cho các đối tượng </w:t>
      </w:r>
      <w:r>
        <w:rPr>
          <w:rFonts w:ascii="Times New Roman" w:eastAsia="Times New Roman" w:hAnsi="Times New Roman" w:cs="Times New Roman"/>
          <w:sz w:val="28"/>
          <w:szCs w:val="28"/>
        </w:rPr>
        <w:t>chính</w:t>
      </w:r>
      <w:r>
        <w:rPr>
          <w:rFonts w:ascii="Times New Roman" w:eastAsia="Times New Roman" w:hAnsi="Times New Roman" w:cs="Times New Roman"/>
          <w:color w:val="000000"/>
          <w:sz w:val="28"/>
          <w:szCs w:val="28"/>
        </w:rPr>
        <w:t xml:space="preserve"> sách. Trong giai</w:t>
      </w:r>
      <w:r>
        <w:rPr>
          <w:rFonts w:ascii="Times New Roman" w:eastAsia="Times New Roman" w:hAnsi="Times New Roman" w:cs="Times New Roman"/>
          <w:color w:val="000000"/>
          <w:sz w:val="28"/>
          <w:szCs w:val="28"/>
        </w:rPr>
        <w:t xml:space="preserve"> đoạn 2023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2025 có nhiều biến động về kinh tế - xã hội, đặc biệt là giai đoạn phục hồi sau đại dịch Covid -19 đã đặt ra yêu cầu đánh giá một cách toàn diện hiệu </w:t>
      </w:r>
      <w:r>
        <w:rPr>
          <w:rFonts w:ascii="Times New Roman" w:eastAsia="Times New Roman" w:hAnsi="Times New Roman" w:cs="Times New Roman"/>
          <w:sz w:val="28"/>
          <w:szCs w:val="28"/>
        </w:rPr>
        <w:t>quả</w:t>
      </w:r>
      <w:r>
        <w:rPr>
          <w:rFonts w:ascii="Times New Roman" w:eastAsia="Times New Roman" w:hAnsi="Times New Roman" w:cs="Times New Roman"/>
          <w:color w:val="000000"/>
          <w:sz w:val="28"/>
          <w:szCs w:val="28"/>
        </w:rPr>
        <w:t xml:space="preserve"> hoạt động tín dụng chính sách cả về quy mô tăng trưởng, chất lượng tín dụng và mức độ thự</w:t>
      </w:r>
      <w:r>
        <w:rPr>
          <w:rFonts w:ascii="Times New Roman" w:eastAsia="Times New Roman" w:hAnsi="Times New Roman" w:cs="Times New Roman"/>
          <w:color w:val="000000"/>
          <w:sz w:val="28"/>
          <w:szCs w:val="28"/>
        </w:rPr>
        <w:t>c hiện an sinh xã hội, làm cơ sở đề ra một số hàm ý nhằm thực hiện hiệu quả và tính bền vững của chương trình.</w:t>
      </w:r>
    </w:p>
    <w:p w14:paraId="2533853E" w14:textId="77777777" w:rsidR="000808CB" w:rsidRDefault="00856F01" w:rsidP="00842091">
      <w:pPr>
        <w:numPr>
          <w:ilvl w:val="0"/>
          <w:numId w:val="1"/>
        </w:numPr>
        <w:pBdr>
          <w:top w:val="nil"/>
          <w:left w:val="nil"/>
          <w:bottom w:val="nil"/>
          <w:right w:val="nil"/>
          <w:between w:val="nil"/>
        </w:pBdr>
        <w:tabs>
          <w:tab w:val="left" w:pos="426"/>
        </w:tabs>
        <w:spacing w:before="120" w:after="0" w:line="240" w:lineRule="auto"/>
        <w:ind w:hanging="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Phương pháp phân tích</w:t>
      </w:r>
    </w:p>
    <w:p w14:paraId="448B61CE" w14:textId="77777777" w:rsidR="000808CB" w:rsidRDefault="00856F01" w:rsidP="00842091">
      <w:pPr>
        <w:pBdr>
          <w:top w:val="nil"/>
          <w:left w:val="nil"/>
          <w:bottom w:val="nil"/>
          <w:right w:val="nil"/>
          <w:between w:val="nil"/>
        </w:pBdr>
        <w:spacing w:before="120"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Nghiên cứu sử dụng dữ liệu thứ cấp thu thập từ các báo cáo thường niên và các tài liệu công bố chính thức của </w:t>
      </w:r>
      <w:r>
        <w:rPr>
          <w:rFonts w:ascii="Times New Roman" w:eastAsia="Times New Roman" w:hAnsi="Times New Roman" w:cs="Times New Roman"/>
          <w:sz w:val="28"/>
          <w:szCs w:val="28"/>
        </w:rPr>
        <w:t>NHCSXH</w:t>
      </w:r>
      <w:r>
        <w:rPr>
          <w:rFonts w:ascii="Times New Roman" w:eastAsia="Times New Roman" w:hAnsi="Times New Roman" w:cs="Times New Roman"/>
          <w:color w:val="000000"/>
          <w:sz w:val="28"/>
          <w:szCs w:val="28"/>
        </w:rPr>
        <w:t xml:space="preserve"> giai đoạn 2023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2025.</w:t>
      </w:r>
    </w:p>
    <w:p w14:paraId="32340436" w14:textId="77777777" w:rsidR="000808CB" w:rsidRDefault="00856F01" w:rsidP="00842091">
      <w:pPr>
        <w:pBdr>
          <w:top w:val="nil"/>
          <w:left w:val="nil"/>
          <w:bottom w:val="nil"/>
          <w:right w:val="nil"/>
          <w:between w:val="nil"/>
        </w:pBdr>
        <w:spacing w:before="120"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Phương pháp nghiên cứu chủ yếu được sử dụng bao gồm phương pháp thống kê mô tả, phương pháp phân tích so sánh chuỗi thời gian đánh giá xu hướng biến động qua các năm và sử dụng hệ thống các chỉ tiêu kinh tế - xã hội.  </w:t>
      </w:r>
    </w:p>
    <w:p w14:paraId="1092666F" w14:textId="77777777" w:rsidR="000808CB" w:rsidRDefault="00856F01" w:rsidP="00842091">
      <w:pPr>
        <w:numPr>
          <w:ilvl w:val="0"/>
          <w:numId w:val="1"/>
        </w:numPr>
        <w:pBdr>
          <w:top w:val="nil"/>
          <w:left w:val="nil"/>
          <w:bottom w:val="nil"/>
          <w:right w:val="nil"/>
          <w:between w:val="nil"/>
        </w:pBdr>
        <w:tabs>
          <w:tab w:val="left" w:pos="426"/>
        </w:tabs>
        <w:spacing w:before="120"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Thực trạng ho</w:t>
      </w:r>
      <w:r>
        <w:rPr>
          <w:rFonts w:ascii="Times New Roman" w:eastAsia="Times New Roman" w:hAnsi="Times New Roman" w:cs="Times New Roman"/>
          <w:b/>
          <w:bCs/>
          <w:color w:val="000000"/>
          <w:sz w:val="28"/>
          <w:szCs w:val="28"/>
        </w:rPr>
        <w:t>ạt động tín dụng chính sách giai đoạn 2023 - 2025</w:t>
      </w:r>
    </w:p>
    <w:p w14:paraId="5B70697E" w14:textId="6811B94F" w:rsidR="000808CB" w:rsidRPr="00856F01" w:rsidRDefault="0059572A" w:rsidP="00517CC1">
      <w:pPr>
        <w:pBdr>
          <w:top w:val="nil"/>
          <w:left w:val="nil"/>
          <w:bottom w:val="nil"/>
          <w:right w:val="nil"/>
          <w:between w:val="nil"/>
        </w:pBdr>
        <w:spacing w:before="120" w:after="0" w:line="240" w:lineRule="auto"/>
        <w:ind w:left="360"/>
        <w:jc w:val="both"/>
        <w:rPr>
          <w:rFonts w:ascii="Times New Roman" w:eastAsia="Times New Roman" w:hAnsi="Times New Roman" w:cs="Times New Roman"/>
          <w:b/>
          <w:bCs/>
          <w:i/>
          <w:iCs/>
          <w:color w:val="000000"/>
          <w:sz w:val="28"/>
          <w:szCs w:val="28"/>
        </w:rPr>
      </w:pPr>
      <w:r w:rsidRPr="00856F01">
        <w:rPr>
          <w:rFonts w:ascii="Times New Roman" w:eastAsia="Times New Roman" w:hAnsi="Times New Roman" w:cs="Times New Roman"/>
          <w:b/>
          <w:bCs/>
          <w:i/>
          <w:iCs/>
          <w:color w:val="000000"/>
          <w:sz w:val="28"/>
          <w:szCs w:val="28"/>
        </w:rPr>
        <w:t xml:space="preserve">3.1. Nguồn vốn thực hiện chương trình </w:t>
      </w:r>
      <w:r w:rsidR="00517CC1" w:rsidRPr="00856F01">
        <w:rPr>
          <w:rFonts w:ascii="Times New Roman" w:eastAsia="Times New Roman" w:hAnsi="Times New Roman" w:cs="Times New Roman"/>
          <w:b/>
          <w:bCs/>
          <w:i/>
          <w:iCs/>
          <w:color w:val="000000"/>
          <w:sz w:val="28"/>
          <w:szCs w:val="28"/>
        </w:rPr>
        <w:t>(Bảng 1)</w:t>
      </w:r>
    </w:p>
    <w:p w14:paraId="1FE29AE7" w14:textId="77777777" w:rsidR="0059572A" w:rsidRDefault="0059572A" w:rsidP="0059572A">
      <w:pPr>
        <w:pBdr>
          <w:top w:val="nil"/>
          <w:left w:val="nil"/>
          <w:bottom w:val="nil"/>
          <w:right w:val="nil"/>
          <w:between w:val="nil"/>
        </w:pBdr>
        <w:spacing w:before="120"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Bảng 1. Nguồn vốn thực hiện chương trình tín dụng giai đoạn 2023 - 2025</w:t>
      </w:r>
    </w:p>
    <w:p w14:paraId="1F7D2AB8" w14:textId="77777777" w:rsidR="0059572A" w:rsidRPr="00F459E3" w:rsidRDefault="0059572A" w:rsidP="00856F01">
      <w:pPr>
        <w:pBdr>
          <w:top w:val="nil"/>
          <w:left w:val="nil"/>
          <w:bottom w:val="nil"/>
          <w:right w:val="nil"/>
          <w:between w:val="nil"/>
        </w:pBdr>
        <w:spacing w:before="120" w:after="0" w:line="240" w:lineRule="auto"/>
        <w:ind w:left="360"/>
        <w:jc w:val="both"/>
        <w:rPr>
          <w:rFonts w:ascii="Times New Roman" w:eastAsia="Times New Roman" w:hAnsi="Times New Roman" w:cs="Times New Roman"/>
          <w:b/>
          <w:bCs/>
          <w:color w:val="000000"/>
          <w:sz w:val="28"/>
          <w:szCs w:val="28"/>
        </w:rPr>
      </w:pPr>
    </w:p>
    <w:tbl>
      <w:tblPr>
        <w:tblStyle w:val="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8"/>
        <w:gridCol w:w="1126"/>
        <w:gridCol w:w="1126"/>
        <w:gridCol w:w="1278"/>
        <w:gridCol w:w="1414"/>
        <w:gridCol w:w="1414"/>
      </w:tblGrid>
      <w:tr w:rsidR="000808CB" w14:paraId="01A024A2" w14:textId="77777777">
        <w:tc>
          <w:tcPr>
            <w:tcW w:w="3218" w:type="dxa"/>
          </w:tcPr>
          <w:p w14:paraId="028BF752"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Chỉ tiêu</w:t>
            </w:r>
          </w:p>
        </w:tc>
        <w:tc>
          <w:tcPr>
            <w:tcW w:w="1126" w:type="dxa"/>
          </w:tcPr>
          <w:p w14:paraId="4E9BB185"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2023</w:t>
            </w:r>
          </w:p>
        </w:tc>
        <w:tc>
          <w:tcPr>
            <w:tcW w:w="1126" w:type="dxa"/>
          </w:tcPr>
          <w:p w14:paraId="45F62604"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2024</w:t>
            </w:r>
          </w:p>
        </w:tc>
        <w:tc>
          <w:tcPr>
            <w:tcW w:w="1278" w:type="dxa"/>
          </w:tcPr>
          <w:p w14:paraId="0F1D4B1C"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2025</w:t>
            </w:r>
          </w:p>
        </w:tc>
        <w:tc>
          <w:tcPr>
            <w:tcW w:w="1414" w:type="dxa"/>
          </w:tcPr>
          <w:p w14:paraId="71D73AF9"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2024/2023</w:t>
            </w:r>
          </w:p>
        </w:tc>
        <w:tc>
          <w:tcPr>
            <w:tcW w:w="1414" w:type="dxa"/>
          </w:tcPr>
          <w:p w14:paraId="68FE5F6F"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2025/2024</w:t>
            </w:r>
          </w:p>
        </w:tc>
      </w:tr>
      <w:tr w:rsidR="000808CB" w14:paraId="48CE3599" w14:textId="77777777">
        <w:tc>
          <w:tcPr>
            <w:tcW w:w="3218" w:type="dxa"/>
          </w:tcPr>
          <w:p w14:paraId="77A9FF43"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Ngân sách Trung ương (tỷ đồng)</w:t>
            </w:r>
          </w:p>
        </w:tc>
        <w:tc>
          <w:tcPr>
            <w:tcW w:w="1126" w:type="dxa"/>
          </w:tcPr>
          <w:p w14:paraId="4FB2B82F"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44.390</w:t>
            </w:r>
          </w:p>
        </w:tc>
        <w:tc>
          <w:tcPr>
            <w:tcW w:w="1126" w:type="dxa"/>
          </w:tcPr>
          <w:p w14:paraId="1650B86C"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45.245</w:t>
            </w:r>
          </w:p>
        </w:tc>
        <w:tc>
          <w:tcPr>
            <w:tcW w:w="1278" w:type="dxa"/>
          </w:tcPr>
          <w:p w14:paraId="31BFB671"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50.852</w:t>
            </w:r>
          </w:p>
        </w:tc>
        <w:tc>
          <w:tcPr>
            <w:tcW w:w="1414" w:type="dxa"/>
          </w:tcPr>
          <w:p w14:paraId="22C6D12A"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w:t>
            </w:r>
          </w:p>
        </w:tc>
        <w:tc>
          <w:tcPr>
            <w:tcW w:w="1414" w:type="dxa"/>
          </w:tcPr>
          <w:p w14:paraId="4052F001"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12,4%</w:t>
            </w:r>
          </w:p>
        </w:tc>
      </w:tr>
      <w:tr w:rsidR="000808CB" w14:paraId="6C693A06" w14:textId="77777777">
        <w:tc>
          <w:tcPr>
            <w:tcW w:w="3218" w:type="dxa"/>
          </w:tcPr>
          <w:p w14:paraId="29EB0341"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Ngân sách địa phương (tỷ đồng)</w:t>
            </w:r>
          </w:p>
        </w:tc>
        <w:tc>
          <w:tcPr>
            <w:tcW w:w="1126" w:type="dxa"/>
          </w:tcPr>
          <w:p w14:paraId="37E891D5"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39.175</w:t>
            </w:r>
          </w:p>
        </w:tc>
        <w:tc>
          <w:tcPr>
            <w:tcW w:w="1126" w:type="dxa"/>
          </w:tcPr>
          <w:p w14:paraId="702F5B36"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50.681</w:t>
            </w:r>
          </w:p>
        </w:tc>
        <w:tc>
          <w:tcPr>
            <w:tcW w:w="1278" w:type="dxa"/>
          </w:tcPr>
          <w:p w14:paraId="63CB27B7"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66.091</w:t>
            </w:r>
          </w:p>
        </w:tc>
        <w:tc>
          <w:tcPr>
            <w:tcW w:w="1414" w:type="dxa"/>
          </w:tcPr>
          <w:p w14:paraId="03BF967D"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29.4%</w:t>
            </w:r>
          </w:p>
        </w:tc>
        <w:tc>
          <w:tcPr>
            <w:tcW w:w="1414" w:type="dxa"/>
          </w:tcPr>
          <w:p w14:paraId="67FCE850"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30,4%</w:t>
            </w:r>
          </w:p>
        </w:tc>
      </w:tr>
      <w:tr w:rsidR="000808CB" w14:paraId="45C38598" w14:textId="77777777">
        <w:tc>
          <w:tcPr>
            <w:tcW w:w="3218" w:type="dxa"/>
          </w:tcPr>
          <w:p w14:paraId="1BE3E6C7"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Vốn vay và huy động (tỷ đồng)</w:t>
            </w:r>
          </w:p>
        </w:tc>
        <w:tc>
          <w:tcPr>
            <w:tcW w:w="1126" w:type="dxa"/>
          </w:tcPr>
          <w:p w14:paraId="111917AB"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249.221</w:t>
            </w:r>
          </w:p>
        </w:tc>
        <w:tc>
          <w:tcPr>
            <w:tcW w:w="1126" w:type="dxa"/>
          </w:tcPr>
          <w:p w14:paraId="0AADB784"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265.394</w:t>
            </w:r>
          </w:p>
        </w:tc>
        <w:tc>
          <w:tcPr>
            <w:tcW w:w="1278" w:type="dxa"/>
          </w:tcPr>
          <w:p w14:paraId="456605DD"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~286.625</w:t>
            </w:r>
          </w:p>
        </w:tc>
        <w:tc>
          <w:tcPr>
            <w:tcW w:w="1414" w:type="dxa"/>
          </w:tcPr>
          <w:p w14:paraId="75FBD0FD"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6,5%</w:t>
            </w:r>
          </w:p>
        </w:tc>
        <w:tc>
          <w:tcPr>
            <w:tcW w:w="1414" w:type="dxa"/>
          </w:tcPr>
          <w:p w14:paraId="588D74B7"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7,9%</w:t>
            </w:r>
          </w:p>
        </w:tc>
      </w:tr>
      <w:tr w:rsidR="000808CB" w14:paraId="6CB1EB82" w14:textId="77777777">
        <w:tc>
          <w:tcPr>
            <w:tcW w:w="3218" w:type="dxa"/>
          </w:tcPr>
          <w:p w14:paraId="78E8EE62"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Nguồn vốn khác(tỷ đồng)</w:t>
            </w:r>
          </w:p>
        </w:tc>
        <w:tc>
          <w:tcPr>
            <w:tcW w:w="1126" w:type="dxa"/>
          </w:tcPr>
          <w:p w14:paraId="1B0E2176"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19.426</w:t>
            </w:r>
          </w:p>
        </w:tc>
        <w:tc>
          <w:tcPr>
            <w:tcW w:w="1126" w:type="dxa"/>
          </w:tcPr>
          <w:p w14:paraId="08266916"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20.839</w:t>
            </w:r>
          </w:p>
        </w:tc>
        <w:tc>
          <w:tcPr>
            <w:tcW w:w="1278" w:type="dxa"/>
          </w:tcPr>
          <w:p w14:paraId="449A33D4"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~22.964</w:t>
            </w:r>
          </w:p>
        </w:tc>
        <w:tc>
          <w:tcPr>
            <w:tcW w:w="1414" w:type="dxa"/>
          </w:tcPr>
          <w:p w14:paraId="6AC326C0"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7,3%</w:t>
            </w:r>
          </w:p>
        </w:tc>
        <w:tc>
          <w:tcPr>
            <w:tcW w:w="1414" w:type="dxa"/>
          </w:tcPr>
          <w:p w14:paraId="5BB292AD"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8,9%</w:t>
            </w:r>
          </w:p>
        </w:tc>
      </w:tr>
      <w:tr w:rsidR="000808CB" w14:paraId="1C745D57" w14:textId="77777777">
        <w:tc>
          <w:tcPr>
            <w:tcW w:w="3218" w:type="dxa"/>
          </w:tcPr>
          <w:p w14:paraId="00A4D351"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Tổng (tỷ đồng)</w:t>
            </w:r>
          </w:p>
        </w:tc>
        <w:tc>
          <w:tcPr>
            <w:tcW w:w="1126" w:type="dxa"/>
          </w:tcPr>
          <w:p w14:paraId="4E4B6BEB"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352.212</w:t>
            </w:r>
          </w:p>
        </w:tc>
        <w:tc>
          <w:tcPr>
            <w:tcW w:w="1126" w:type="dxa"/>
          </w:tcPr>
          <w:p w14:paraId="3E77F7A1"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382.159</w:t>
            </w:r>
          </w:p>
        </w:tc>
        <w:tc>
          <w:tcPr>
            <w:tcW w:w="1278" w:type="dxa"/>
          </w:tcPr>
          <w:p w14:paraId="1B63B7F4"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426.262</w:t>
            </w:r>
          </w:p>
        </w:tc>
        <w:tc>
          <w:tcPr>
            <w:tcW w:w="1414" w:type="dxa"/>
          </w:tcPr>
          <w:p w14:paraId="5B94C4A9"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8,5%</w:t>
            </w:r>
          </w:p>
        </w:tc>
        <w:tc>
          <w:tcPr>
            <w:tcW w:w="1414" w:type="dxa"/>
          </w:tcPr>
          <w:p w14:paraId="754969FF"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11,5%</w:t>
            </w:r>
          </w:p>
        </w:tc>
      </w:tr>
    </w:tbl>
    <w:p w14:paraId="372D9644" w14:textId="77777777" w:rsidR="000808CB" w:rsidRDefault="00856F01" w:rsidP="00842091">
      <w:pPr>
        <w:pBdr>
          <w:top w:val="nil"/>
          <w:left w:val="nil"/>
          <w:bottom w:val="nil"/>
          <w:right w:val="nil"/>
          <w:between w:val="nil"/>
        </w:pBdr>
        <w:spacing w:before="120"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Nguồn: tác giả tổng hợp số liệu dựa trên báo cáo NHCSXH công bố</w:t>
      </w:r>
    </w:p>
    <w:p w14:paraId="42A4ACBF" w14:textId="39684325" w:rsidR="000808CB" w:rsidRDefault="00856F01" w:rsidP="00842091">
      <w:pPr>
        <w:pBdr>
          <w:top w:val="nil"/>
          <w:left w:val="nil"/>
          <w:bottom w:val="nil"/>
          <w:right w:val="nil"/>
          <w:between w:val="nil"/>
        </w:pBdr>
        <w:spacing w:before="120"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Giai đoạn 2023 - 2025 nguồn vốn của </w:t>
      </w:r>
      <w:r>
        <w:rPr>
          <w:rFonts w:ascii="Times New Roman" w:eastAsia="Times New Roman" w:hAnsi="Times New Roman" w:cs="Times New Roman"/>
          <w:sz w:val="28"/>
          <w:szCs w:val="28"/>
        </w:rPr>
        <w:t>NHCSXH</w:t>
      </w:r>
      <w:r>
        <w:rPr>
          <w:rFonts w:ascii="Times New Roman" w:eastAsia="Times New Roman" w:hAnsi="Times New Roman" w:cs="Times New Roman"/>
          <w:color w:val="000000"/>
          <w:sz w:val="28"/>
          <w:szCs w:val="28"/>
        </w:rPr>
        <w:t xml:space="preserve"> có xu hướng tăng trưởng tích cực từ 352.212 tỷ đồng năm 2024 lên 426.262 tỷ đồng trong năm 2025. Ngân sách trung ương tăng nhẹ trong năm 2023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2024 nhưng đến năm 2025 có sự tăng trưởng mạnh cho thấy</w:t>
      </w:r>
      <w:r w:rsidR="0059572A" w:rsidRPr="00856F0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sự gia tăng hỗ trợ từ cấp trung ương. Nguồn vốn từ ngâ</w:t>
      </w:r>
      <w:r>
        <w:rPr>
          <w:rFonts w:ascii="Times New Roman" w:eastAsia="Times New Roman" w:hAnsi="Times New Roman" w:cs="Times New Roman"/>
          <w:color w:val="000000"/>
          <w:sz w:val="28"/>
          <w:szCs w:val="28"/>
        </w:rPr>
        <w:t xml:space="preserve">n sách địa phương gia tăng nhanh chóng từ 39.175 tỷ đồng lên 66.091 tỷ đồng cho thấy xu hướng xã hội </w:t>
      </w:r>
      <w:r>
        <w:rPr>
          <w:rFonts w:ascii="Times New Roman" w:eastAsia="Times New Roman" w:hAnsi="Times New Roman" w:cs="Times New Roman"/>
          <w:sz w:val="28"/>
          <w:szCs w:val="28"/>
        </w:rPr>
        <w:t>hóa</w:t>
      </w:r>
      <w:r>
        <w:rPr>
          <w:rFonts w:ascii="Times New Roman" w:eastAsia="Times New Roman" w:hAnsi="Times New Roman" w:cs="Times New Roman"/>
          <w:color w:val="000000"/>
          <w:sz w:val="28"/>
          <w:szCs w:val="28"/>
        </w:rPr>
        <w:t xml:space="preserve"> nguồn vốn, cơ cấu vốn ngày càng bền vững hơn và giảm bớt được sự phụ thuộc vào nguồn ngân sách Trung ương. Bên cạnh đó, vốn vay và vốn huy động tăng tr</w:t>
      </w:r>
      <w:r>
        <w:rPr>
          <w:rFonts w:ascii="Times New Roman" w:eastAsia="Times New Roman" w:hAnsi="Times New Roman" w:cs="Times New Roman"/>
          <w:color w:val="000000"/>
          <w:sz w:val="28"/>
          <w:szCs w:val="28"/>
        </w:rPr>
        <w:t>ưởng ổn định qua các năm, cho thấy đây là nguồn vốn chủ lực của chương trình tín dụng. Nhìn chung, cơ cấu vốn ngày càng đa dạng và có xu hướng tăng trưởng bền vững, tạo nền tảng cho việc thực hiện hiệu quả các mục tiêu an sinh xã hội.</w:t>
      </w:r>
    </w:p>
    <w:p w14:paraId="4283EDE2" w14:textId="523BF5DA" w:rsidR="000808CB" w:rsidRPr="00856F01" w:rsidRDefault="0059572A" w:rsidP="0059572A">
      <w:pPr>
        <w:pBdr>
          <w:top w:val="nil"/>
          <w:left w:val="nil"/>
          <w:bottom w:val="nil"/>
          <w:right w:val="nil"/>
          <w:between w:val="nil"/>
        </w:pBdr>
        <w:spacing w:before="120" w:after="0" w:line="240" w:lineRule="auto"/>
        <w:ind w:left="360"/>
        <w:jc w:val="both"/>
        <w:rPr>
          <w:rFonts w:ascii="Times New Roman" w:eastAsia="Times New Roman" w:hAnsi="Times New Roman" w:cs="Times New Roman"/>
          <w:b/>
          <w:bCs/>
          <w:i/>
          <w:iCs/>
          <w:color w:val="000000"/>
          <w:sz w:val="28"/>
          <w:szCs w:val="28"/>
        </w:rPr>
      </w:pPr>
      <w:r w:rsidRPr="00856F01">
        <w:rPr>
          <w:rFonts w:ascii="Times New Roman" w:eastAsia="Times New Roman" w:hAnsi="Times New Roman" w:cs="Times New Roman"/>
          <w:b/>
          <w:bCs/>
          <w:i/>
          <w:iCs/>
          <w:color w:val="000000"/>
          <w:sz w:val="28"/>
          <w:szCs w:val="28"/>
        </w:rPr>
        <w:t>3.2. Quy mô tín dụng phục vụ chương trình giảm nghèo (Bảng 2)</w:t>
      </w:r>
    </w:p>
    <w:p w14:paraId="6E6F80C7" w14:textId="77777777" w:rsidR="0059572A" w:rsidRDefault="0059572A" w:rsidP="0059572A">
      <w:pPr>
        <w:pBdr>
          <w:top w:val="nil"/>
          <w:left w:val="nil"/>
          <w:bottom w:val="nil"/>
          <w:right w:val="nil"/>
          <w:between w:val="nil"/>
        </w:pBdr>
        <w:spacing w:before="120"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Bảng 2: Quy mô tín dụng chính sách giai đoạn 2023 - 2025</w:t>
      </w:r>
    </w:p>
    <w:p w14:paraId="20615F83" w14:textId="77777777" w:rsidR="0059572A" w:rsidRPr="00F459E3" w:rsidRDefault="0059572A" w:rsidP="00856F01">
      <w:pPr>
        <w:pBdr>
          <w:top w:val="nil"/>
          <w:left w:val="nil"/>
          <w:bottom w:val="nil"/>
          <w:right w:val="nil"/>
          <w:between w:val="nil"/>
        </w:pBdr>
        <w:spacing w:before="120" w:after="0" w:line="240" w:lineRule="auto"/>
        <w:ind w:left="360"/>
        <w:jc w:val="both"/>
        <w:rPr>
          <w:rFonts w:ascii="Times New Roman" w:eastAsia="Times New Roman" w:hAnsi="Times New Roman" w:cs="Times New Roman"/>
          <w:b/>
          <w:bCs/>
          <w:color w:val="000000"/>
          <w:sz w:val="28"/>
          <w:szCs w:val="28"/>
        </w:rPr>
      </w:pPr>
    </w:p>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43"/>
        <w:gridCol w:w="1195"/>
        <w:gridCol w:w="1195"/>
        <w:gridCol w:w="1195"/>
        <w:gridCol w:w="1274"/>
        <w:gridCol w:w="1274"/>
      </w:tblGrid>
      <w:tr w:rsidR="000808CB" w14:paraId="326FFEB3" w14:textId="77777777">
        <w:tc>
          <w:tcPr>
            <w:tcW w:w="3443" w:type="dxa"/>
          </w:tcPr>
          <w:p w14:paraId="5A49D06A"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Chỉ tiêu</w:t>
            </w:r>
          </w:p>
        </w:tc>
        <w:tc>
          <w:tcPr>
            <w:tcW w:w="1195" w:type="dxa"/>
          </w:tcPr>
          <w:p w14:paraId="5CCD6020"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2023</w:t>
            </w:r>
          </w:p>
        </w:tc>
        <w:tc>
          <w:tcPr>
            <w:tcW w:w="1195" w:type="dxa"/>
          </w:tcPr>
          <w:p w14:paraId="4DEDA1DC"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2024</w:t>
            </w:r>
          </w:p>
        </w:tc>
        <w:tc>
          <w:tcPr>
            <w:tcW w:w="1195" w:type="dxa"/>
          </w:tcPr>
          <w:p w14:paraId="306766E4"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2025</w:t>
            </w:r>
          </w:p>
        </w:tc>
        <w:tc>
          <w:tcPr>
            <w:tcW w:w="1274" w:type="dxa"/>
          </w:tcPr>
          <w:p w14:paraId="09E2F6DF"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2024/2023</w:t>
            </w:r>
          </w:p>
        </w:tc>
        <w:tc>
          <w:tcPr>
            <w:tcW w:w="1274" w:type="dxa"/>
          </w:tcPr>
          <w:p w14:paraId="63258BC5"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2025/2024</w:t>
            </w:r>
          </w:p>
        </w:tc>
      </w:tr>
      <w:tr w:rsidR="000808CB" w14:paraId="1AB07994" w14:textId="77777777">
        <w:tc>
          <w:tcPr>
            <w:tcW w:w="3443" w:type="dxa"/>
          </w:tcPr>
          <w:p w14:paraId="0D8AF5B8"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dư nợ (tỷ đồng)</w:t>
            </w:r>
          </w:p>
        </w:tc>
        <w:tc>
          <w:tcPr>
            <w:tcW w:w="1195" w:type="dxa"/>
          </w:tcPr>
          <w:p w14:paraId="27013B68"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331.924</w:t>
            </w:r>
          </w:p>
        </w:tc>
        <w:tc>
          <w:tcPr>
            <w:tcW w:w="1195" w:type="dxa"/>
          </w:tcPr>
          <w:p w14:paraId="7550DB05"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367.631</w:t>
            </w:r>
          </w:p>
        </w:tc>
        <w:tc>
          <w:tcPr>
            <w:tcW w:w="1195" w:type="dxa"/>
          </w:tcPr>
          <w:p w14:paraId="39EF51A4"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413.527</w:t>
            </w:r>
          </w:p>
        </w:tc>
        <w:tc>
          <w:tcPr>
            <w:tcW w:w="1274" w:type="dxa"/>
          </w:tcPr>
          <w:p w14:paraId="2D1BE01D"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10,8%</w:t>
            </w:r>
          </w:p>
        </w:tc>
        <w:tc>
          <w:tcPr>
            <w:tcW w:w="1274" w:type="dxa"/>
          </w:tcPr>
          <w:p w14:paraId="217182B7"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9,4%</w:t>
            </w:r>
          </w:p>
        </w:tc>
      </w:tr>
      <w:tr w:rsidR="000808CB" w14:paraId="7024EE4A" w14:textId="77777777">
        <w:tc>
          <w:tcPr>
            <w:tcW w:w="3443" w:type="dxa"/>
          </w:tcPr>
          <w:p w14:paraId="7F34E719"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Dư nợ hộ nghèo (tỷ đồng)</w:t>
            </w:r>
          </w:p>
        </w:tc>
        <w:tc>
          <w:tcPr>
            <w:tcW w:w="1195" w:type="dxa"/>
          </w:tcPr>
          <w:p w14:paraId="2B929D19"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135.000</w:t>
            </w:r>
          </w:p>
        </w:tc>
        <w:tc>
          <w:tcPr>
            <w:tcW w:w="1195" w:type="dxa"/>
          </w:tcPr>
          <w:p w14:paraId="32A19B07"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140.423</w:t>
            </w:r>
          </w:p>
        </w:tc>
        <w:tc>
          <w:tcPr>
            <w:tcW w:w="1195" w:type="dxa"/>
          </w:tcPr>
          <w:p w14:paraId="7CC5384D"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148.000</w:t>
            </w:r>
          </w:p>
        </w:tc>
        <w:tc>
          <w:tcPr>
            <w:tcW w:w="1274" w:type="dxa"/>
          </w:tcPr>
          <w:p w14:paraId="350DDD3B"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1274" w:type="dxa"/>
          </w:tcPr>
          <w:p w14:paraId="6FECF2A1"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5,4%</w:t>
            </w:r>
          </w:p>
        </w:tc>
      </w:tr>
      <w:tr w:rsidR="000808CB" w14:paraId="54F7EE0D" w14:textId="77777777">
        <w:tc>
          <w:tcPr>
            <w:tcW w:w="3443" w:type="dxa"/>
          </w:tcPr>
          <w:p w14:paraId="53D68AFC"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Dư nợ hộ cận nghèo (tỷ đồng)</w:t>
            </w:r>
          </w:p>
        </w:tc>
        <w:tc>
          <w:tcPr>
            <w:tcW w:w="1195" w:type="dxa"/>
          </w:tcPr>
          <w:p w14:paraId="689EDA5C"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95.000</w:t>
            </w:r>
          </w:p>
        </w:tc>
        <w:tc>
          <w:tcPr>
            <w:tcW w:w="1195" w:type="dxa"/>
          </w:tcPr>
          <w:p w14:paraId="312BDC15"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105.000</w:t>
            </w:r>
          </w:p>
        </w:tc>
        <w:tc>
          <w:tcPr>
            <w:tcW w:w="1195" w:type="dxa"/>
          </w:tcPr>
          <w:p w14:paraId="7AA6D13D"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115.000</w:t>
            </w:r>
          </w:p>
        </w:tc>
        <w:tc>
          <w:tcPr>
            <w:tcW w:w="1274" w:type="dxa"/>
          </w:tcPr>
          <w:p w14:paraId="6CB61987"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10.5%</w:t>
            </w:r>
          </w:p>
        </w:tc>
        <w:tc>
          <w:tcPr>
            <w:tcW w:w="1274" w:type="dxa"/>
          </w:tcPr>
          <w:p w14:paraId="20FE405D"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9,5%</w:t>
            </w:r>
          </w:p>
        </w:tc>
      </w:tr>
      <w:tr w:rsidR="000808CB" w14:paraId="54FF2DB8" w14:textId="77777777">
        <w:tc>
          <w:tcPr>
            <w:tcW w:w="3443" w:type="dxa"/>
          </w:tcPr>
          <w:p w14:paraId="46744064"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hộ vay (triệu hộ)</w:t>
            </w:r>
          </w:p>
        </w:tc>
        <w:tc>
          <w:tcPr>
            <w:tcW w:w="1195" w:type="dxa"/>
          </w:tcPr>
          <w:p w14:paraId="74D703BB"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6,8</w:t>
            </w:r>
          </w:p>
        </w:tc>
        <w:tc>
          <w:tcPr>
            <w:tcW w:w="1195" w:type="dxa"/>
          </w:tcPr>
          <w:p w14:paraId="77B7211B"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6,9</w:t>
            </w:r>
          </w:p>
        </w:tc>
        <w:tc>
          <w:tcPr>
            <w:tcW w:w="1195" w:type="dxa"/>
          </w:tcPr>
          <w:p w14:paraId="477DF288"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6,7</w:t>
            </w:r>
          </w:p>
        </w:tc>
        <w:tc>
          <w:tcPr>
            <w:tcW w:w="1274" w:type="dxa"/>
          </w:tcPr>
          <w:p w14:paraId="45CE30A2"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5,5%</w:t>
            </w:r>
          </w:p>
        </w:tc>
        <w:tc>
          <w:tcPr>
            <w:tcW w:w="1274" w:type="dxa"/>
          </w:tcPr>
          <w:p w14:paraId="122C9FE7"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-2,9%</w:t>
            </w:r>
          </w:p>
        </w:tc>
      </w:tr>
      <w:tr w:rsidR="000808CB" w14:paraId="045A54C7" w14:textId="77777777">
        <w:tc>
          <w:tcPr>
            <w:tcW w:w="3443" w:type="dxa"/>
          </w:tcPr>
          <w:p w14:paraId="5C89CCA6"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Dư nợ bình quân/Hộ (triệu đồng)</w:t>
            </w:r>
          </w:p>
        </w:tc>
        <w:tc>
          <w:tcPr>
            <w:tcW w:w="1195" w:type="dxa"/>
          </w:tcPr>
          <w:p w14:paraId="2D7CF038"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50,3</w:t>
            </w:r>
          </w:p>
        </w:tc>
        <w:tc>
          <w:tcPr>
            <w:tcW w:w="1195" w:type="dxa"/>
          </w:tcPr>
          <w:p w14:paraId="2D186E1C"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53,3</w:t>
            </w:r>
          </w:p>
        </w:tc>
        <w:tc>
          <w:tcPr>
            <w:tcW w:w="1195" w:type="dxa"/>
          </w:tcPr>
          <w:p w14:paraId="1D44F2E1"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61,7</w:t>
            </w:r>
          </w:p>
        </w:tc>
        <w:tc>
          <w:tcPr>
            <w:tcW w:w="1274" w:type="dxa"/>
          </w:tcPr>
          <w:p w14:paraId="792658E2"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6,0%</w:t>
            </w:r>
          </w:p>
        </w:tc>
        <w:tc>
          <w:tcPr>
            <w:tcW w:w="1274" w:type="dxa"/>
          </w:tcPr>
          <w:p w14:paraId="4F2CCA51" w14:textId="77777777" w:rsidR="000808CB" w:rsidRDefault="00856F01" w:rsidP="00842091">
            <w:pPr>
              <w:pBdr>
                <w:top w:val="nil"/>
                <w:left w:val="nil"/>
                <w:bottom w:val="nil"/>
                <w:right w:val="nil"/>
                <w:between w:val="nil"/>
              </w:pBdr>
              <w:spacing w:before="12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15,7%</w:t>
            </w:r>
          </w:p>
        </w:tc>
      </w:tr>
    </w:tbl>
    <w:p w14:paraId="1873177C" w14:textId="77777777" w:rsidR="000808CB" w:rsidRDefault="00856F01" w:rsidP="00842091">
      <w:pPr>
        <w:pBdr>
          <w:top w:val="nil"/>
          <w:left w:val="nil"/>
          <w:bottom w:val="nil"/>
          <w:right w:val="nil"/>
          <w:between w:val="nil"/>
        </w:pBdr>
        <w:spacing w:before="120" w:after="0" w:line="240" w:lineRule="auto"/>
        <w:jc w:val="right"/>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Nguồn: tác giả tổng hợp số liệu dựa trên báo cáo NHCSXH công bố</w:t>
      </w:r>
    </w:p>
    <w:p w14:paraId="6DAE5B8A" w14:textId="53F891F8" w:rsidR="000808CB" w:rsidRDefault="00856F01" w:rsidP="00842091">
      <w:pPr>
        <w:pBdr>
          <w:top w:val="nil"/>
          <w:left w:val="nil"/>
          <w:bottom w:val="nil"/>
          <w:right w:val="nil"/>
          <w:between w:val="nil"/>
        </w:pBdr>
        <w:spacing w:before="120"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Tổng dư nợ của chương trình ở mức tăng trưởng dao động </w:t>
      </w:r>
      <w:r>
        <w:rPr>
          <w:rFonts w:ascii="Times New Roman" w:eastAsia="Times New Roman" w:hAnsi="Times New Roman" w:cs="Times New Roman"/>
          <w:color w:val="000000"/>
          <w:sz w:val="28"/>
          <w:szCs w:val="28"/>
        </w:rPr>
        <w:t>khoảng 9,4% - 10,8% cho th</w:t>
      </w:r>
      <w:r w:rsidR="0059572A" w:rsidRPr="00856F01">
        <w:rPr>
          <w:rFonts w:ascii="Times New Roman" w:eastAsia="Times New Roman" w:hAnsi="Times New Roman" w:cs="Times New Roman"/>
          <w:color w:val="000000"/>
          <w:sz w:val="28"/>
          <w:szCs w:val="28"/>
        </w:rPr>
        <w:t>ấ</w:t>
      </w:r>
      <w:r>
        <w:rPr>
          <w:rFonts w:ascii="Times New Roman" w:eastAsia="Times New Roman" w:hAnsi="Times New Roman" w:cs="Times New Roman"/>
          <w:color w:val="000000"/>
          <w:sz w:val="28"/>
          <w:szCs w:val="28"/>
        </w:rPr>
        <w:t>y</w:t>
      </w:r>
      <w:r w:rsidR="0059572A" w:rsidRPr="00856F0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quy mô tín dụng duy trì xu hướng tăng trưởng ổn định, phản ánh sự mở rộng tín dụng có kiểm soát, phù hợp với mục tiêu ổn định kinh tế và đảm bảo an sinh xã hội. Dư nợ hộ nghèo tăng trưởng ổn định nhưng thấp hơn dư nợ hộ c</w:t>
      </w:r>
      <w:r w:rsidR="0059572A" w:rsidRPr="00856F01">
        <w:rPr>
          <w:rFonts w:ascii="Times New Roman" w:eastAsia="Times New Roman" w:hAnsi="Times New Roman" w:cs="Times New Roman"/>
          <w:color w:val="000000"/>
          <w:sz w:val="28"/>
          <w:szCs w:val="28"/>
        </w:rPr>
        <w:t>ậ</w:t>
      </w:r>
      <w:r>
        <w:rPr>
          <w:rFonts w:ascii="Times New Roman" w:eastAsia="Times New Roman" w:hAnsi="Times New Roman" w:cs="Times New Roman"/>
          <w:color w:val="000000"/>
          <w:sz w:val="28"/>
          <w:szCs w:val="28"/>
        </w:rPr>
        <w:t>n nghèo cho thấy</w:t>
      </w:r>
      <w:r w:rsidR="0059572A" w:rsidRPr="00856F0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xu hướng mở rộ</w:t>
      </w:r>
      <w:r>
        <w:rPr>
          <w:rFonts w:ascii="Times New Roman" w:eastAsia="Times New Roman" w:hAnsi="Times New Roman" w:cs="Times New Roman"/>
          <w:color w:val="000000"/>
          <w:sz w:val="28"/>
          <w:szCs w:val="28"/>
        </w:rPr>
        <w:t xml:space="preserve">ng quy mô tín dụng sang hộ cận nghèo nhằm </w:t>
      </w:r>
      <w:r>
        <w:rPr>
          <w:rFonts w:ascii="Times New Roman" w:eastAsia="Times New Roman" w:hAnsi="Times New Roman" w:cs="Times New Roman"/>
          <w:sz w:val="28"/>
          <w:szCs w:val="28"/>
        </w:rPr>
        <w:t>củng</w:t>
      </w:r>
      <w:r>
        <w:rPr>
          <w:rFonts w:ascii="Times New Roman" w:eastAsia="Times New Roman" w:hAnsi="Times New Roman" w:cs="Times New Roman"/>
          <w:color w:val="000000"/>
          <w:sz w:val="28"/>
          <w:szCs w:val="28"/>
        </w:rPr>
        <w:t xml:space="preserve"> cố tính bền vững của chính sách giảm nghèo. Ngoài ra</w:t>
      </w:r>
      <w:r w:rsidR="00F459E3" w:rsidRPr="00856F0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dư nợ hộ cận nghèo ở mức khá cao phản ánh sự chú trọng của chính sách vào nhóm có nguy cơ tái nghèo.</w:t>
      </w:r>
      <w:r>
        <w:rPr>
          <w:rFonts w:ascii="Times New Roman" w:eastAsia="Times New Roman" w:hAnsi="Times New Roman" w:cs="Times New Roman"/>
          <w:color w:val="000000"/>
          <w:sz w:val="28"/>
          <w:szCs w:val="28"/>
        </w:rPr>
        <w:t xml:space="preserve"> Mức dư nợ bình quân tăng lên từ 50,3 triệu đồng năm 2</w:t>
      </w:r>
      <w:r>
        <w:rPr>
          <w:rFonts w:ascii="Times New Roman" w:eastAsia="Times New Roman" w:hAnsi="Times New Roman" w:cs="Times New Roman"/>
          <w:color w:val="000000"/>
          <w:sz w:val="28"/>
          <w:szCs w:val="28"/>
        </w:rPr>
        <w:t>023 lên 61,7 triệu đồng năm 2025 cho thấy</w:t>
      </w:r>
      <w:r w:rsidR="0059572A" w:rsidRPr="00856F0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chiến lược nâng cao mức hỗ trợ trên mỗi đối tượng qua đó tăng hiệu quả sử dụng vốn.</w:t>
      </w:r>
    </w:p>
    <w:p w14:paraId="54FAA98E" w14:textId="403AFC3A" w:rsidR="000808CB" w:rsidRPr="00856F01" w:rsidRDefault="0059572A" w:rsidP="0059572A">
      <w:pPr>
        <w:pBdr>
          <w:top w:val="nil"/>
          <w:left w:val="nil"/>
          <w:bottom w:val="nil"/>
          <w:right w:val="nil"/>
          <w:between w:val="nil"/>
        </w:pBdr>
        <w:spacing w:before="120" w:after="0" w:line="240" w:lineRule="auto"/>
        <w:ind w:left="360"/>
        <w:jc w:val="both"/>
        <w:rPr>
          <w:rFonts w:ascii="Times New Roman" w:eastAsia="Times New Roman" w:hAnsi="Times New Roman" w:cs="Times New Roman"/>
          <w:b/>
          <w:bCs/>
          <w:i/>
          <w:iCs/>
          <w:color w:val="000000"/>
          <w:sz w:val="28"/>
          <w:szCs w:val="28"/>
        </w:rPr>
      </w:pPr>
      <w:r w:rsidRPr="00856F01">
        <w:rPr>
          <w:rFonts w:ascii="Times New Roman" w:eastAsia="Times New Roman" w:hAnsi="Times New Roman" w:cs="Times New Roman"/>
          <w:b/>
          <w:bCs/>
          <w:i/>
          <w:iCs/>
          <w:color w:val="000000"/>
          <w:sz w:val="28"/>
          <w:szCs w:val="28"/>
        </w:rPr>
        <w:t>3.3. Cơ cấu dư nợ tín dụng (Bảng 3)</w:t>
      </w:r>
    </w:p>
    <w:p w14:paraId="11DDCCA5" w14:textId="77777777" w:rsidR="0059572A" w:rsidRDefault="0059572A" w:rsidP="0059572A">
      <w:pPr>
        <w:pBdr>
          <w:top w:val="nil"/>
          <w:left w:val="nil"/>
          <w:bottom w:val="nil"/>
          <w:right w:val="nil"/>
          <w:between w:val="nil"/>
        </w:pBdr>
        <w:spacing w:before="120"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Bảng 3. Cơ cấu dư nợ tín dụng giai đoạn 2023 - 2025</w:t>
      </w:r>
    </w:p>
    <w:p w14:paraId="5355E752" w14:textId="77777777" w:rsidR="0059572A" w:rsidRPr="00F459E3" w:rsidRDefault="0059572A" w:rsidP="00856F01">
      <w:pPr>
        <w:pBdr>
          <w:top w:val="nil"/>
          <w:left w:val="nil"/>
          <w:bottom w:val="nil"/>
          <w:right w:val="nil"/>
          <w:between w:val="nil"/>
        </w:pBdr>
        <w:spacing w:before="120" w:after="0" w:line="240" w:lineRule="auto"/>
        <w:ind w:left="360"/>
        <w:jc w:val="both"/>
        <w:rPr>
          <w:rFonts w:ascii="Times New Roman" w:eastAsia="Times New Roman" w:hAnsi="Times New Roman" w:cs="Times New Roman"/>
          <w:b/>
          <w:bCs/>
          <w:color w:val="000000"/>
          <w:sz w:val="28"/>
          <w:szCs w:val="28"/>
        </w:rPr>
      </w:pPr>
    </w:p>
    <w:tbl>
      <w:tblPr>
        <w:tblStyle w:val="a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0"/>
        <w:gridCol w:w="1266"/>
        <w:gridCol w:w="1266"/>
        <w:gridCol w:w="1266"/>
        <w:gridCol w:w="1414"/>
        <w:gridCol w:w="1414"/>
      </w:tblGrid>
      <w:tr w:rsidR="000808CB" w14:paraId="10283DB2" w14:textId="77777777">
        <w:tc>
          <w:tcPr>
            <w:tcW w:w="2950" w:type="dxa"/>
            <w:vMerge w:val="restart"/>
          </w:tcPr>
          <w:p w14:paraId="2F478022"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Chỉ tiêu</w:t>
            </w:r>
          </w:p>
        </w:tc>
        <w:tc>
          <w:tcPr>
            <w:tcW w:w="3798" w:type="dxa"/>
            <w:gridSpan w:val="3"/>
          </w:tcPr>
          <w:p w14:paraId="650B6022"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Dư nợ (tỷ đồng)</w:t>
            </w:r>
          </w:p>
        </w:tc>
        <w:tc>
          <w:tcPr>
            <w:tcW w:w="1414" w:type="dxa"/>
            <w:vMerge w:val="restart"/>
          </w:tcPr>
          <w:p w14:paraId="0073D2A5"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2024/2023</w:t>
            </w:r>
          </w:p>
        </w:tc>
        <w:tc>
          <w:tcPr>
            <w:tcW w:w="1414" w:type="dxa"/>
            <w:vMerge w:val="restart"/>
          </w:tcPr>
          <w:p w14:paraId="7664B2B2"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2025/2024</w:t>
            </w:r>
          </w:p>
        </w:tc>
      </w:tr>
      <w:tr w:rsidR="000808CB" w14:paraId="1E0E1145" w14:textId="77777777">
        <w:tc>
          <w:tcPr>
            <w:tcW w:w="2950" w:type="dxa"/>
            <w:vMerge/>
          </w:tcPr>
          <w:p w14:paraId="72D38B63" w14:textId="77777777" w:rsidR="000808CB" w:rsidRDefault="000808CB" w:rsidP="00842091">
            <w:pPr>
              <w:widowControl w:val="0"/>
              <w:pBdr>
                <w:top w:val="nil"/>
                <w:left w:val="nil"/>
                <w:bottom w:val="nil"/>
                <w:right w:val="nil"/>
                <w:between w:val="nil"/>
              </w:pBdr>
              <w:spacing w:before="120" w:line="276" w:lineRule="auto"/>
              <w:rPr>
                <w:rFonts w:ascii="Times New Roman" w:eastAsia="Times New Roman" w:hAnsi="Times New Roman" w:cs="Times New Roman"/>
                <w:b/>
                <w:bCs/>
                <w:color w:val="000000"/>
                <w:sz w:val="28"/>
                <w:szCs w:val="28"/>
              </w:rPr>
            </w:pPr>
          </w:p>
        </w:tc>
        <w:tc>
          <w:tcPr>
            <w:tcW w:w="1266" w:type="dxa"/>
          </w:tcPr>
          <w:p w14:paraId="389737DF"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2023</w:t>
            </w:r>
          </w:p>
        </w:tc>
        <w:tc>
          <w:tcPr>
            <w:tcW w:w="1266" w:type="dxa"/>
          </w:tcPr>
          <w:p w14:paraId="1C4736DD"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2024</w:t>
            </w:r>
          </w:p>
        </w:tc>
        <w:tc>
          <w:tcPr>
            <w:tcW w:w="1266" w:type="dxa"/>
          </w:tcPr>
          <w:p w14:paraId="73106F62"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2025</w:t>
            </w:r>
          </w:p>
        </w:tc>
        <w:tc>
          <w:tcPr>
            <w:tcW w:w="1414" w:type="dxa"/>
            <w:vMerge/>
          </w:tcPr>
          <w:p w14:paraId="588DFE28" w14:textId="77777777" w:rsidR="000808CB" w:rsidRDefault="000808CB" w:rsidP="00842091">
            <w:pPr>
              <w:widowControl w:val="0"/>
              <w:pBdr>
                <w:top w:val="nil"/>
                <w:left w:val="nil"/>
                <w:bottom w:val="nil"/>
                <w:right w:val="nil"/>
                <w:between w:val="nil"/>
              </w:pBdr>
              <w:spacing w:before="120" w:line="276" w:lineRule="auto"/>
              <w:rPr>
                <w:rFonts w:ascii="Times New Roman" w:eastAsia="Times New Roman" w:hAnsi="Times New Roman" w:cs="Times New Roman"/>
                <w:color w:val="000000"/>
                <w:sz w:val="28"/>
                <w:szCs w:val="28"/>
              </w:rPr>
            </w:pPr>
          </w:p>
        </w:tc>
        <w:tc>
          <w:tcPr>
            <w:tcW w:w="1414" w:type="dxa"/>
            <w:vMerge/>
          </w:tcPr>
          <w:p w14:paraId="5A5C329A" w14:textId="77777777" w:rsidR="000808CB" w:rsidRDefault="000808CB" w:rsidP="00842091">
            <w:pPr>
              <w:widowControl w:val="0"/>
              <w:pBdr>
                <w:top w:val="nil"/>
                <w:left w:val="nil"/>
                <w:bottom w:val="nil"/>
                <w:right w:val="nil"/>
                <w:between w:val="nil"/>
              </w:pBdr>
              <w:spacing w:before="120" w:line="276" w:lineRule="auto"/>
              <w:rPr>
                <w:rFonts w:ascii="Times New Roman" w:eastAsia="Times New Roman" w:hAnsi="Times New Roman" w:cs="Times New Roman"/>
                <w:color w:val="000000"/>
                <w:sz w:val="28"/>
                <w:szCs w:val="28"/>
              </w:rPr>
            </w:pPr>
          </w:p>
        </w:tc>
      </w:tr>
      <w:tr w:rsidR="000808CB" w14:paraId="3D9B6396" w14:textId="77777777">
        <w:tc>
          <w:tcPr>
            <w:tcW w:w="2950" w:type="dxa"/>
          </w:tcPr>
          <w:p w14:paraId="1CB936F2"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Tổng dư nợ (tỷ đồng)</w:t>
            </w:r>
          </w:p>
        </w:tc>
        <w:tc>
          <w:tcPr>
            <w:tcW w:w="1266" w:type="dxa"/>
          </w:tcPr>
          <w:p w14:paraId="087DA235"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331.923</w:t>
            </w:r>
          </w:p>
        </w:tc>
        <w:tc>
          <w:tcPr>
            <w:tcW w:w="1266" w:type="dxa"/>
          </w:tcPr>
          <w:p w14:paraId="56C478E2"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367.631</w:t>
            </w:r>
          </w:p>
        </w:tc>
        <w:tc>
          <w:tcPr>
            <w:tcW w:w="1266" w:type="dxa"/>
          </w:tcPr>
          <w:p w14:paraId="4A5E67B1"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413.527</w:t>
            </w:r>
          </w:p>
        </w:tc>
        <w:tc>
          <w:tcPr>
            <w:tcW w:w="1414" w:type="dxa"/>
          </w:tcPr>
          <w:p w14:paraId="22BCD93A"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10,8%</w:t>
            </w:r>
          </w:p>
        </w:tc>
        <w:tc>
          <w:tcPr>
            <w:tcW w:w="1414" w:type="dxa"/>
          </w:tcPr>
          <w:p w14:paraId="41E65D70"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9,4%</w:t>
            </w:r>
          </w:p>
        </w:tc>
      </w:tr>
      <w:tr w:rsidR="000808CB" w14:paraId="2BE10EB5" w14:textId="77777777">
        <w:tc>
          <w:tcPr>
            <w:tcW w:w="2950" w:type="dxa"/>
          </w:tcPr>
          <w:p w14:paraId="0D48396D"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SXKD (đối tượng chính sách)</w:t>
            </w:r>
          </w:p>
        </w:tc>
        <w:tc>
          <w:tcPr>
            <w:tcW w:w="1266" w:type="dxa"/>
          </w:tcPr>
          <w:p w14:paraId="26CFCC76"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237.000</w:t>
            </w:r>
          </w:p>
        </w:tc>
        <w:tc>
          <w:tcPr>
            <w:tcW w:w="1266" w:type="dxa"/>
          </w:tcPr>
          <w:p w14:paraId="0CE397BF"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263.293</w:t>
            </w:r>
          </w:p>
        </w:tc>
        <w:tc>
          <w:tcPr>
            <w:tcW w:w="1266" w:type="dxa"/>
          </w:tcPr>
          <w:p w14:paraId="12413BCD"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296.000</w:t>
            </w:r>
          </w:p>
        </w:tc>
        <w:tc>
          <w:tcPr>
            <w:tcW w:w="1414" w:type="dxa"/>
          </w:tcPr>
          <w:p w14:paraId="6B9FF0E6"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w:t>
            </w:r>
          </w:p>
        </w:tc>
        <w:tc>
          <w:tcPr>
            <w:tcW w:w="1414" w:type="dxa"/>
          </w:tcPr>
          <w:p w14:paraId="71E9A80E"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9,4%</w:t>
            </w:r>
          </w:p>
        </w:tc>
      </w:tr>
      <w:tr w:rsidR="000808CB" w14:paraId="4020F8B8" w14:textId="77777777">
        <w:tc>
          <w:tcPr>
            <w:tcW w:w="2950" w:type="dxa"/>
          </w:tcPr>
          <w:p w14:paraId="73FE05B3"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Đời sống (HSSV, nhà ở,…)</w:t>
            </w:r>
          </w:p>
        </w:tc>
        <w:tc>
          <w:tcPr>
            <w:tcW w:w="1266" w:type="dxa"/>
          </w:tcPr>
          <w:p w14:paraId="732D9CF5"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94.923</w:t>
            </w:r>
          </w:p>
        </w:tc>
        <w:tc>
          <w:tcPr>
            <w:tcW w:w="1266" w:type="dxa"/>
          </w:tcPr>
          <w:p w14:paraId="37EB69CD"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104.387</w:t>
            </w:r>
          </w:p>
        </w:tc>
        <w:tc>
          <w:tcPr>
            <w:tcW w:w="1266" w:type="dxa"/>
          </w:tcPr>
          <w:p w14:paraId="5D46AE9E"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117.527</w:t>
            </w:r>
          </w:p>
        </w:tc>
        <w:tc>
          <w:tcPr>
            <w:tcW w:w="1414" w:type="dxa"/>
          </w:tcPr>
          <w:p w14:paraId="7BA5D8BC"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c>
          <w:tcPr>
            <w:tcW w:w="1414" w:type="dxa"/>
          </w:tcPr>
          <w:p w14:paraId="24788F5F"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12,6%</w:t>
            </w:r>
          </w:p>
        </w:tc>
      </w:tr>
    </w:tbl>
    <w:p w14:paraId="4BF27014" w14:textId="77777777" w:rsidR="000808CB" w:rsidRDefault="00856F01" w:rsidP="00842091">
      <w:pPr>
        <w:pBdr>
          <w:top w:val="nil"/>
          <w:left w:val="nil"/>
          <w:bottom w:val="nil"/>
          <w:right w:val="nil"/>
          <w:between w:val="nil"/>
        </w:pBdr>
        <w:spacing w:before="120" w:after="0" w:line="240" w:lineRule="auto"/>
        <w:jc w:val="right"/>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 xml:space="preserve">Nguồn: tác giả tổng hợp số liệu trên báo </w:t>
      </w:r>
      <w:r>
        <w:rPr>
          <w:rFonts w:ascii="Times New Roman" w:eastAsia="Times New Roman" w:hAnsi="Times New Roman" w:cs="Times New Roman"/>
          <w:i/>
          <w:iCs/>
          <w:color w:val="000000"/>
          <w:sz w:val="28"/>
          <w:szCs w:val="28"/>
        </w:rPr>
        <w:t>cáo NHCSXH công bố</w:t>
      </w:r>
    </w:p>
    <w:p w14:paraId="77212D57" w14:textId="0204AE8A" w:rsidR="000808CB" w:rsidRDefault="00856F01" w:rsidP="00842091">
      <w:pPr>
        <w:pBdr>
          <w:top w:val="nil"/>
          <w:left w:val="nil"/>
          <w:bottom w:val="nil"/>
          <w:right w:val="nil"/>
          <w:between w:val="nil"/>
        </w:pBdr>
        <w:spacing w:before="120"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Số liệu phân tích cho thấy sự ổn định trong định hướng phân bổ nguồn vốn tín dụng. Cơ cấu tăng trưởng tín dụng phục vụ sản xuất kinh doanh và đời sống có sự cân đối mức tăng trưởng (sản xuất </w:t>
      </w:r>
      <w:r w:rsidR="0059572A" w:rsidRPr="00856F0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kinh doanh 9,4% - 11% và đời sống 10,0% - 12,6%) cho thấy</w:t>
      </w:r>
      <w:r w:rsidR="0059572A" w:rsidRPr="00856F0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chín</w:t>
      </w:r>
      <w:r>
        <w:rPr>
          <w:rFonts w:ascii="Times New Roman" w:eastAsia="Times New Roman" w:hAnsi="Times New Roman" w:cs="Times New Roman"/>
          <w:color w:val="000000"/>
          <w:sz w:val="28"/>
          <w:szCs w:val="28"/>
        </w:rPr>
        <w:t>h sách không chỉ tập trung vào mục tiêu sản xuất mà còn góp phần cải thiện điều kiện sống, nâng cao chất lượng an sinh xã hội, phù hợp với định hướng phát triển của đất nước</w:t>
      </w:r>
      <w:r w:rsidR="0059572A" w:rsidRPr="00856F0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trong đó tín dụng chính sách đóng vai trò vừa </w:t>
      </w:r>
      <w:r>
        <w:rPr>
          <w:rFonts w:ascii="Times New Roman" w:eastAsia="Times New Roman" w:hAnsi="Times New Roman" w:cs="Times New Roman"/>
          <w:color w:val="000000"/>
          <w:sz w:val="28"/>
          <w:szCs w:val="28"/>
        </w:rPr>
        <w:lastRenderedPageBreak/>
        <w:t>là công cụ giảm nghèo, vừa là đòn b</w:t>
      </w:r>
      <w:r>
        <w:rPr>
          <w:rFonts w:ascii="Times New Roman" w:eastAsia="Times New Roman" w:hAnsi="Times New Roman" w:cs="Times New Roman"/>
          <w:color w:val="000000"/>
          <w:sz w:val="28"/>
          <w:szCs w:val="28"/>
        </w:rPr>
        <w:t xml:space="preserve">ẩy giúp thúc đẩy tăng trưởng kinh tế những khu vực </w:t>
      </w:r>
      <w:r>
        <w:rPr>
          <w:rFonts w:ascii="Times New Roman" w:eastAsia="Times New Roman" w:hAnsi="Times New Roman" w:cs="Times New Roman"/>
          <w:color w:val="000000"/>
          <w:sz w:val="28"/>
          <w:szCs w:val="28"/>
        </w:rPr>
        <w:t>như vùng núi, vùng nông thôn và các khu vực còn khó khăn.</w:t>
      </w:r>
    </w:p>
    <w:p w14:paraId="4ED56342" w14:textId="05FFE277" w:rsidR="000808CB" w:rsidRPr="00856F01" w:rsidRDefault="0059572A" w:rsidP="00856F01">
      <w:pPr>
        <w:pBdr>
          <w:top w:val="nil"/>
          <w:left w:val="nil"/>
          <w:bottom w:val="nil"/>
          <w:right w:val="nil"/>
          <w:between w:val="nil"/>
        </w:pBdr>
        <w:spacing w:before="120" w:after="0" w:line="240" w:lineRule="auto"/>
        <w:ind w:left="360"/>
        <w:jc w:val="both"/>
        <w:rPr>
          <w:rFonts w:ascii="Times New Roman" w:eastAsia="Times New Roman" w:hAnsi="Times New Roman" w:cs="Times New Roman"/>
          <w:b/>
          <w:bCs/>
          <w:i/>
          <w:iCs/>
          <w:color w:val="000000"/>
          <w:sz w:val="28"/>
          <w:szCs w:val="28"/>
        </w:rPr>
      </w:pPr>
      <w:r w:rsidRPr="00856F01">
        <w:rPr>
          <w:rFonts w:ascii="Times New Roman" w:eastAsia="Times New Roman" w:hAnsi="Times New Roman" w:cs="Times New Roman"/>
          <w:b/>
          <w:bCs/>
          <w:i/>
          <w:iCs/>
          <w:color w:val="000000"/>
          <w:sz w:val="28"/>
          <w:szCs w:val="28"/>
        </w:rPr>
        <w:t>3.4. Tín dụng chính sách tại các huyện nghèo (Bảng 4)</w:t>
      </w:r>
    </w:p>
    <w:p w14:paraId="6B4DB02B" w14:textId="77777777" w:rsidR="000808CB" w:rsidRDefault="00856F01" w:rsidP="00842091">
      <w:pPr>
        <w:pBdr>
          <w:top w:val="nil"/>
          <w:left w:val="nil"/>
          <w:bottom w:val="nil"/>
          <w:right w:val="nil"/>
          <w:between w:val="nil"/>
        </w:pBdr>
        <w:spacing w:before="120" w:after="0" w:line="240" w:lineRule="auto"/>
        <w:ind w:left="36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Bảng 4. Tín dụng chính sách tại các huyện nghèo giai đoạn 2023 - 2025</w:t>
      </w:r>
    </w:p>
    <w:tbl>
      <w:tblPr>
        <w:tblStyle w:val="a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58"/>
        <w:gridCol w:w="1396"/>
        <w:gridCol w:w="1396"/>
        <w:gridCol w:w="1326"/>
      </w:tblGrid>
      <w:tr w:rsidR="000808CB" w14:paraId="335FA24B" w14:textId="77777777">
        <w:tc>
          <w:tcPr>
            <w:tcW w:w="5458" w:type="dxa"/>
          </w:tcPr>
          <w:p w14:paraId="1E6C4F9E"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Chỉ tiêu</w:t>
            </w:r>
          </w:p>
        </w:tc>
        <w:tc>
          <w:tcPr>
            <w:tcW w:w="1396" w:type="dxa"/>
          </w:tcPr>
          <w:p w14:paraId="3C372CC0"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2023</w:t>
            </w:r>
          </w:p>
        </w:tc>
        <w:tc>
          <w:tcPr>
            <w:tcW w:w="1396" w:type="dxa"/>
          </w:tcPr>
          <w:p w14:paraId="2BBC9F1D"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2024</w:t>
            </w:r>
          </w:p>
        </w:tc>
        <w:tc>
          <w:tcPr>
            <w:tcW w:w="1326" w:type="dxa"/>
          </w:tcPr>
          <w:p w14:paraId="7E30DB72"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2025</w:t>
            </w:r>
          </w:p>
        </w:tc>
      </w:tr>
      <w:tr w:rsidR="000808CB" w14:paraId="435A1CF6" w14:textId="77777777">
        <w:tc>
          <w:tcPr>
            <w:tcW w:w="5458" w:type="dxa"/>
          </w:tcPr>
          <w:p w14:paraId="76E1F714"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Dư nợ tại các huyện nghèo (tỷ đồng)</w:t>
            </w:r>
          </w:p>
        </w:tc>
        <w:tc>
          <w:tcPr>
            <w:tcW w:w="1396" w:type="dxa"/>
          </w:tcPr>
          <w:p w14:paraId="55D0A051"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120.000</w:t>
            </w:r>
          </w:p>
        </w:tc>
        <w:tc>
          <w:tcPr>
            <w:tcW w:w="1396" w:type="dxa"/>
          </w:tcPr>
          <w:p w14:paraId="3FA32C8D"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135.000</w:t>
            </w:r>
          </w:p>
        </w:tc>
        <w:tc>
          <w:tcPr>
            <w:tcW w:w="1326" w:type="dxa"/>
          </w:tcPr>
          <w:p w14:paraId="71F0F0FD"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150.000</w:t>
            </w:r>
          </w:p>
        </w:tc>
      </w:tr>
      <w:tr w:rsidR="000808CB" w14:paraId="457833AB" w14:textId="77777777">
        <w:tc>
          <w:tcPr>
            <w:tcW w:w="5458" w:type="dxa"/>
          </w:tcPr>
          <w:p w14:paraId="7315D75D"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Tỷ trọng trong tổng dư nợ (%)</w:t>
            </w:r>
          </w:p>
        </w:tc>
        <w:tc>
          <w:tcPr>
            <w:tcW w:w="1396" w:type="dxa"/>
          </w:tcPr>
          <w:p w14:paraId="27F40E5C"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36%</w:t>
            </w:r>
          </w:p>
        </w:tc>
        <w:tc>
          <w:tcPr>
            <w:tcW w:w="1396" w:type="dxa"/>
          </w:tcPr>
          <w:p w14:paraId="58D7B7C3"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37%</w:t>
            </w:r>
          </w:p>
        </w:tc>
        <w:tc>
          <w:tcPr>
            <w:tcW w:w="1326" w:type="dxa"/>
          </w:tcPr>
          <w:p w14:paraId="66B19399"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37%</w:t>
            </w:r>
          </w:p>
        </w:tc>
      </w:tr>
      <w:tr w:rsidR="000808CB" w14:paraId="351495E8" w14:textId="77777777">
        <w:tc>
          <w:tcPr>
            <w:tcW w:w="5458" w:type="dxa"/>
          </w:tcPr>
          <w:p w14:paraId="2F62EDDB"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hộ vay vốn (nghìn hộ)</w:t>
            </w:r>
          </w:p>
        </w:tc>
        <w:tc>
          <w:tcPr>
            <w:tcW w:w="1396" w:type="dxa"/>
          </w:tcPr>
          <w:p w14:paraId="014BB005"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2.300</w:t>
            </w:r>
          </w:p>
        </w:tc>
        <w:tc>
          <w:tcPr>
            <w:tcW w:w="1396" w:type="dxa"/>
          </w:tcPr>
          <w:p w14:paraId="4FAC71E7"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2.500</w:t>
            </w:r>
          </w:p>
        </w:tc>
        <w:tc>
          <w:tcPr>
            <w:tcW w:w="1326" w:type="dxa"/>
          </w:tcPr>
          <w:p w14:paraId="259A8CB4"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2.500</w:t>
            </w:r>
          </w:p>
        </w:tc>
      </w:tr>
    </w:tbl>
    <w:p w14:paraId="71C7A7D1" w14:textId="77777777" w:rsidR="000808CB" w:rsidRDefault="00856F01" w:rsidP="00842091">
      <w:pPr>
        <w:pBdr>
          <w:top w:val="nil"/>
          <w:left w:val="nil"/>
          <w:bottom w:val="nil"/>
          <w:right w:val="nil"/>
          <w:between w:val="nil"/>
        </w:pBdr>
        <w:spacing w:before="120" w:after="0" w:line="240" w:lineRule="auto"/>
        <w:jc w:val="right"/>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Nguồn: tác giả tổng hợp số liệu dựa trên báo cáo NHCSXH công bố</w:t>
      </w:r>
    </w:p>
    <w:p w14:paraId="137DE228" w14:textId="77777777" w:rsidR="000808CB" w:rsidRDefault="00856F01" w:rsidP="00842091">
      <w:pPr>
        <w:pBdr>
          <w:top w:val="nil"/>
          <w:left w:val="nil"/>
          <w:bottom w:val="nil"/>
          <w:right w:val="nil"/>
          <w:between w:val="nil"/>
        </w:pBdr>
        <w:spacing w:before="120"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Tín dụng chính sách tại các huyện nghèo và vùng khó khăn chiếm tỷ trọng đáng kể trong tổng dư nợ của NHCSXH khoảng 36% - 37%, điều này phản ánh mức độ bao phủ rộng của tín dụng chính sách đối với nhóm đối tượng dễ bị tổn thương và thể hiện qua số liệu số h</w:t>
      </w:r>
      <w:r>
        <w:rPr>
          <w:rFonts w:ascii="Times New Roman" w:eastAsia="Times New Roman" w:hAnsi="Times New Roman" w:cs="Times New Roman"/>
          <w:color w:val="000000"/>
          <w:sz w:val="28"/>
          <w:szCs w:val="28"/>
        </w:rPr>
        <w:t xml:space="preserve">ộ vay vốn ở các huyện nghèo và vùng khó khăn duy trì ở mức cao khoảng 2.300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2.500 nghìn hộ. Xu hướng này phù hợp với mục tiêu giảm nghèo bền vững.</w:t>
      </w:r>
    </w:p>
    <w:p w14:paraId="5F59DB4A" w14:textId="476F0E81" w:rsidR="000808CB" w:rsidRPr="00856F01" w:rsidRDefault="00494002" w:rsidP="00494002">
      <w:pPr>
        <w:pBdr>
          <w:top w:val="nil"/>
          <w:left w:val="nil"/>
          <w:bottom w:val="nil"/>
          <w:right w:val="nil"/>
          <w:between w:val="nil"/>
        </w:pBdr>
        <w:spacing w:before="120" w:after="0" w:line="240" w:lineRule="auto"/>
        <w:ind w:left="360"/>
        <w:jc w:val="both"/>
        <w:rPr>
          <w:rFonts w:ascii="Times New Roman" w:eastAsia="Times New Roman" w:hAnsi="Times New Roman" w:cs="Times New Roman"/>
          <w:b/>
          <w:bCs/>
          <w:i/>
          <w:iCs/>
          <w:color w:val="000000"/>
          <w:sz w:val="28"/>
          <w:szCs w:val="28"/>
        </w:rPr>
      </w:pPr>
      <w:r w:rsidRPr="00856F01">
        <w:rPr>
          <w:rFonts w:ascii="Times New Roman" w:eastAsia="Times New Roman" w:hAnsi="Times New Roman" w:cs="Times New Roman"/>
          <w:b/>
          <w:bCs/>
          <w:i/>
          <w:iCs/>
          <w:color w:val="000000"/>
          <w:sz w:val="28"/>
          <w:szCs w:val="28"/>
        </w:rPr>
        <w:t>3.5. Hiệu quả sử dụng vốn tín dụng chính sách (Bảng 5)</w:t>
      </w:r>
    </w:p>
    <w:p w14:paraId="254ED453" w14:textId="77777777" w:rsidR="00494002" w:rsidRDefault="00494002" w:rsidP="00494002">
      <w:pPr>
        <w:pBdr>
          <w:top w:val="nil"/>
          <w:left w:val="nil"/>
          <w:bottom w:val="nil"/>
          <w:right w:val="nil"/>
          <w:between w:val="nil"/>
        </w:pBdr>
        <w:spacing w:before="120"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Bảng 5. Hiệu quả tín dụng chính sách giai đoạn 2023 - 2025</w:t>
      </w:r>
    </w:p>
    <w:p w14:paraId="12BC5374" w14:textId="77777777" w:rsidR="00494002" w:rsidRPr="00856F01" w:rsidRDefault="00494002" w:rsidP="00856F01">
      <w:pPr>
        <w:pBdr>
          <w:top w:val="nil"/>
          <w:left w:val="nil"/>
          <w:bottom w:val="nil"/>
          <w:right w:val="nil"/>
          <w:between w:val="nil"/>
        </w:pBdr>
        <w:spacing w:before="120" w:after="0" w:line="240" w:lineRule="auto"/>
        <w:ind w:left="360"/>
        <w:jc w:val="both"/>
        <w:rPr>
          <w:rFonts w:ascii="Times New Roman" w:eastAsia="Times New Roman" w:hAnsi="Times New Roman" w:cs="Times New Roman"/>
          <w:b/>
          <w:bCs/>
          <w:i/>
          <w:iCs/>
          <w:color w:val="000000"/>
          <w:sz w:val="28"/>
          <w:szCs w:val="28"/>
        </w:rPr>
      </w:pPr>
    </w:p>
    <w:tbl>
      <w:tblPr>
        <w:tblStyle w:val="a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0"/>
        <w:gridCol w:w="1664"/>
        <w:gridCol w:w="1664"/>
        <w:gridCol w:w="1668"/>
      </w:tblGrid>
      <w:tr w:rsidR="000808CB" w14:paraId="72289BC4" w14:textId="77777777">
        <w:tc>
          <w:tcPr>
            <w:tcW w:w="4580" w:type="dxa"/>
          </w:tcPr>
          <w:p w14:paraId="153EA005"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Chỉ tiêu</w:t>
            </w:r>
          </w:p>
        </w:tc>
        <w:tc>
          <w:tcPr>
            <w:tcW w:w="1664" w:type="dxa"/>
          </w:tcPr>
          <w:p w14:paraId="1E8D9624"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2023</w:t>
            </w:r>
          </w:p>
        </w:tc>
        <w:tc>
          <w:tcPr>
            <w:tcW w:w="1664" w:type="dxa"/>
          </w:tcPr>
          <w:p w14:paraId="38C5B101"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2024</w:t>
            </w:r>
          </w:p>
        </w:tc>
        <w:tc>
          <w:tcPr>
            <w:tcW w:w="1668" w:type="dxa"/>
          </w:tcPr>
          <w:p w14:paraId="1324499C"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2025</w:t>
            </w:r>
          </w:p>
        </w:tc>
      </w:tr>
      <w:tr w:rsidR="000808CB" w14:paraId="04851B1E" w14:textId="77777777">
        <w:tc>
          <w:tcPr>
            <w:tcW w:w="4580" w:type="dxa"/>
          </w:tcPr>
          <w:p w14:paraId="1AECB3F4"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Tốc độ tăng trưởng dư nợ (%)</w:t>
            </w:r>
          </w:p>
        </w:tc>
        <w:tc>
          <w:tcPr>
            <w:tcW w:w="1664" w:type="dxa"/>
          </w:tcPr>
          <w:p w14:paraId="05C053F6"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10%</w:t>
            </w:r>
          </w:p>
        </w:tc>
        <w:tc>
          <w:tcPr>
            <w:tcW w:w="1664" w:type="dxa"/>
          </w:tcPr>
          <w:p w14:paraId="3E61C04F"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10,8%</w:t>
            </w:r>
          </w:p>
        </w:tc>
        <w:tc>
          <w:tcPr>
            <w:tcW w:w="1668" w:type="dxa"/>
          </w:tcPr>
          <w:p w14:paraId="471B7C87"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12,6%</w:t>
            </w:r>
          </w:p>
        </w:tc>
      </w:tr>
      <w:tr w:rsidR="000808CB" w14:paraId="4758CA64" w14:textId="77777777">
        <w:tc>
          <w:tcPr>
            <w:tcW w:w="4580" w:type="dxa"/>
          </w:tcPr>
          <w:p w14:paraId="016DF9BC"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Tỷ lệ nợ quá hạn (%)</w:t>
            </w:r>
          </w:p>
        </w:tc>
        <w:tc>
          <w:tcPr>
            <w:tcW w:w="1664" w:type="dxa"/>
          </w:tcPr>
          <w:p w14:paraId="73125EBC"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0,8%</w:t>
            </w:r>
          </w:p>
        </w:tc>
        <w:tc>
          <w:tcPr>
            <w:tcW w:w="1664" w:type="dxa"/>
          </w:tcPr>
          <w:p w14:paraId="22C95068"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0,7%</w:t>
            </w:r>
          </w:p>
        </w:tc>
        <w:tc>
          <w:tcPr>
            <w:tcW w:w="1668" w:type="dxa"/>
          </w:tcPr>
          <w:p w14:paraId="201E5969"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0,54%</w:t>
            </w:r>
          </w:p>
        </w:tc>
      </w:tr>
      <w:tr w:rsidR="000808CB" w14:paraId="64C2DFFF" w14:textId="77777777">
        <w:tc>
          <w:tcPr>
            <w:tcW w:w="4580" w:type="dxa"/>
          </w:tcPr>
          <w:p w14:paraId="34592F7A"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Dư nợ bình quân/hộ (triệu đồng)</w:t>
            </w:r>
          </w:p>
        </w:tc>
        <w:tc>
          <w:tcPr>
            <w:tcW w:w="1664" w:type="dxa"/>
          </w:tcPr>
          <w:p w14:paraId="5C7F2A4B"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50,3</w:t>
            </w:r>
          </w:p>
        </w:tc>
        <w:tc>
          <w:tcPr>
            <w:tcW w:w="1664" w:type="dxa"/>
          </w:tcPr>
          <w:p w14:paraId="15866A52"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53,3</w:t>
            </w:r>
          </w:p>
        </w:tc>
        <w:tc>
          <w:tcPr>
            <w:tcW w:w="1668" w:type="dxa"/>
          </w:tcPr>
          <w:p w14:paraId="60A994EB"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61,7</w:t>
            </w:r>
          </w:p>
        </w:tc>
      </w:tr>
      <w:tr w:rsidR="000808CB" w14:paraId="1488A287" w14:textId="77777777">
        <w:tc>
          <w:tcPr>
            <w:tcW w:w="4580" w:type="dxa"/>
          </w:tcPr>
          <w:p w14:paraId="231837AB"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hộ vay (triệu hộ)</w:t>
            </w:r>
          </w:p>
        </w:tc>
        <w:tc>
          <w:tcPr>
            <w:tcW w:w="1664" w:type="dxa"/>
          </w:tcPr>
          <w:p w14:paraId="731C6286"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6,8</w:t>
            </w:r>
          </w:p>
        </w:tc>
        <w:tc>
          <w:tcPr>
            <w:tcW w:w="1664" w:type="dxa"/>
          </w:tcPr>
          <w:p w14:paraId="22FCB2DB"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6,9</w:t>
            </w:r>
          </w:p>
        </w:tc>
        <w:tc>
          <w:tcPr>
            <w:tcW w:w="1668" w:type="dxa"/>
          </w:tcPr>
          <w:p w14:paraId="53663EEB"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6,7</w:t>
            </w:r>
          </w:p>
        </w:tc>
      </w:tr>
    </w:tbl>
    <w:p w14:paraId="58CFD0C2" w14:textId="77777777" w:rsidR="000808CB" w:rsidRDefault="00856F01" w:rsidP="00842091">
      <w:pPr>
        <w:pBdr>
          <w:top w:val="nil"/>
          <w:left w:val="nil"/>
          <w:bottom w:val="nil"/>
          <w:right w:val="nil"/>
          <w:between w:val="nil"/>
        </w:pBdr>
        <w:spacing w:before="120" w:after="0" w:line="240" w:lineRule="auto"/>
        <w:jc w:val="right"/>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 xml:space="preserve">Nguồn: tác giả tổng hợp số liệu dựa trên báo </w:t>
      </w:r>
      <w:r>
        <w:rPr>
          <w:rFonts w:ascii="Times New Roman" w:eastAsia="Times New Roman" w:hAnsi="Times New Roman" w:cs="Times New Roman"/>
          <w:i/>
          <w:iCs/>
          <w:color w:val="000000"/>
          <w:sz w:val="28"/>
          <w:szCs w:val="28"/>
        </w:rPr>
        <w:t>cáo của NHCSXH công bố</w:t>
      </w:r>
    </w:p>
    <w:p w14:paraId="0E7FAE47" w14:textId="08A896A3" w:rsidR="000808CB" w:rsidRDefault="00856F01" w:rsidP="00842091">
      <w:pPr>
        <w:pBdr>
          <w:top w:val="nil"/>
          <w:left w:val="nil"/>
          <w:bottom w:val="nil"/>
          <w:right w:val="nil"/>
          <w:between w:val="nil"/>
        </w:pBdr>
        <w:spacing w:before="120"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Giai đoạn 2023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2025 tốc độ tăng trưởng dư nợ tín dụng ổn định với mức 9,4% đến 12,6% phản ánh việc mở rộng tín dụng có kiểm soát của NHCSXH, tỷ lệ nợ quá hạn giảm từ 0,8% xuống 0,54% cho thấy chất lượng tín dụng an toàn, khả năng quản lý và kiểm soát rủi ro rất tốt. Số </w:t>
      </w:r>
      <w:r>
        <w:rPr>
          <w:rFonts w:ascii="Times New Roman" w:eastAsia="Times New Roman" w:hAnsi="Times New Roman" w:cs="Times New Roman"/>
          <w:color w:val="000000"/>
          <w:sz w:val="28"/>
          <w:szCs w:val="28"/>
        </w:rPr>
        <w:t>liệu cũng cho thấy</w:t>
      </w:r>
      <w:r w:rsidR="00494002" w:rsidRPr="00856F0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hiệu quả của chương trình tín dụng chính sách sử dụng đúng mục tiêu giảm nghèo, giúp đảm bảo nguồn vốn Nhà nước, đảm bảo mức độ quay vòng vốn tốt để tiếp tục hỗ trợ cho các đối tượng chính sách theo chương trình.</w:t>
      </w:r>
    </w:p>
    <w:p w14:paraId="534D8480" w14:textId="086FE962" w:rsidR="000808CB" w:rsidRPr="00856F01" w:rsidRDefault="00494002" w:rsidP="00494002">
      <w:pPr>
        <w:pBdr>
          <w:top w:val="nil"/>
          <w:left w:val="nil"/>
          <w:bottom w:val="nil"/>
          <w:right w:val="nil"/>
          <w:between w:val="nil"/>
        </w:pBdr>
        <w:spacing w:before="120" w:after="0" w:line="240" w:lineRule="auto"/>
        <w:ind w:left="360"/>
        <w:jc w:val="both"/>
        <w:rPr>
          <w:rFonts w:ascii="Times New Roman" w:eastAsia="Times New Roman" w:hAnsi="Times New Roman" w:cs="Times New Roman"/>
          <w:b/>
          <w:bCs/>
          <w:i/>
          <w:iCs/>
          <w:color w:val="000000"/>
          <w:sz w:val="28"/>
          <w:szCs w:val="28"/>
        </w:rPr>
      </w:pPr>
      <w:r w:rsidRPr="00856F01">
        <w:rPr>
          <w:rFonts w:ascii="Times New Roman" w:eastAsia="Times New Roman" w:hAnsi="Times New Roman" w:cs="Times New Roman"/>
          <w:b/>
          <w:bCs/>
          <w:i/>
          <w:iCs/>
          <w:color w:val="000000"/>
          <w:sz w:val="28"/>
          <w:szCs w:val="28"/>
        </w:rPr>
        <w:t>3.6. Hiệu quả xã hội (Bảng 6)</w:t>
      </w:r>
    </w:p>
    <w:p w14:paraId="372BEB2D" w14:textId="3270091A" w:rsidR="00494002" w:rsidRPr="00F459E3" w:rsidRDefault="00494002" w:rsidP="00856F01">
      <w:pPr>
        <w:pBdr>
          <w:top w:val="nil"/>
          <w:left w:val="nil"/>
          <w:bottom w:val="nil"/>
          <w:right w:val="nil"/>
          <w:between w:val="nil"/>
        </w:pBdr>
        <w:spacing w:before="120" w:after="0" w:line="240" w:lineRule="auto"/>
        <w:ind w:left="36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Bảng 6. Hiệu quả xã hội tín dụng chính sách giai đoạn 2023 - 2025</w:t>
      </w:r>
    </w:p>
    <w:tbl>
      <w:tblPr>
        <w:tblStyle w:val="a4"/>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0"/>
        <w:gridCol w:w="1664"/>
        <w:gridCol w:w="1664"/>
        <w:gridCol w:w="1668"/>
      </w:tblGrid>
      <w:tr w:rsidR="000808CB" w14:paraId="630FD5D4" w14:textId="77777777">
        <w:tc>
          <w:tcPr>
            <w:tcW w:w="4580" w:type="dxa"/>
          </w:tcPr>
          <w:p w14:paraId="5FE110DE"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Chỉ tiêu</w:t>
            </w:r>
          </w:p>
        </w:tc>
        <w:tc>
          <w:tcPr>
            <w:tcW w:w="1664" w:type="dxa"/>
          </w:tcPr>
          <w:p w14:paraId="585103D7"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2023</w:t>
            </w:r>
          </w:p>
        </w:tc>
        <w:tc>
          <w:tcPr>
            <w:tcW w:w="1664" w:type="dxa"/>
          </w:tcPr>
          <w:p w14:paraId="370D3E3A"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2024</w:t>
            </w:r>
          </w:p>
        </w:tc>
        <w:tc>
          <w:tcPr>
            <w:tcW w:w="1668" w:type="dxa"/>
          </w:tcPr>
          <w:p w14:paraId="1218F8DC"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2025</w:t>
            </w:r>
          </w:p>
        </w:tc>
      </w:tr>
      <w:tr w:rsidR="000808CB" w14:paraId="5C54572E" w14:textId="77777777">
        <w:tc>
          <w:tcPr>
            <w:tcW w:w="4580" w:type="dxa"/>
          </w:tcPr>
          <w:p w14:paraId="718B11E9"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Số hộ còn dư nợ (triệu hộ)</w:t>
            </w:r>
          </w:p>
        </w:tc>
        <w:tc>
          <w:tcPr>
            <w:tcW w:w="1664" w:type="dxa"/>
          </w:tcPr>
          <w:p w14:paraId="7F3B070F"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6,8</w:t>
            </w:r>
          </w:p>
        </w:tc>
        <w:tc>
          <w:tcPr>
            <w:tcW w:w="1664" w:type="dxa"/>
          </w:tcPr>
          <w:p w14:paraId="168ACE8D"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6,9</w:t>
            </w:r>
          </w:p>
        </w:tc>
        <w:tc>
          <w:tcPr>
            <w:tcW w:w="1668" w:type="dxa"/>
          </w:tcPr>
          <w:p w14:paraId="6622B3B0"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6,7</w:t>
            </w:r>
          </w:p>
        </w:tc>
      </w:tr>
      <w:tr w:rsidR="000808CB" w14:paraId="54A03643" w14:textId="77777777">
        <w:tc>
          <w:tcPr>
            <w:tcW w:w="4580" w:type="dxa"/>
          </w:tcPr>
          <w:p w14:paraId="2AA15D4C"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Hộ thoát nghèo (nghìn hộ/năm)</w:t>
            </w:r>
          </w:p>
        </w:tc>
        <w:tc>
          <w:tcPr>
            <w:tcW w:w="1664" w:type="dxa"/>
          </w:tcPr>
          <w:p w14:paraId="0B85016F"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180</w:t>
            </w:r>
          </w:p>
        </w:tc>
        <w:tc>
          <w:tcPr>
            <w:tcW w:w="1664" w:type="dxa"/>
          </w:tcPr>
          <w:p w14:paraId="0894A41E"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200</w:t>
            </w:r>
          </w:p>
        </w:tc>
        <w:tc>
          <w:tcPr>
            <w:tcW w:w="1668" w:type="dxa"/>
          </w:tcPr>
          <w:p w14:paraId="4968CD7E"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210</w:t>
            </w:r>
          </w:p>
        </w:tc>
      </w:tr>
      <w:tr w:rsidR="000808CB" w14:paraId="34CFB64C" w14:textId="77777777">
        <w:tc>
          <w:tcPr>
            <w:tcW w:w="4580" w:type="dxa"/>
          </w:tcPr>
          <w:p w14:paraId="214E79DD"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Công trình nhà ở xã hội (nghìn công trình</w:t>
            </w:r>
          </w:p>
        </w:tc>
        <w:tc>
          <w:tcPr>
            <w:tcW w:w="1664" w:type="dxa"/>
          </w:tcPr>
          <w:p w14:paraId="5AA5DEBD" w14:textId="77777777" w:rsidR="000808CB" w:rsidRDefault="00856F01" w:rsidP="00842091">
            <w:pPr>
              <w:pBdr>
                <w:top w:val="nil"/>
                <w:left w:val="nil"/>
                <w:bottom w:val="nil"/>
                <w:right w:val="nil"/>
                <w:between w:val="nil"/>
              </w:pBdr>
              <w:spacing w:before="120"/>
              <w:jc w:val="center"/>
              <w:rPr>
                <w:rFonts w:ascii="Cambria Math" w:eastAsia="Cambria Math" w:hAnsi="Cambria Math" w:cs="Cambria Math"/>
                <w:color w:val="000000"/>
                <w:sz w:val="28"/>
                <w:szCs w:val="28"/>
              </w:rPr>
            </w:pPr>
            <w:r>
              <w:rPr>
                <w:rFonts w:ascii="Cambria Math" w:eastAsia="Cambria Math" w:hAnsi="Cambria Math" w:cs="Cambria Math"/>
                <w:color w:val="000000"/>
                <w:sz w:val="28"/>
                <w:szCs w:val="28"/>
              </w:rPr>
              <w:t>&gt;15</w:t>
            </w:r>
          </w:p>
        </w:tc>
        <w:tc>
          <w:tcPr>
            <w:tcW w:w="1664" w:type="dxa"/>
          </w:tcPr>
          <w:p w14:paraId="285ECF21" w14:textId="77777777" w:rsidR="000808CB" w:rsidRDefault="00856F01" w:rsidP="00842091">
            <w:pPr>
              <w:pBdr>
                <w:top w:val="nil"/>
                <w:left w:val="nil"/>
                <w:bottom w:val="nil"/>
                <w:right w:val="nil"/>
                <w:between w:val="nil"/>
              </w:pBdr>
              <w:spacing w:before="120"/>
              <w:jc w:val="center"/>
              <w:rPr>
                <w:rFonts w:ascii="Cambria Math" w:eastAsia="Cambria Math" w:hAnsi="Cambria Math" w:cs="Cambria Math"/>
                <w:color w:val="000000"/>
                <w:sz w:val="28"/>
                <w:szCs w:val="28"/>
              </w:rPr>
            </w:pPr>
            <w:r>
              <w:rPr>
                <w:rFonts w:ascii="Cambria Math" w:eastAsia="Cambria Math" w:hAnsi="Cambria Math" w:cs="Cambria Math"/>
                <w:color w:val="000000"/>
                <w:sz w:val="28"/>
                <w:szCs w:val="28"/>
              </w:rPr>
              <w:t>&gt;6,2</w:t>
            </w:r>
          </w:p>
        </w:tc>
        <w:tc>
          <w:tcPr>
            <w:tcW w:w="1668" w:type="dxa"/>
          </w:tcPr>
          <w:p w14:paraId="583CEFFE" w14:textId="77777777" w:rsidR="000808CB" w:rsidRDefault="00856F01" w:rsidP="00842091">
            <w:pPr>
              <w:pBdr>
                <w:top w:val="nil"/>
                <w:left w:val="nil"/>
                <w:bottom w:val="nil"/>
                <w:right w:val="nil"/>
                <w:between w:val="nil"/>
              </w:pBdr>
              <w:spacing w:before="120"/>
              <w:jc w:val="center"/>
              <w:rPr>
                <w:rFonts w:ascii="Cambria Math" w:eastAsia="Cambria Math" w:hAnsi="Cambria Math" w:cs="Cambria Math"/>
                <w:color w:val="000000"/>
                <w:sz w:val="28"/>
                <w:szCs w:val="28"/>
              </w:rPr>
            </w:pPr>
            <w:r>
              <w:rPr>
                <w:rFonts w:ascii="Cambria Math" w:eastAsia="Cambria Math" w:hAnsi="Cambria Math" w:cs="Cambria Math"/>
                <w:color w:val="000000"/>
                <w:sz w:val="28"/>
                <w:szCs w:val="28"/>
              </w:rPr>
              <w:t>&gt;10,4</w:t>
            </w:r>
          </w:p>
        </w:tc>
      </w:tr>
      <w:tr w:rsidR="000808CB" w14:paraId="7AEB8C5D" w14:textId="77777777">
        <w:tc>
          <w:tcPr>
            <w:tcW w:w="4580" w:type="dxa"/>
          </w:tcPr>
          <w:p w14:paraId="1F913EFA"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Lao </w:t>
            </w:r>
            <w:r>
              <w:rPr>
                <w:rFonts w:ascii="Times New Roman" w:eastAsia="Times New Roman" w:hAnsi="Times New Roman" w:cs="Times New Roman"/>
                <w:color w:val="000000"/>
                <w:sz w:val="28"/>
                <w:szCs w:val="28"/>
              </w:rPr>
              <w:t>động được tạo việc làm (nghìn người)</w:t>
            </w:r>
          </w:p>
        </w:tc>
        <w:tc>
          <w:tcPr>
            <w:tcW w:w="1664" w:type="dxa"/>
          </w:tcPr>
          <w:p w14:paraId="2229CD98"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900</w:t>
            </w:r>
          </w:p>
        </w:tc>
        <w:tc>
          <w:tcPr>
            <w:tcW w:w="1664" w:type="dxa"/>
          </w:tcPr>
          <w:p w14:paraId="38C112B7"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800</w:t>
            </w:r>
          </w:p>
        </w:tc>
        <w:tc>
          <w:tcPr>
            <w:tcW w:w="1668" w:type="dxa"/>
          </w:tcPr>
          <w:p w14:paraId="61F7CFCB"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w:t>
            </w:r>
            <w:r>
              <w:rPr>
                <w:rFonts w:ascii="Times New Roman" w:eastAsia="Times New Roman" w:hAnsi="Times New Roman" w:cs="Times New Roman"/>
                <w:color w:val="000000"/>
                <w:sz w:val="28"/>
                <w:szCs w:val="28"/>
              </w:rPr>
              <w:t>817</w:t>
            </w:r>
          </w:p>
        </w:tc>
      </w:tr>
      <w:tr w:rsidR="000808CB" w14:paraId="51EA5F94" w14:textId="77777777">
        <w:tc>
          <w:tcPr>
            <w:tcW w:w="4580" w:type="dxa"/>
          </w:tcPr>
          <w:p w14:paraId="3974C206"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HSSV được vay vốn (nghìn người)</w:t>
            </w:r>
          </w:p>
        </w:tc>
        <w:tc>
          <w:tcPr>
            <w:tcW w:w="1664" w:type="dxa"/>
          </w:tcPr>
          <w:p w14:paraId="4F442BEE" w14:textId="77777777" w:rsidR="000808CB" w:rsidRDefault="00856F01" w:rsidP="00842091">
            <w:pPr>
              <w:pBdr>
                <w:top w:val="nil"/>
                <w:left w:val="nil"/>
                <w:bottom w:val="nil"/>
                <w:right w:val="nil"/>
                <w:between w:val="nil"/>
              </w:pBdr>
              <w:spacing w:before="120"/>
              <w:jc w:val="center"/>
              <w:rPr>
                <w:rFonts w:ascii="Cambria Math" w:eastAsia="Cambria Math" w:hAnsi="Cambria Math" w:cs="Cambria Math"/>
                <w:color w:val="000000"/>
                <w:sz w:val="28"/>
                <w:szCs w:val="28"/>
              </w:rPr>
            </w:pPr>
            <w:r>
              <w:rPr>
                <w:rFonts w:ascii="Cambria Math" w:eastAsia="Cambria Math" w:hAnsi="Cambria Math" w:cs="Cambria Math"/>
                <w:color w:val="000000"/>
                <w:sz w:val="28"/>
                <w:szCs w:val="28"/>
              </w:rPr>
              <w:t>&gt;120</w:t>
            </w:r>
          </w:p>
        </w:tc>
        <w:tc>
          <w:tcPr>
            <w:tcW w:w="1664" w:type="dxa"/>
          </w:tcPr>
          <w:p w14:paraId="05563BCE" w14:textId="77777777" w:rsidR="000808CB" w:rsidRDefault="00856F01" w:rsidP="00842091">
            <w:pPr>
              <w:pBdr>
                <w:top w:val="nil"/>
                <w:left w:val="nil"/>
                <w:bottom w:val="nil"/>
                <w:right w:val="nil"/>
                <w:between w:val="nil"/>
              </w:pBdr>
              <w:spacing w:before="120"/>
              <w:jc w:val="center"/>
              <w:rPr>
                <w:rFonts w:ascii="Cambria Math" w:eastAsia="Cambria Math" w:hAnsi="Cambria Math" w:cs="Cambria Math"/>
                <w:color w:val="000000"/>
                <w:sz w:val="28"/>
                <w:szCs w:val="28"/>
              </w:rPr>
            </w:pPr>
            <w:r>
              <w:rPr>
                <w:rFonts w:ascii="Cambria Math" w:eastAsia="Cambria Math" w:hAnsi="Cambria Math" w:cs="Cambria Math"/>
                <w:color w:val="000000"/>
                <w:sz w:val="28"/>
                <w:szCs w:val="28"/>
              </w:rPr>
              <w:t>&gt;90</w:t>
            </w:r>
          </w:p>
        </w:tc>
        <w:tc>
          <w:tcPr>
            <w:tcW w:w="1668" w:type="dxa"/>
          </w:tcPr>
          <w:p w14:paraId="5841085B"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&gt;68</w:t>
            </w:r>
          </w:p>
        </w:tc>
      </w:tr>
      <w:tr w:rsidR="000808CB" w14:paraId="3B6BB794" w14:textId="77777777">
        <w:tc>
          <w:tcPr>
            <w:tcW w:w="4580" w:type="dxa"/>
          </w:tcPr>
          <w:p w14:paraId="27618669" w14:textId="77777777" w:rsidR="000808CB" w:rsidRDefault="00856F01" w:rsidP="00842091">
            <w:pPr>
              <w:pBdr>
                <w:top w:val="nil"/>
                <w:left w:val="nil"/>
                <w:bottom w:val="nil"/>
                <w:right w:val="nil"/>
                <w:between w:val="nil"/>
              </w:pBdr>
              <w:spacing w:before="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Công trình nước sạch, vệ sinh môi trường (nghìn công trình)</w:t>
            </w:r>
          </w:p>
        </w:tc>
        <w:tc>
          <w:tcPr>
            <w:tcW w:w="1664" w:type="dxa"/>
          </w:tcPr>
          <w:p w14:paraId="636E3539"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&gt;1.435</w:t>
            </w:r>
          </w:p>
        </w:tc>
        <w:tc>
          <w:tcPr>
            <w:tcW w:w="1664" w:type="dxa"/>
          </w:tcPr>
          <w:p w14:paraId="15FCA5B3"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&gt; 1.760</w:t>
            </w:r>
          </w:p>
        </w:tc>
        <w:tc>
          <w:tcPr>
            <w:tcW w:w="1668" w:type="dxa"/>
          </w:tcPr>
          <w:p w14:paraId="186D7D46" w14:textId="77777777" w:rsidR="000808CB" w:rsidRDefault="00856F01" w:rsidP="00842091">
            <w:pPr>
              <w:pBdr>
                <w:top w:val="nil"/>
                <w:left w:val="nil"/>
                <w:bottom w:val="nil"/>
                <w:right w:val="nil"/>
                <w:between w:val="nil"/>
              </w:pBdr>
              <w:spacing w:before="120"/>
              <w:jc w:val="center"/>
              <w:rPr>
                <w:rFonts w:ascii="Times New Roman" w:eastAsia="Times New Roman" w:hAnsi="Times New Roman" w:cs="Times New Roman"/>
                <w:color w:val="000000"/>
                <w:sz w:val="28"/>
                <w:szCs w:val="28"/>
              </w:rPr>
            </w:pPr>
            <w:r>
              <w:rPr>
                <w:rFonts w:ascii="Cambria Math" w:eastAsia="Cambria Math" w:hAnsi="Cambria Math" w:cs="Cambria Math"/>
                <w:color w:val="000000"/>
                <w:sz w:val="28"/>
                <w:szCs w:val="28"/>
              </w:rPr>
              <w:t>&gt;1.958</w:t>
            </w:r>
          </w:p>
        </w:tc>
      </w:tr>
    </w:tbl>
    <w:p w14:paraId="2E6E77BE" w14:textId="77777777" w:rsidR="000808CB" w:rsidRDefault="00856F01" w:rsidP="00842091">
      <w:pPr>
        <w:pBdr>
          <w:top w:val="nil"/>
          <w:left w:val="nil"/>
          <w:bottom w:val="nil"/>
          <w:right w:val="nil"/>
          <w:between w:val="nil"/>
        </w:pBdr>
        <w:spacing w:before="120" w:after="0" w:line="240" w:lineRule="auto"/>
        <w:jc w:val="right"/>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Nguồn: tác giả tổng hợp số liệu dựa trên báo cáo của NHCSXH</w:t>
      </w:r>
    </w:p>
    <w:p w14:paraId="63C88D6D" w14:textId="0E418547" w:rsidR="000808CB" w:rsidRDefault="00856F01" w:rsidP="00842091">
      <w:pPr>
        <w:pBdr>
          <w:top w:val="nil"/>
          <w:left w:val="nil"/>
          <w:bottom w:val="nil"/>
          <w:right w:val="nil"/>
          <w:between w:val="nil"/>
        </w:pBdr>
        <w:spacing w:before="120"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Nhìn vào số liệu cho thấy</w:t>
      </w:r>
      <w:r w:rsidR="00494002" w:rsidRPr="00856F0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mức độ bao phủ rộng của chương trình tín dụng chính sách, tác động trực tiếp trong việc cải thiện đời sống của người dân. Chương trình cũng đã giải quyết và hỗ trợ gần 1 triệu người có việc làm mỗi năm, góp phần vào mục tiêu ổn định thị trường lao động ch</w:t>
      </w:r>
      <w:r>
        <w:rPr>
          <w:rFonts w:ascii="Times New Roman" w:eastAsia="Times New Roman" w:hAnsi="Times New Roman" w:cs="Times New Roman"/>
          <w:color w:val="000000"/>
          <w:sz w:val="28"/>
          <w:szCs w:val="28"/>
        </w:rPr>
        <w:t xml:space="preserve">o khu vực nông thôn và những vùng khó khăn. Bên cạnh đó, nguồn vốn tín dụng mỗi năm hỗ trợ trên 180 nghìn hộ dân thoát nghèo, xây dựng hơn 15 nghìn nhà ở xã hội cho thấy được vai trò quan trọng của chương trình tín dụng chính sách hướng đến việc cải thiện </w:t>
      </w:r>
      <w:r>
        <w:rPr>
          <w:rFonts w:ascii="Times New Roman" w:eastAsia="Times New Roman" w:hAnsi="Times New Roman" w:cs="Times New Roman"/>
          <w:color w:val="000000"/>
          <w:sz w:val="28"/>
          <w:szCs w:val="28"/>
        </w:rPr>
        <w:t>chất lượng cuộc sống của người dân ở những vùng khó khăn. Ngoài ra</w:t>
      </w:r>
      <w:r w:rsidR="00760817" w:rsidRPr="00856F0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chương trình phục vụ nâng cao đời sống của người dân khu vực nông thôn thông qua các chương trình hỗ trợ các công trình nước sạch, vệ sinh môi trường nông thôn với gần 2.000 nghìn công trì</w:t>
      </w:r>
      <w:r>
        <w:rPr>
          <w:rFonts w:ascii="Times New Roman" w:eastAsia="Times New Roman" w:hAnsi="Times New Roman" w:cs="Times New Roman"/>
          <w:color w:val="000000"/>
          <w:sz w:val="28"/>
          <w:szCs w:val="28"/>
        </w:rPr>
        <w:t>nh. Hiệu quả xã hội đã cho thấy vai trò trực tiếp của tín dụng chính sách trong việc nâng cao chất lượng cuộc sống của người dân và phát triển bền vững.</w:t>
      </w:r>
    </w:p>
    <w:p w14:paraId="1FE6733B" w14:textId="77777777" w:rsidR="000808CB" w:rsidRDefault="00856F01" w:rsidP="00842091">
      <w:pPr>
        <w:pBdr>
          <w:top w:val="nil"/>
          <w:left w:val="nil"/>
          <w:bottom w:val="nil"/>
          <w:right w:val="nil"/>
          <w:between w:val="nil"/>
        </w:pBdr>
        <w:spacing w:before="120"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Nhìn chung, giai đoạn 2023 - 2025 hoạt động tín dụng chính sách của NHCSXH mang lại hiệu quả cả về quy </w:t>
      </w:r>
      <w:r>
        <w:rPr>
          <w:rFonts w:ascii="Times New Roman" w:eastAsia="Times New Roman" w:hAnsi="Times New Roman" w:cs="Times New Roman"/>
          <w:color w:val="000000"/>
          <w:sz w:val="28"/>
          <w:szCs w:val="28"/>
        </w:rPr>
        <w:t xml:space="preserve">mô, chất lượng tín dụng và hiệu quả xã hội. Điều này khẳng định vai trò của tín dụng chính sách là một công cụ quan trọng trong việc nâng cao an sinh xã hội, phát triển bền vững.  </w:t>
      </w:r>
    </w:p>
    <w:p w14:paraId="66DF4FBC" w14:textId="77777777" w:rsidR="000808CB" w:rsidRDefault="00856F01" w:rsidP="00842091">
      <w:pPr>
        <w:numPr>
          <w:ilvl w:val="0"/>
          <w:numId w:val="1"/>
        </w:numPr>
        <w:pBdr>
          <w:top w:val="nil"/>
          <w:left w:val="nil"/>
          <w:bottom w:val="nil"/>
          <w:right w:val="nil"/>
          <w:between w:val="nil"/>
        </w:pBdr>
        <w:tabs>
          <w:tab w:val="left" w:pos="426"/>
        </w:tabs>
        <w:spacing w:before="120" w:after="0" w:line="240" w:lineRule="auto"/>
        <w:ind w:hanging="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Hàm ý chính sách nhằm nâng cao hiệu quả hoạt động</w:t>
      </w:r>
    </w:p>
    <w:p w14:paraId="2002CD12" w14:textId="77777777" w:rsidR="000808CB" w:rsidRDefault="00856F01" w:rsidP="00842091">
      <w:pPr>
        <w:pBdr>
          <w:top w:val="nil"/>
          <w:left w:val="nil"/>
          <w:bottom w:val="nil"/>
          <w:right w:val="nil"/>
          <w:between w:val="nil"/>
        </w:pBdr>
        <w:spacing w:before="120"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Dựa trên kết quả phân tích, </w:t>
      </w:r>
      <w:r>
        <w:rPr>
          <w:rFonts w:ascii="Times New Roman" w:eastAsia="Times New Roman" w:hAnsi="Times New Roman" w:cs="Times New Roman"/>
          <w:sz w:val="28"/>
          <w:szCs w:val="28"/>
        </w:rPr>
        <w:t>NHCSXH</w:t>
      </w:r>
      <w:r>
        <w:rPr>
          <w:rFonts w:ascii="Times New Roman" w:eastAsia="Times New Roman" w:hAnsi="Times New Roman" w:cs="Times New Roman"/>
          <w:color w:val="000000"/>
          <w:sz w:val="28"/>
          <w:szCs w:val="28"/>
        </w:rPr>
        <w:t xml:space="preserve"> cần tiếp tục hoàn thiện hoạt động tín dụng chính sách theo hướng nâng cao hiệu quả và đảm bảo tính bền vững, tăng cường và đa dạng </w:t>
      </w:r>
      <w:r>
        <w:rPr>
          <w:rFonts w:ascii="Times New Roman" w:eastAsia="Times New Roman" w:hAnsi="Times New Roman" w:cs="Times New Roman"/>
          <w:sz w:val="28"/>
          <w:szCs w:val="28"/>
        </w:rPr>
        <w:t>hóa</w:t>
      </w:r>
      <w:r>
        <w:rPr>
          <w:rFonts w:ascii="Times New Roman" w:eastAsia="Times New Roman" w:hAnsi="Times New Roman" w:cs="Times New Roman"/>
          <w:color w:val="000000"/>
          <w:sz w:val="28"/>
          <w:szCs w:val="28"/>
        </w:rPr>
        <w:t xml:space="preserve"> nguồn vốn, đặc biệt là từ nguồn ngân sách địa phương nhằm giảm phụ thuộc vào nguồn vốn</w:t>
      </w:r>
      <w:r>
        <w:rPr>
          <w:rFonts w:ascii="Times New Roman" w:eastAsia="Times New Roman" w:hAnsi="Times New Roman" w:cs="Times New Roman"/>
          <w:color w:val="000000"/>
          <w:sz w:val="28"/>
          <w:szCs w:val="28"/>
        </w:rPr>
        <w:t xml:space="preserve"> từ ngân sách trung ương. Đồng thời, việc nâng cao chất lượng tín dụng bằng các biện pháp tăng cường kiểm soát, giám sát và đánh giá hiệu quả sử dụng vốn rất quan trọng và cần thiết. Việc đẩy mạnh ứng dụng công </w:t>
      </w:r>
      <w:r>
        <w:rPr>
          <w:rFonts w:ascii="Times New Roman" w:eastAsia="Times New Roman" w:hAnsi="Times New Roman" w:cs="Times New Roman"/>
          <w:color w:val="000000"/>
          <w:sz w:val="28"/>
          <w:szCs w:val="28"/>
        </w:rPr>
        <w:lastRenderedPageBreak/>
        <w:t>nghệ vào trong quản lý và vận hành của NHCSXH</w:t>
      </w:r>
      <w:r>
        <w:rPr>
          <w:rFonts w:ascii="Times New Roman" w:eastAsia="Times New Roman" w:hAnsi="Times New Roman" w:cs="Times New Roman"/>
          <w:color w:val="000000"/>
          <w:sz w:val="28"/>
          <w:szCs w:val="28"/>
        </w:rPr>
        <w:t xml:space="preserve"> góp phần nâng cao hiệu quả và tính minh bạch trong hoạt động tín dụng chính sách. </w:t>
      </w:r>
    </w:p>
    <w:p w14:paraId="2681E2FD" w14:textId="77777777" w:rsidR="000808CB" w:rsidRDefault="00856F01" w:rsidP="00842091">
      <w:pPr>
        <w:numPr>
          <w:ilvl w:val="0"/>
          <w:numId w:val="1"/>
        </w:numPr>
        <w:pBdr>
          <w:top w:val="nil"/>
          <w:left w:val="nil"/>
          <w:bottom w:val="nil"/>
          <w:right w:val="nil"/>
          <w:between w:val="nil"/>
        </w:pBdr>
        <w:tabs>
          <w:tab w:val="left" w:pos="426"/>
        </w:tabs>
        <w:spacing w:before="120" w:after="0" w:line="240" w:lineRule="auto"/>
        <w:ind w:hanging="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Kết luận</w:t>
      </w:r>
    </w:p>
    <w:p w14:paraId="5FEDC745" w14:textId="30F7A260" w:rsidR="000808CB" w:rsidRDefault="00856F01" w:rsidP="00842091">
      <w:pPr>
        <w:pBdr>
          <w:top w:val="nil"/>
          <w:left w:val="nil"/>
          <w:bottom w:val="nil"/>
          <w:right w:val="nil"/>
          <w:between w:val="nil"/>
        </w:pBdr>
        <w:spacing w:before="120"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Nghiên cứu hệ thống h</w:t>
      </w:r>
      <w:r>
        <w:rPr>
          <w:rFonts w:ascii="Times New Roman" w:eastAsia="Times New Roman" w:hAnsi="Times New Roman" w:cs="Times New Roman"/>
          <w:sz w:val="28"/>
          <w:szCs w:val="28"/>
        </w:rPr>
        <w:t>óa</w:t>
      </w:r>
      <w:r>
        <w:rPr>
          <w:rFonts w:ascii="Times New Roman" w:eastAsia="Times New Roman" w:hAnsi="Times New Roman" w:cs="Times New Roman"/>
          <w:color w:val="000000"/>
          <w:sz w:val="28"/>
          <w:szCs w:val="28"/>
        </w:rPr>
        <w:t xml:space="preserve"> cơ bản hoạt động tín dụng chính sách của NHCSXH giai đoạn 2023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2025. Các chỉ tiêu cho thấy sự liên kết, phát triển ổn định về quy mô, cơ </w:t>
      </w:r>
      <w:r>
        <w:rPr>
          <w:rFonts w:ascii="Times New Roman" w:eastAsia="Times New Roman" w:hAnsi="Times New Roman" w:cs="Times New Roman"/>
          <w:color w:val="000000"/>
          <w:sz w:val="28"/>
          <w:szCs w:val="28"/>
        </w:rPr>
        <w:t>cấu và chất lượng, hiệu quả của tín dụng chính sách, khẳng định vai trò quan trọng của tín dụng chính sách trong hệ thống an sinh xã hội quốc gia. Tuy nhiên, để nâng cao tính bền vững của chính sách</w:t>
      </w:r>
      <w:r w:rsidR="00760817" w:rsidRPr="00856F01">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cần tiếp tục hoàn thiện cơ chế vận hành và nâng cao hiệu</w:t>
      </w:r>
      <w:r>
        <w:rPr>
          <w:rFonts w:ascii="Times New Roman" w:eastAsia="Times New Roman" w:hAnsi="Times New Roman" w:cs="Times New Roman"/>
          <w:color w:val="000000"/>
          <w:sz w:val="28"/>
          <w:szCs w:val="28"/>
        </w:rPr>
        <w:t xml:space="preserve"> quả sử dụng vốn trong thời gian tới.</w:t>
      </w:r>
    </w:p>
    <w:p w14:paraId="40028738" w14:textId="77777777" w:rsidR="000808CB" w:rsidRDefault="000808CB" w:rsidP="00842091">
      <w:pPr>
        <w:pBdr>
          <w:top w:val="nil"/>
          <w:left w:val="nil"/>
          <w:bottom w:val="nil"/>
          <w:right w:val="nil"/>
          <w:between w:val="nil"/>
        </w:pBdr>
        <w:spacing w:before="120" w:after="0" w:line="240" w:lineRule="auto"/>
        <w:ind w:firstLine="426"/>
        <w:jc w:val="both"/>
        <w:rPr>
          <w:rFonts w:ascii="Times New Roman" w:eastAsia="Times New Roman" w:hAnsi="Times New Roman" w:cs="Times New Roman"/>
          <w:color w:val="000000"/>
          <w:sz w:val="28"/>
          <w:szCs w:val="28"/>
        </w:rPr>
      </w:pPr>
    </w:p>
    <w:p w14:paraId="3C0A516D" w14:textId="77777777" w:rsidR="000808CB" w:rsidRDefault="00856F01" w:rsidP="00842091">
      <w:pPr>
        <w:pBdr>
          <w:top w:val="nil"/>
          <w:left w:val="nil"/>
          <w:bottom w:val="nil"/>
          <w:right w:val="nil"/>
          <w:between w:val="nil"/>
        </w:pBdr>
        <w:spacing w:before="120" w:after="0" w:line="240" w:lineRule="auto"/>
        <w:jc w:val="both"/>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Ghi chú: Số liệu được thống kê tổng hợp từ báo cáo thường niên của NHCSXH Việt Nam, một số chỉ tiêu được trình bày dưới dạng xấp xỉ theo công bố của ngân hàng.</w:t>
      </w:r>
    </w:p>
    <w:p w14:paraId="72E29384" w14:textId="77777777" w:rsidR="000808CB" w:rsidRDefault="000808CB" w:rsidP="00842091">
      <w:pPr>
        <w:pBdr>
          <w:top w:val="nil"/>
          <w:left w:val="nil"/>
          <w:bottom w:val="nil"/>
          <w:right w:val="nil"/>
          <w:between w:val="nil"/>
        </w:pBdr>
        <w:spacing w:before="120" w:after="0" w:line="240" w:lineRule="auto"/>
        <w:jc w:val="both"/>
        <w:rPr>
          <w:rFonts w:ascii="Times New Roman" w:eastAsia="Times New Roman" w:hAnsi="Times New Roman" w:cs="Times New Roman"/>
          <w:i/>
          <w:iCs/>
          <w:color w:val="000000"/>
          <w:sz w:val="28"/>
          <w:szCs w:val="28"/>
        </w:rPr>
      </w:pPr>
    </w:p>
    <w:p w14:paraId="794235BF" w14:textId="77777777" w:rsidR="000808CB" w:rsidRDefault="00856F01" w:rsidP="00842091">
      <w:pPr>
        <w:spacing w:before="120"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Tài liệu tham khảo:</w:t>
      </w:r>
    </w:p>
    <w:p w14:paraId="7C14D7E5" w14:textId="77777777" w:rsidR="000808CB" w:rsidRDefault="00856F01" w:rsidP="0084209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Chính phủ Nước Cộng hòa xã hội chủ </w:t>
      </w:r>
      <w:r>
        <w:rPr>
          <w:rFonts w:ascii="Times New Roman" w:eastAsia="Times New Roman" w:hAnsi="Times New Roman" w:cs="Times New Roman"/>
          <w:color w:val="000000"/>
          <w:sz w:val="28"/>
          <w:szCs w:val="28"/>
        </w:rPr>
        <w:t>nghĩa Việt Nam (2002). </w:t>
      </w:r>
      <w:r>
        <w:rPr>
          <w:rFonts w:ascii="Times New Roman" w:eastAsia="Times New Roman" w:hAnsi="Times New Roman" w:cs="Times New Roman"/>
          <w:i/>
          <w:iCs/>
          <w:color w:val="000000"/>
          <w:sz w:val="28"/>
          <w:szCs w:val="28"/>
        </w:rPr>
        <w:t>Nghị định về thành lập Ngân hàng Chính sách xã hội</w:t>
      </w:r>
      <w:r>
        <w:rPr>
          <w:rFonts w:ascii="Times New Roman" w:eastAsia="Times New Roman" w:hAnsi="Times New Roman" w:cs="Times New Roman"/>
          <w:color w:val="000000"/>
          <w:sz w:val="28"/>
          <w:szCs w:val="28"/>
        </w:rPr>
        <w:t>.</w:t>
      </w:r>
    </w:p>
    <w:p w14:paraId="46AB619B" w14:textId="77777777" w:rsidR="000808CB" w:rsidRDefault="00856F01" w:rsidP="0084209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Chính phủ Nước Cộng hòa xã hội chủ nghĩa Việt Nam (2002). </w:t>
      </w:r>
      <w:r>
        <w:rPr>
          <w:rFonts w:ascii="Times New Roman" w:eastAsia="Times New Roman" w:hAnsi="Times New Roman" w:cs="Times New Roman"/>
          <w:i/>
          <w:iCs/>
          <w:color w:val="000000"/>
          <w:sz w:val="28"/>
          <w:szCs w:val="28"/>
        </w:rPr>
        <w:t>Nghị định số 78/2002/NĐ-CP về tín dụng đối với người nghèo và các đối tượng chính sách khác</w:t>
      </w:r>
      <w:r>
        <w:rPr>
          <w:rFonts w:ascii="Times New Roman" w:eastAsia="Times New Roman" w:hAnsi="Times New Roman" w:cs="Times New Roman"/>
          <w:color w:val="000000"/>
          <w:sz w:val="28"/>
          <w:szCs w:val="28"/>
        </w:rPr>
        <w:t>.</w:t>
      </w:r>
    </w:p>
    <w:p w14:paraId="37CC4310" w14:textId="77777777" w:rsidR="000808CB" w:rsidRDefault="00856F01" w:rsidP="0084209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Chính phủ Nước Cộng hòa xã hội</w:t>
      </w:r>
      <w:r>
        <w:rPr>
          <w:rFonts w:ascii="Times New Roman" w:eastAsia="Times New Roman" w:hAnsi="Times New Roman" w:cs="Times New Roman"/>
          <w:color w:val="000000"/>
          <w:sz w:val="28"/>
          <w:szCs w:val="28"/>
        </w:rPr>
        <w:t xml:space="preserve"> chủ nghĩa Việt Nam (2023). Quyết định số 5/QĐ-TTg phê duyệt Chiến lược phát triển Ngân hàng Chính sách xã hội đến năm 2030.</w:t>
      </w:r>
    </w:p>
    <w:p w14:paraId="323588CA" w14:textId="77777777" w:rsidR="000808CB" w:rsidRDefault="00856F01" w:rsidP="0084209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Nguyễn Văn Tiến (2015). </w:t>
      </w:r>
      <w:r>
        <w:rPr>
          <w:rFonts w:ascii="Times New Roman" w:eastAsia="Times New Roman" w:hAnsi="Times New Roman" w:cs="Times New Roman"/>
          <w:i/>
          <w:iCs/>
          <w:color w:val="000000"/>
          <w:sz w:val="28"/>
          <w:szCs w:val="28"/>
        </w:rPr>
        <w:t>Tín dụng ngân hàng</w:t>
      </w:r>
      <w:r>
        <w:rPr>
          <w:rFonts w:ascii="Times New Roman" w:eastAsia="Times New Roman" w:hAnsi="Times New Roman" w:cs="Times New Roman"/>
          <w:color w:val="000000"/>
          <w:sz w:val="28"/>
          <w:szCs w:val="28"/>
        </w:rPr>
        <w:t>. NXB Thống kê.</w:t>
      </w:r>
    </w:p>
    <w:p w14:paraId="4ACD8E44" w14:textId="77777777" w:rsidR="000808CB" w:rsidRDefault="00856F01" w:rsidP="0084209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Nguyễn Minh Kiều (2012). </w:t>
      </w:r>
      <w:r>
        <w:rPr>
          <w:rFonts w:ascii="Times New Roman" w:eastAsia="Times New Roman" w:hAnsi="Times New Roman" w:cs="Times New Roman"/>
          <w:i/>
          <w:iCs/>
          <w:color w:val="000000"/>
          <w:sz w:val="28"/>
          <w:szCs w:val="28"/>
        </w:rPr>
        <w:t>Nghiệp vụ ngân hàng thương mại</w:t>
      </w:r>
      <w:r>
        <w:rPr>
          <w:rFonts w:ascii="Times New Roman" w:eastAsia="Times New Roman" w:hAnsi="Times New Roman" w:cs="Times New Roman"/>
          <w:color w:val="000000"/>
          <w:sz w:val="28"/>
          <w:szCs w:val="28"/>
        </w:rPr>
        <w:t xml:space="preserve">. NXB Lao động </w:t>
      </w: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X</w:t>
      </w:r>
      <w:r>
        <w:rPr>
          <w:rFonts w:ascii="Times New Roman" w:eastAsia="Times New Roman" w:hAnsi="Times New Roman" w:cs="Times New Roman"/>
          <w:color w:val="000000"/>
          <w:sz w:val="28"/>
          <w:szCs w:val="28"/>
        </w:rPr>
        <w:t>ã hội.</w:t>
      </w:r>
    </w:p>
    <w:p w14:paraId="4AD79B39" w14:textId="77777777" w:rsidR="000808CB" w:rsidRDefault="00856F01" w:rsidP="0084209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Ngân hàng Chính sách Xã hội Việt Nam (2023). Báo cáo thường niên</w:t>
      </w:r>
    </w:p>
    <w:p w14:paraId="4C6AAF5A" w14:textId="77777777" w:rsidR="000808CB" w:rsidRDefault="00856F01" w:rsidP="0084209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Ngân hàng Chính sách Xã hội Việt Nam (2024). Báo cáo thường niên.</w:t>
      </w:r>
    </w:p>
    <w:p w14:paraId="33D5DAC6" w14:textId="77777777" w:rsidR="000808CB" w:rsidRDefault="00856F01" w:rsidP="0084209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Ngân hàng Chính sách xã hội Việt Nam (2020). </w:t>
      </w:r>
      <w:r>
        <w:rPr>
          <w:rFonts w:ascii="Times New Roman" w:eastAsia="Times New Roman" w:hAnsi="Times New Roman" w:cs="Times New Roman"/>
          <w:i/>
          <w:iCs/>
          <w:color w:val="000000"/>
          <w:sz w:val="28"/>
          <w:szCs w:val="28"/>
        </w:rPr>
        <w:t>Tài liệu đào tạo tín dụng chính sách</w:t>
      </w:r>
      <w:r>
        <w:rPr>
          <w:rFonts w:ascii="Times New Roman" w:eastAsia="Times New Roman" w:hAnsi="Times New Roman" w:cs="Times New Roman"/>
          <w:color w:val="000000"/>
          <w:sz w:val="28"/>
          <w:szCs w:val="28"/>
        </w:rPr>
        <w:t>.</w:t>
      </w:r>
    </w:p>
    <w:p w14:paraId="2E36B7EC" w14:textId="265DB729" w:rsidR="000808CB" w:rsidRDefault="00842091" w:rsidP="0084209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rPr>
      </w:pPr>
      <w:r w:rsidRPr="00856F01">
        <w:rPr>
          <w:rFonts w:ascii="Times New Roman" w:eastAsia="Times New Roman" w:hAnsi="Times New Roman" w:cs="Times New Roman"/>
          <w:color w:val="000000"/>
          <w:sz w:val="28"/>
          <w:szCs w:val="28"/>
        </w:rPr>
        <w:t>Kỳ Phong</w:t>
      </w:r>
      <w:r>
        <w:rPr>
          <w:rFonts w:ascii="Times New Roman" w:eastAsia="Times New Roman" w:hAnsi="Times New Roman" w:cs="Times New Roman"/>
          <w:color w:val="000000"/>
          <w:sz w:val="28"/>
          <w:szCs w:val="28"/>
        </w:rPr>
        <w:t xml:space="preserve"> </w:t>
      </w:r>
      <w:r w:rsidR="00856F01">
        <w:rPr>
          <w:rFonts w:ascii="Times New Roman" w:eastAsia="Times New Roman" w:hAnsi="Times New Roman" w:cs="Times New Roman"/>
          <w:color w:val="000000"/>
          <w:sz w:val="28"/>
          <w:szCs w:val="28"/>
        </w:rPr>
        <w:t>(</w:t>
      </w:r>
      <w:r w:rsidR="00856F01">
        <w:rPr>
          <w:rFonts w:ascii="Times New Roman" w:eastAsia="Times New Roman" w:hAnsi="Times New Roman" w:cs="Times New Roman"/>
          <w:color w:val="000000"/>
          <w:sz w:val="28"/>
          <w:szCs w:val="28"/>
        </w:rPr>
        <w:t>2026 </w:t>
      </w:r>
      <w:r w:rsidR="00760817">
        <w:rPr>
          <w:rFonts w:ascii="Times New Roman" w:eastAsia="Times New Roman" w:hAnsi="Times New Roman" w:cs="Times New Roman"/>
          <w:color w:val="000000"/>
          <w:sz w:val="28"/>
          <w:szCs w:val="28"/>
        </w:rPr>
        <w:t>)</w:t>
      </w:r>
      <w:r w:rsidR="00760817">
        <w:rPr>
          <w:rFonts w:ascii="Times New Roman" w:eastAsia="Times New Roman" w:hAnsi="Times New Roman" w:cs="Times New Roman"/>
          <w:color w:val="000000"/>
          <w:sz w:val="28"/>
          <w:szCs w:val="28"/>
          <w:lang w:val="en-US"/>
        </w:rPr>
        <w:t>.</w:t>
      </w:r>
      <w:r w:rsidR="00760817">
        <w:rPr>
          <w:rFonts w:ascii="Times New Roman" w:eastAsia="Times New Roman" w:hAnsi="Times New Roman" w:cs="Times New Roman"/>
          <w:color w:val="000000"/>
          <w:sz w:val="28"/>
          <w:szCs w:val="28"/>
        </w:rPr>
        <w:t xml:space="preserve"> </w:t>
      </w:r>
      <w:r w:rsidR="00856F01">
        <w:rPr>
          <w:rFonts w:ascii="Times New Roman" w:eastAsia="Times New Roman" w:hAnsi="Times New Roman" w:cs="Times New Roman"/>
          <w:color w:val="000000"/>
          <w:sz w:val="28"/>
          <w:szCs w:val="28"/>
        </w:rPr>
        <w:t xml:space="preserve">Quy mô tín dụng chính sách đạt 413.527 tỷ đồng, nợ quá hạn chiếm 0,54%. Truy cập tại </w:t>
      </w:r>
      <w:hyperlink r:id="rId7">
        <w:r w:rsidR="000808CB">
          <w:rPr>
            <w:rFonts w:ascii="Times New Roman" w:eastAsia="Times New Roman" w:hAnsi="Times New Roman" w:cs="Times New Roman"/>
            <w:color w:val="467886"/>
            <w:sz w:val="28"/>
            <w:szCs w:val="28"/>
            <w:u w:val="single"/>
          </w:rPr>
          <w:t>https://vneconomy.vn/quy-mo-tin-dung-chinh-sach-dat-413527-ty-dong-no-qua-han-chiem-054.htm</w:t>
        </w:r>
      </w:hyperlink>
      <w:r w:rsidR="00856F01">
        <w:rPr>
          <w:rFonts w:ascii="Times New Roman" w:eastAsia="Times New Roman" w:hAnsi="Times New Roman" w:cs="Times New Roman"/>
          <w:color w:val="000000"/>
          <w:sz w:val="28"/>
          <w:szCs w:val="28"/>
        </w:rPr>
        <w:t>.</w:t>
      </w:r>
    </w:p>
    <w:p w14:paraId="043A91FC" w14:textId="17DB1C5B" w:rsidR="000808CB" w:rsidRDefault="00842091" w:rsidP="00842091">
      <w:pPr>
        <w:pBdr>
          <w:top w:val="nil"/>
          <w:left w:val="nil"/>
          <w:bottom w:val="nil"/>
          <w:right w:val="nil"/>
          <w:between w:val="nil"/>
        </w:pBdr>
        <w:spacing w:before="120" w:after="0" w:line="240" w:lineRule="auto"/>
        <w:jc w:val="both"/>
        <w:rPr>
          <w:rFonts w:ascii="Times New Roman" w:eastAsia="Times New Roman" w:hAnsi="Times New Roman" w:cs="Times New Roman"/>
          <w:color w:val="0000FF"/>
          <w:sz w:val="28"/>
          <w:szCs w:val="28"/>
          <w:u w:val="single"/>
        </w:rPr>
      </w:pPr>
      <w:r w:rsidRPr="00856F01">
        <w:rPr>
          <w:rFonts w:ascii="Times New Roman" w:eastAsia="Times New Roman" w:hAnsi="Times New Roman" w:cs="Times New Roman"/>
          <w:color w:val="000000"/>
          <w:sz w:val="28"/>
          <w:szCs w:val="28"/>
        </w:rPr>
        <w:lastRenderedPageBreak/>
        <w:t xml:space="preserve">Thúy Hà </w:t>
      </w:r>
      <w:r>
        <w:rPr>
          <w:rFonts w:ascii="Times New Roman" w:eastAsia="Times New Roman" w:hAnsi="Times New Roman" w:cs="Times New Roman"/>
          <w:color w:val="000000"/>
          <w:sz w:val="28"/>
          <w:szCs w:val="28"/>
        </w:rPr>
        <w:t xml:space="preserve"> </w:t>
      </w:r>
      <w:r w:rsidR="00856F01">
        <w:rPr>
          <w:rFonts w:ascii="Times New Roman" w:eastAsia="Times New Roman" w:hAnsi="Times New Roman" w:cs="Times New Roman"/>
          <w:color w:val="000000"/>
          <w:sz w:val="28"/>
          <w:szCs w:val="28"/>
        </w:rPr>
        <w:t>(</w:t>
      </w:r>
      <w:r w:rsidR="00856F01">
        <w:rPr>
          <w:rFonts w:ascii="Times New Roman" w:eastAsia="Times New Roman" w:hAnsi="Times New Roman" w:cs="Times New Roman"/>
          <w:color w:val="000000"/>
          <w:sz w:val="28"/>
          <w:szCs w:val="28"/>
        </w:rPr>
        <w:t xml:space="preserve">2026 ). Tổng dư nợ tín dụng chính sách năm 2025 đạt 413.527 tỷ đồng. Truy cập tại </w:t>
      </w:r>
      <w:hyperlink r:id="rId8">
        <w:r w:rsidR="000808CB">
          <w:rPr>
            <w:rFonts w:ascii="Times New Roman" w:eastAsia="Times New Roman" w:hAnsi="Times New Roman" w:cs="Times New Roman"/>
            <w:color w:val="467886"/>
            <w:sz w:val="28"/>
            <w:szCs w:val="28"/>
            <w:u w:val="single"/>
          </w:rPr>
          <w:t>https://www.vietnamplus.vn/tong-du-no-tin-dung-chinh-sach-nam-2025-dat-413527-ty-dong-post1088570.vnp</w:t>
        </w:r>
      </w:hyperlink>
      <w:r w:rsidR="00856F01">
        <w:rPr>
          <w:rFonts w:ascii="Times New Roman" w:eastAsia="Times New Roman" w:hAnsi="Times New Roman" w:cs="Times New Roman"/>
          <w:color w:val="0000FF"/>
          <w:sz w:val="28"/>
          <w:szCs w:val="28"/>
          <w:u w:val="single"/>
        </w:rPr>
        <w:t>.</w:t>
      </w:r>
    </w:p>
    <w:p w14:paraId="55FF1B54" w14:textId="77777777" w:rsidR="000808CB" w:rsidRDefault="000808CB" w:rsidP="00842091">
      <w:pPr>
        <w:pBdr>
          <w:top w:val="nil"/>
          <w:left w:val="nil"/>
          <w:bottom w:val="nil"/>
          <w:right w:val="nil"/>
          <w:between w:val="nil"/>
        </w:pBdr>
        <w:spacing w:before="120" w:after="0" w:line="240" w:lineRule="auto"/>
        <w:jc w:val="both"/>
        <w:rPr>
          <w:rFonts w:ascii="Times New Roman" w:eastAsia="Times New Roman" w:hAnsi="Times New Roman" w:cs="Times New Roman"/>
          <w:color w:val="0000FF"/>
          <w:sz w:val="28"/>
          <w:szCs w:val="28"/>
          <w:u w:val="single"/>
        </w:rPr>
      </w:pPr>
    </w:p>
    <w:p w14:paraId="5D5BE730" w14:textId="77777777" w:rsidR="00494002" w:rsidRPr="00856F01" w:rsidRDefault="00494002" w:rsidP="00494002">
      <w:pPr>
        <w:pBdr>
          <w:top w:val="nil"/>
          <w:left w:val="nil"/>
          <w:bottom w:val="nil"/>
          <w:right w:val="nil"/>
          <w:between w:val="nil"/>
        </w:pBdr>
        <w:spacing w:before="120" w:after="0" w:line="240" w:lineRule="auto"/>
        <w:jc w:val="both"/>
        <w:rPr>
          <w:rFonts w:ascii="Times New Roman" w:eastAsia="Times New Roman" w:hAnsi="Times New Roman" w:cs="Times New Roman"/>
          <w:color w:val="0000FF"/>
          <w:sz w:val="28"/>
          <w:szCs w:val="28"/>
          <w:u w:val="single"/>
        </w:rPr>
      </w:pPr>
      <w:r w:rsidRPr="00856F01">
        <w:rPr>
          <w:rFonts w:ascii="Times New Roman" w:eastAsia="Times New Roman" w:hAnsi="Times New Roman" w:cs="Times New Roman"/>
          <w:color w:val="0000FF"/>
          <w:sz w:val="28"/>
          <w:szCs w:val="28"/>
          <w:u w:val="single"/>
        </w:rPr>
        <w:t>Ngày nhận bài: 20/01/2026</w:t>
      </w:r>
    </w:p>
    <w:p w14:paraId="29C0F7ED" w14:textId="77777777" w:rsidR="00494002" w:rsidRPr="00856F01" w:rsidRDefault="00494002" w:rsidP="00494002">
      <w:pPr>
        <w:pBdr>
          <w:top w:val="nil"/>
          <w:left w:val="nil"/>
          <w:bottom w:val="nil"/>
          <w:right w:val="nil"/>
          <w:between w:val="nil"/>
        </w:pBdr>
        <w:spacing w:before="120" w:after="0" w:line="240" w:lineRule="auto"/>
        <w:jc w:val="both"/>
        <w:rPr>
          <w:rFonts w:ascii="Times New Roman" w:eastAsia="Times New Roman" w:hAnsi="Times New Roman" w:cs="Times New Roman"/>
          <w:color w:val="0000FF"/>
          <w:sz w:val="28"/>
          <w:szCs w:val="28"/>
          <w:u w:val="single"/>
        </w:rPr>
      </w:pPr>
      <w:r w:rsidRPr="00856F01">
        <w:rPr>
          <w:rFonts w:ascii="Times New Roman" w:eastAsia="Times New Roman" w:hAnsi="Times New Roman" w:cs="Times New Roman"/>
          <w:color w:val="0000FF"/>
          <w:sz w:val="28"/>
          <w:szCs w:val="28"/>
          <w:u w:val="single"/>
        </w:rPr>
        <w:t>Ngày phản biện đánh giá và sửa chữa: 8/02/2026</w:t>
      </w:r>
    </w:p>
    <w:p w14:paraId="36C85ADB" w14:textId="4DB8420C" w:rsidR="000808CB" w:rsidRPr="00856F01" w:rsidRDefault="00494002" w:rsidP="00494002">
      <w:pPr>
        <w:pBdr>
          <w:top w:val="nil"/>
          <w:left w:val="nil"/>
          <w:bottom w:val="nil"/>
          <w:right w:val="nil"/>
          <w:between w:val="nil"/>
        </w:pBdr>
        <w:spacing w:before="120" w:after="0" w:line="240" w:lineRule="auto"/>
        <w:jc w:val="both"/>
        <w:rPr>
          <w:rFonts w:ascii="Times New Roman" w:eastAsia="Times New Roman" w:hAnsi="Times New Roman" w:cs="Times New Roman"/>
          <w:color w:val="0000FF"/>
          <w:sz w:val="28"/>
          <w:szCs w:val="28"/>
          <w:u w:val="single"/>
        </w:rPr>
      </w:pPr>
      <w:r w:rsidRPr="00856F01">
        <w:rPr>
          <w:rFonts w:ascii="Times New Roman" w:eastAsia="Times New Roman" w:hAnsi="Times New Roman" w:cs="Times New Roman"/>
          <w:color w:val="0000FF"/>
          <w:sz w:val="28"/>
          <w:szCs w:val="28"/>
          <w:u w:val="single"/>
        </w:rPr>
        <w:t>Ngày chấp nhận đăng bài: 26/02/2026</w:t>
      </w:r>
    </w:p>
    <w:p w14:paraId="6CB3A156" w14:textId="77777777" w:rsidR="00494002" w:rsidRPr="00F459E3" w:rsidRDefault="00494002" w:rsidP="00842091">
      <w:pPr>
        <w:pBdr>
          <w:top w:val="nil"/>
          <w:left w:val="nil"/>
          <w:bottom w:val="nil"/>
          <w:right w:val="nil"/>
          <w:between w:val="nil"/>
        </w:pBdr>
        <w:spacing w:before="120" w:after="0" w:line="240" w:lineRule="auto"/>
        <w:jc w:val="both"/>
        <w:rPr>
          <w:rFonts w:ascii="Times New Roman" w:eastAsia="Times New Roman" w:hAnsi="Times New Roman" w:cs="Times New Roman"/>
          <w:color w:val="0000FF"/>
          <w:sz w:val="28"/>
          <w:szCs w:val="28"/>
          <w:u w:val="single"/>
        </w:rPr>
      </w:pPr>
    </w:p>
    <w:p w14:paraId="0CC2656A" w14:textId="77777777" w:rsidR="000808CB" w:rsidRDefault="000808CB" w:rsidP="00842091">
      <w:pPr>
        <w:pBdr>
          <w:top w:val="nil"/>
          <w:left w:val="nil"/>
          <w:bottom w:val="nil"/>
          <w:right w:val="nil"/>
          <w:between w:val="nil"/>
        </w:pBdr>
        <w:spacing w:before="120" w:after="0" w:line="240" w:lineRule="auto"/>
        <w:jc w:val="both"/>
        <w:rPr>
          <w:rFonts w:ascii="Times New Roman" w:eastAsia="Times New Roman" w:hAnsi="Times New Roman" w:cs="Times New Roman"/>
          <w:color w:val="0000FF"/>
          <w:sz w:val="28"/>
          <w:szCs w:val="28"/>
          <w:u w:val="single"/>
        </w:rPr>
      </w:pPr>
      <w:bookmarkStart w:id="1" w:name="_heading=h.damnbrriprfg" w:colFirst="0" w:colLast="0"/>
      <w:bookmarkEnd w:id="1"/>
    </w:p>
    <w:p w14:paraId="18B95AEB" w14:textId="77777777" w:rsidR="000808CB" w:rsidRDefault="000808CB" w:rsidP="00842091">
      <w:pPr>
        <w:pBdr>
          <w:top w:val="nil"/>
          <w:left w:val="nil"/>
          <w:bottom w:val="nil"/>
          <w:right w:val="nil"/>
          <w:between w:val="nil"/>
        </w:pBdr>
        <w:spacing w:before="120" w:after="0" w:line="240" w:lineRule="auto"/>
        <w:jc w:val="both"/>
        <w:rPr>
          <w:rFonts w:ascii="Times New Roman" w:eastAsia="Times New Roman" w:hAnsi="Times New Roman" w:cs="Times New Roman"/>
          <w:color w:val="0000FF"/>
          <w:sz w:val="28"/>
          <w:szCs w:val="28"/>
          <w:u w:val="single"/>
        </w:rPr>
      </w:pPr>
    </w:p>
    <w:p w14:paraId="39681D32" w14:textId="5892B45A" w:rsidR="000C2DB0" w:rsidRDefault="000C2DB0" w:rsidP="00842091">
      <w:pPr>
        <w:spacing w:before="120" w:after="0" w:line="240" w:lineRule="auto"/>
        <w:jc w:val="center"/>
        <w:rPr>
          <w:rFonts w:ascii="Times New Roman" w:eastAsia="Times New Roman" w:hAnsi="Times New Roman" w:cs="Times New Roman"/>
          <w:b/>
          <w:bCs/>
          <w:color w:val="000000"/>
          <w:sz w:val="28"/>
          <w:szCs w:val="28"/>
        </w:rPr>
      </w:pPr>
      <w:r w:rsidRPr="000C2DB0">
        <w:rPr>
          <w:rFonts w:ascii="Times New Roman" w:eastAsia="Times New Roman" w:hAnsi="Times New Roman" w:cs="Times New Roman"/>
          <w:b/>
          <w:bCs/>
          <w:color w:val="000000"/>
          <w:sz w:val="28"/>
          <w:szCs w:val="28"/>
        </w:rPr>
        <w:t xml:space="preserve">Effectiveness of </w:t>
      </w:r>
      <w:r w:rsidR="0032461C" w:rsidRPr="000C2DB0">
        <w:rPr>
          <w:rFonts w:ascii="Times New Roman" w:eastAsia="Times New Roman" w:hAnsi="Times New Roman" w:cs="Times New Roman"/>
          <w:b/>
          <w:bCs/>
          <w:color w:val="000000"/>
          <w:sz w:val="28"/>
          <w:szCs w:val="28"/>
        </w:rPr>
        <w:t xml:space="preserve">policy credit operations </w:t>
      </w:r>
      <w:r w:rsidRPr="000C2DB0">
        <w:rPr>
          <w:rFonts w:ascii="Times New Roman" w:eastAsia="Times New Roman" w:hAnsi="Times New Roman" w:cs="Times New Roman"/>
          <w:b/>
          <w:bCs/>
          <w:color w:val="000000"/>
          <w:sz w:val="28"/>
          <w:szCs w:val="28"/>
        </w:rPr>
        <w:t xml:space="preserve">at the Vietnam Social Policy Bank, </w:t>
      </w:r>
      <w:r w:rsidR="0032461C">
        <w:rPr>
          <w:rFonts w:ascii="Times New Roman" w:eastAsia="Times New Roman" w:hAnsi="Times New Roman" w:cs="Times New Roman"/>
          <w:b/>
          <w:bCs/>
          <w:color w:val="000000"/>
          <w:sz w:val="28"/>
          <w:szCs w:val="28"/>
          <w:lang w:val="en-US"/>
        </w:rPr>
        <w:t xml:space="preserve">during the </w:t>
      </w:r>
      <w:r w:rsidRPr="000C2DB0">
        <w:rPr>
          <w:rFonts w:ascii="Times New Roman" w:eastAsia="Times New Roman" w:hAnsi="Times New Roman" w:cs="Times New Roman"/>
          <w:b/>
          <w:bCs/>
          <w:color w:val="000000"/>
          <w:sz w:val="28"/>
          <w:szCs w:val="28"/>
        </w:rPr>
        <w:t>2023</w:t>
      </w:r>
      <w:r w:rsidR="0032461C">
        <w:rPr>
          <w:rFonts w:ascii="Times New Roman" w:eastAsia="Times New Roman" w:hAnsi="Times New Roman" w:cs="Times New Roman"/>
          <w:b/>
          <w:bCs/>
          <w:color w:val="000000"/>
          <w:sz w:val="28"/>
          <w:szCs w:val="28"/>
          <w:lang w:val="en-US"/>
        </w:rPr>
        <w:t xml:space="preserve"> – </w:t>
      </w:r>
      <w:r w:rsidRPr="000C2DB0">
        <w:rPr>
          <w:rFonts w:ascii="Times New Roman" w:eastAsia="Times New Roman" w:hAnsi="Times New Roman" w:cs="Times New Roman"/>
          <w:b/>
          <w:bCs/>
          <w:color w:val="000000"/>
          <w:sz w:val="28"/>
          <w:szCs w:val="28"/>
        </w:rPr>
        <w:t>2025</w:t>
      </w:r>
      <w:r w:rsidR="0032461C">
        <w:rPr>
          <w:rFonts w:ascii="Times New Roman" w:eastAsia="Times New Roman" w:hAnsi="Times New Roman" w:cs="Times New Roman"/>
          <w:b/>
          <w:bCs/>
          <w:color w:val="000000"/>
          <w:sz w:val="28"/>
          <w:szCs w:val="28"/>
          <w:lang w:val="en-US"/>
        </w:rPr>
        <w:t xml:space="preserve"> period</w:t>
      </w:r>
    </w:p>
    <w:p w14:paraId="503FD475" w14:textId="77777777" w:rsidR="000808CB" w:rsidRDefault="00856F01" w:rsidP="00842091">
      <w:pPr>
        <w:spacing w:before="12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Ho Thi Yen Ly</w:t>
      </w:r>
    </w:p>
    <w:p w14:paraId="3BC66EBC" w14:textId="77777777" w:rsidR="000808CB" w:rsidRDefault="00856F01" w:rsidP="00842091">
      <w:pPr>
        <w:spacing w:before="120"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Ba Ria - Vung Tau University</w:t>
      </w:r>
    </w:p>
    <w:p w14:paraId="46930128" w14:textId="77777777" w:rsidR="000808CB" w:rsidRDefault="00856F01" w:rsidP="00842091">
      <w:pPr>
        <w:spacing w:before="120"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ABSTRACT:</w:t>
      </w:r>
    </w:p>
    <w:p w14:paraId="7F3A0836" w14:textId="11CF4D59" w:rsidR="00D25BEC" w:rsidRDefault="00D25BEC" w:rsidP="00842091">
      <w:pPr>
        <w:pBdr>
          <w:top w:val="nil"/>
          <w:left w:val="nil"/>
          <w:bottom w:val="nil"/>
          <w:right w:val="nil"/>
          <w:between w:val="nil"/>
        </w:pBdr>
        <w:spacing w:before="120" w:after="0" w:line="240" w:lineRule="auto"/>
        <w:ind w:firstLine="284"/>
        <w:jc w:val="both"/>
        <w:rPr>
          <w:rFonts w:ascii="Times New Roman" w:eastAsia="Times New Roman" w:hAnsi="Times New Roman" w:cs="Times New Roman"/>
          <w:color w:val="000000"/>
          <w:sz w:val="28"/>
          <w:szCs w:val="28"/>
        </w:rPr>
      </w:pPr>
      <w:r w:rsidRPr="00D25BEC">
        <w:rPr>
          <w:rFonts w:ascii="Times New Roman" w:eastAsia="Times New Roman" w:hAnsi="Times New Roman" w:cs="Times New Roman"/>
          <w:color w:val="000000"/>
          <w:sz w:val="28"/>
          <w:szCs w:val="28"/>
        </w:rPr>
        <w:t>Social policy credit represents a key instrument of the Party and State in promoting sustainable poverty reduction, improving living standards, and strengthening social security. Implemented through the Social Policy Bank (SPB), this policy provides preferential loans to eligible beneficiaries to support income-generating activities, job creation, and livelihood development. This study evaluates the effectiveness of social policy credit operations during the 2023</w:t>
      </w:r>
      <w:r w:rsidR="00F82EA5">
        <w:rPr>
          <w:rFonts w:ascii="Times New Roman" w:eastAsia="Times New Roman" w:hAnsi="Times New Roman" w:cs="Times New Roman"/>
          <w:color w:val="000000"/>
          <w:sz w:val="28"/>
          <w:szCs w:val="28"/>
          <w:lang w:val="en-US"/>
        </w:rPr>
        <w:t xml:space="preserve"> - </w:t>
      </w:r>
      <w:r w:rsidRPr="00D25BEC">
        <w:rPr>
          <w:rFonts w:ascii="Times New Roman" w:eastAsia="Times New Roman" w:hAnsi="Times New Roman" w:cs="Times New Roman"/>
          <w:color w:val="000000"/>
          <w:sz w:val="28"/>
          <w:szCs w:val="28"/>
        </w:rPr>
        <w:t>2025 period based on secondary data. Employing descriptive statistics, time-series comparative analysis, and a system of socio-economic indicators, the research assesses both the scale and quality of credit provision as well as its contribution to social security objectives. The findings offer a comprehensive empirical assessment of program performance and the extent to which policy goals are achieved.</w:t>
      </w:r>
    </w:p>
    <w:p w14:paraId="6CED1207" w14:textId="77777777" w:rsidR="000808CB" w:rsidRDefault="00856F01" w:rsidP="0084209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Keywords:</w:t>
      </w:r>
      <w:r>
        <w:rPr>
          <w:rFonts w:ascii="Times New Roman" w:eastAsia="Times New Roman" w:hAnsi="Times New Roman" w:cs="Times New Roman"/>
          <w:color w:val="000000"/>
          <w:sz w:val="28"/>
          <w:szCs w:val="28"/>
        </w:rPr>
        <w:t xml:space="preserve"> policy credit, Vietnam Bank for Social Policies, pov</w:t>
      </w:r>
      <w:r>
        <w:rPr>
          <w:rFonts w:ascii="Times New Roman" w:eastAsia="Times New Roman" w:hAnsi="Times New Roman" w:cs="Times New Roman"/>
          <w:color w:val="000000"/>
          <w:sz w:val="28"/>
          <w:szCs w:val="28"/>
        </w:rPr>
        <w:t>erty reduction, operational effectiveness.</w:t>
      </w:r>
    </w:p>
    <w:p w14:paraId="5DD97DDE" w14:textId="77777777" w:rsidR="000808CB" w:rsidRDefault="000808CB" w:rsidP="0084209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lang w:val="en-US"/>
        </w:rPr>
      </w:pPr>
    </w:p>
    <w:p w14:paraId="29AB747A" w14:textId="77777777" w:rsidR="00E6317A" w:rsidRPr="00856F01" w:rsidRDefault="00E6317A" w:rsidP="00842091">
      <w:pPr>
        <w:pBdr>
          <w:top w:val="nil"/>
          <w:left w:val="nil"/>
          <w:bottom w:val="nil"/>
          <w:right w:val="nil"/>
          <w:between w:val="nil"/>
        </w:pBdr>
        <w:spacing w:before="120" w:after="0" w:line="240" w:lineRule="auto"/>
        <w:jc w:val="both"/>
        <w:rPr>
          <w:rFonts w:ascii="Times New Roman" w:eastAsia="Times New Roman" w:hAnsi="Times New Roman" w:cs="Times New Roman"/>
          <w:color w:val="000000"/>
          <w:sz w:val="28"/>
          <w:szCs w:val="28"/>
          <w:lang w:val="en-US"/>
        </w:rPr>
      </w:pPr>
    </w:p>
    <w:sectPr w:rsidR="00E6317A" w:rsidRPr="00856F01">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6BA1EEDD-3C58-432F-9F94-93DB3D34C5B9}"/>
  </w:font>
  <w:font w:name="Courier New">
    <w:panose1 w:val="02070309020205020404"/>
    <w:charset w:val="00"/>
    <w:family w:val="modern"/>
    <w:pitch w:val="fixed"/>
    <w:sig w:usb0="E0002AFF" w:usb1="C0007843" w:usb2="00000009" w:usb3="00000000" w:csb0="000001FF" w:csb1="00000000"/>
  </w:font>
  <w:font w:name="Aptos">
    <w:altName w:val="Arial"/>
    <w:charset w:val="00"/>
    <w:family w:val="swiss"/>
    <w:pitch w:val="variable"/>
    <w:sig w:usb0="00000001" w:usb1="00000003" w:usb2="00000000" w:usb3="00000000" w:csb0="0000019F" w:csb1="00000000"/>
    <w:embedRegular r:id="rId2" w:fontKey="{867A3C11-46FB-4812-92D7-D999227AD600}"/>
    <w:embedItalic r:id="rId3" w:fontKey="{5B749D42-D9CC-4C5B-81C4-DFCD81763CDD}"/>
  </w:font>
  <w:font w:name="Play">
    <w:altName w:val="Calibri"/>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Aptos Display">
    <w:charset w:val="00"/>
    <w:family w:val="swiss"/>
    <w:pitch w:val="variable"/>
    <w:sig w:usb0="20000287" w:usb1="00000003" w:usb2="00000000" w:usb3="00000000" w:csb0="0000019F" w:csb1="00000000"/>
    <w:embedRegular r:id="rId4" w:fontKey="{AE81D275-A977-4985-97ED-8F20DC6AE7BA}"/>
  </w:font>
  <w:font w:name="Helvetica Neue">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5" w:fontKey="{2254FDA4-DFF5-4504-BB29-EBAE801A0EE8}"/>
  </w:font>
  <w:font w:name="Cambria Math">
    <w:panose1 w:val="02040503050406030204"/>
    <w:charset w:val="00"/>
    <w:family w:val="roman"/>
    <w:pitch w:val="variable"/>
    <w:sig w:usb0="E00002FF" w:usb1="420024FF" w:usb2="00000000" w:usb3="00000000" w:csb0="0000019F" w:csb1="00000000"/>
    <w:embedRegular r:id="rId6" w:fontKey="{CE338919-A36D-4499-BBFD-61540A04BB9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2420B"/>
    <w:multiLevelType w:val="multilevel"/>
    <w:tmpl w:val="D71C10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B46DE2"/>
    <w:multiLevelType w:val="multilevel"/>
    <w:tmpl w:val="8DBA7F6E"/>
    <w:lvl w:ilvl="0">
      <w:start w:val="13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rson w15:author="ngothidieuthuy ngothidieuthuy">
    <w15:presenceInfo w15:providerId="Windows Live" w15:userId="b52535cc6664a60a"/>
  </w15:person>
  <w15:person w15:author="Dang Duy Quang">
    <w15:presenceInfo w15:providerId="None" w15:userId="Dang Duy Qu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doNotDisplayPageBoundaries/>
  <w:embedTrueTypeFonts/>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8CB"/>
    <w:rsid w:val="000808CB"/>
    <w:rsid w:val="000C2DB0"/>
    <w:rsid w:val="001C08AD"/>
    <w:rsid w:val="0032461C"/>
    <w:rsid w:val="00431FA7"/>
    <w:rsid w:val="004668F9"/>
    <w:rsid w:val="00494002"/>
    <w:rsid w:val="00517CC1"/>
    <w:rsid w:val="0059572A"/>
    <w:rsid w:val="00760817"/>
    <w:rsid w:val="00842091"/>
    <w:rsid w:val="00856F01"/>
    <w:rsid w:val="00D25BEC"/>
    <w:rsid w:val="00E1582D"/>
    <w:rsid w:val="00E6317A"/>
    <w:rsid w:val="00E823E1"/>
    <w:rsid w:val="00F459E3"/>
    <w:rsid w:val="00F82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9F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4"/>
        <w:szCs w:val="24"/>
        <w:lang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419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19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19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F419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19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19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19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19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19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19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19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199E"/>
    <w:rPr>
      <w:rFonts w:eastAsiaTheme="majorEastAsia" w:cstheme="majorBidi"/>
      <w:color w:val="272727" w:themeColor="text1" w:themeTint="D8"/>
    </w:rPr>
  </w:style>
  <w:style w:type="character" w:customStyle="1" w:styleId="TitleChar">
    <w:name w:val="Title Char"/>
    <w:basedOn w:val="DefaultParagraphFont"/>
    <w:link w:val="Title"/>
    <w:uiPriority w:val="10"/>
    <w:rsid w:val="00F4199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419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199E"/>
    <w:pPr>
      <w:spacing w:before="160"/>
      <w:jc w:val="center"/>
    </w:pPr>
    <w:rPr>
      <w:i/>
      <w:iCs/>
      <w:color w:val="404040" w:themeColor="text1" w:themeTint="BF"/>
    </w:rPr>
  </w:style>
  <w:style w:type="character" w:customStyle="1" w:styleId="QuoteChar">
    <w:name w:val="Quote Char"/>
    <w:basedOn w:val="DefaultParagraphFont"/>
    <w:link w:val="Quote"/>
    <w:uiPriority w:val="29"/>
    <w:rsid w:val="00F4199E"/>
    <w:rPr>
      <w:i/>
      <w:iCs/>
      <w:color w:val="404040" w:themeColor="text1" w:themeTint="BF"/>
    </w:rPr>
  </w:style>
  <w:style w:type="paragraph" w:styleId="ListParagraph">
    <w:name w:val="List Paragraph"/>
    <w:basedOn w:val="Normal"/>
    <w:uiPriority w:val="34"/>
    <w:qFormat/>
    <w:rsid w:val="00F4199E"/>
    <w:pPr>
      <w:ind w:left="720"/>
      <w:contextualSpacing/>
    </w:pPr>
  </w:style>
  <w:style w:type="character" w:styleId="IntenseEmphasis">
    <w:name w:val="Intense Emphasis"/>
    <w:basedOn w:val="DefaultParagraphFont"/>
    <w:uiPriority w:val="21"/>
    <w:qFormat/>
    <w:rsid w:val="00F4199E"/>
    <w:rPr>
      <w:i/>
      <w:iCs/>
      <w:color w:val="0F4761" w:themeColor="accent1" w:themeShade="BF"/>
    </w:rPr>
  </w:style>
  <w:style w:type="paragraph" w:styleId="IntenseQuote">
    <w:name w:val="Intense Quote"/>
    <w:basedOn w:val="Normal"/>
    <w:next w:val="Normal"/>
    <w:link w:val="IntenseQuoteChar"/>
    <w:uiPriority w:val="30"/>
    <w:qFormat/>
    <w:rsid w:val="00F419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199E"/>
    <w:rPr>
      <w:i/>
      <w:iCs/>
      <w:color w:val="0F4761" w:themeColor="accent1" w:themeShade="BF"/>
    </w:rPr>
  </w:style>
  <w:style w:type="character" w:styleId="IntenseReference">
    <w:name w:val="Intense Reference"/>
    <w:basedOn w:val="DefaultParagraphFont"/>
    <w:uiPriority w:val="32"/>
    <w:qFormat/>
    <w:rsid w:val="00F4199E"/>
    <w:rPr>
      <w:b/>
      <w:bCs/>
      <w:smallCaps/>
      <w:color w:val="0F4761" w:themeColor="accent1" w:themeShade="BF"/>
      <w:spacing w:val="5"/>
    </w:rPr>
  </w:style>
  <w:style w:type="paragraph" w:styleId="NormalWeb">
    <w:name w:val="Normal (Web)"/>
    <w:basedOn w:val="Normal"/>
    <w:uiPriority w:val="99"/>
    <w:unhideWhenUsed/>
    <w:rsid w:val="00EC504A"/>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EC504A"/>
  </w:style>
  <w:style w:type="character" w:customStyle="1" w:styleId="whitespace-normal">
    <w:name w:val="whitespace-normal"/>
    <w:basedOn w:val="DefaultParagraphFont"/>
    <w:rsid w:val="00EC504A"/>
  </w:style>
  <w:style w:type="character" w:styleId="Strong">
    <w:name w:val="Strong"/>
    <w:basedOn w:val="DefaultParagraphFont"/>
    <w:uiPriority w:val="22"/>
    <w:qFormat/>
    <w:rsid w:val="004F56A3"/>
    <w:rPr>
      <w:b/>
      <w:bCs/>
    </w:rPr>
  </w:style>
  <w:style w:type="table" w:styleId="TableGrid">
    <w:name w:val="Table Grid"/>
    <w:basedOn w:val="TableNormal"/>
    <w:uiPriority w:val="39"/>
    <w:rsid w:val="00DA79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A">
    <w:name w:val="Body A"/>
    <w:rsid w:val="003D2E8E"/>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styleId="Hyperlink">
    <w:name w:val="Hyperlink"/>
    <w:basedOn w:val="DefaultParagraphFont"/>
    <w:uiPriority w:val="99"/>
    <w:unhideWhenUsed/>
    <w:rsid w:val="003D2E8E"/>
    <w:rPr>
      <w:color w:val="467886" w:themeColor="hyperlink"/>
      <w:u w:val="single"/>
    </w:rPr>
  </w:style>
  <w:style w:type="character" w:customStyle="1" w:styleId="UnresolvedMention1">
    <w:name w:val="Unresolved Mention1"/>
    <w:basedOn w:val="DefaultParagraphFont"/>
    <w:uiPriority w:val="99"/>
    <w:semiHidden/>
    <w:unhideWhenUsed/>
    <w:rsid w:val="003D2E8E"/>
    <w:rPr>
      <w:color w:val="605E5C"/>
      <w:shd w:val="clear" w:color="auto" w:fill="E1DFDD"/>
    </w:rPr>
  </w:style>
  <w:style w:type="character" w:styleId="Emphasis">
    <w:name w:val="Emphasis"/>
    <w:basedOn w:val="DefaultParagraphFont"/>
    <w:uiPriority w:val="20"/>
    <w:qFormat/>
    <w:rsid w:val="003D2E8E"/>
    <w:rPr>
      <w:i/>
      <w:iCs/>
    </w:rPr>
  </w:style>
  <w:style w:type="character" w:styleId="FollowedHyperlink">
    <w:name w:val="FollowedHyperlink"/>
    <w:basedOn w:val="DefaultParagraphFont"/>
    <w:uiPriority w:val="99"/>
    <w:semiHidden/>
    <w:unhideWhenUsed/>
    <w:rsid w:val="003D2E8E"/>
    <w:rPr>
      <w:color w:val="96607D" w:themeColor="followedHyperlink"/>
      <w:u w:val="single"/>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Revision">
    <w:name w:val="Revision"/>
    <w:hidden/>
    <w:uiPriority w:val="99"/>
    <w:semiHidden/>
    <w:rsid w:val="00842091"/>
    <w:pPr>
      <w:spacing w:after="0" w:line="240" w:lineRule="auto"/>
    </w:pPr>
  </w:style>
  <w:style w:type="paragraph" w:styleId="BalloonText">
    <w:name w:val="Balloon Text"/>
    <w:basedOn w:val="Normal"/>
    <w:link w:val="BalloonTextChar"/>
    <w:uiPriority w:val="99"/>
    <w:semiHidden/>
    <w:unhideWhenUsed/>
    <w:rsid w:val="00856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F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4"/>
        <w:szCs w:val="24"/>
        <w:lang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F4199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199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199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F419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419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419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419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419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419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19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19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199E"/>
    <w:rPr>
      <w:rFonts w:eastAsiaTheme="majorEastAsia" w:cstheme="majorBidi"/>
      <w:color w:val="272727" w:themeColor="text1" w:themeTint="D8"/>
    </w:rPr>
  </w:style>
  <w:style w:type="character" w:customStyle="1" w:styleId="TitleChar">
    <w:name w:val="Title Char"/>
    <w:basedOn w:val="DefaultParagraphFont"/>
    <w:link w:val="Title"/>
    <w:uiPriority w:val="10"/>
    <w:rsid w:val="00F4199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F419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199E"/>
    <w:pPr>
      <w:spacing w:before="160"/>
      <w:jc w:val="center"/>
    </w:pPr>
    <w:rPr>
      <w:i/>
      <w:iCs/>
      <w:color w:val="404040" w:themeColor="text1" w:themeTint="BF"/>
    </w:rPr>
  </w:style>
  <w:style w:type="character" w:customStyle="1" w:styleId="QuoteChar">
    <w:name w:val="Quote Char"/>
    <w:basedOn w:val="DefaultParagraphFont"/>
    <w:link w:val="Quote"/>
    <w:uiPriority w:val="29"/>
    <w:rsid w:val="00F4199E"/>
    <w:rPr>
      <w:i/>
      <w:iCs/>
      <w:color w:val="404040" w:themeColor="text1" w:themeTint="BF"/>
    </w:rPr>
  </w:style>
  <w:style w:type="paragraph" w:styleId="ListParagraph">
    <w:name w:val="List Paragraph"/>
    <w:basedOn w:val="Normal"/>
    <w:uiPriority w:val="34"/>
    <w:qFormat/>
    <w:rsid w:val="00F4199E"/>
    <w:pPr>
      <w:ind w:left="720"/>
      <w:contextualSpacing/>
    </w:pPr>
  </w:style>
  <w:style w:type="character" w:styleId="IntenseEmphasis">
    <w:name w:val="Intense Emphasis"/>
    <w:basedOn w:val="DefaultParagraphFont"/>
    <w:uiPriority w:val="21"/>
    <w:qFormat/>
    <w:rsid w:val="00F4199E"/>
    <w:rPr>
      <w:i/>
      <w:iCs/>
      <w:color w:val="0F4761" w:themeColor="accent1" w:themeShade="BF"/>
    </w:rPr>
  </w:style>
  <w:style w:type="paragraph" w:styleId="IntenseQuote">
    <w:name w:val="Intense Quote"/>
    <w:basedOn w:val="Normal"/>
    <w:next w:val="Normal"/>
    <w:link w:val="IntenseQuoteChar"/>
    <w:uiPriority w:val="30"/>
    <w:qFormat/>
    <w:rsid w:val="00F419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4199E"/>
    <w:rPr>
      <w:i/>
      <w:iCs/>
      <w:color w:val="0F4761" w:themeColor="accent1" w:themeShade="BF"/>
    </w:rPr>
  </w:style>
  <w:style w:type="character" w:styleId="IntenseReference">
    <w:name w:val="Intense Reference"/>
    <w:basedOn w:val="DefaultParagraphFont"/>
    <w:uiPriority w:val="32"/>
    <w:qFormat/>
    <w:rsid w:val="00F4199E"/>
    <w:rPr>
      <w:b/>
      <w:bCs/>
      <w:smallCaps/>
      <w:color w:val="0F4761" w:themeColor="accent1" w:themeShade="BF"/>
      <w:spacing w:val="5"/>
    </w:rPr>
  </w:style>
  <w:style w:type="paragraph" w:styleId="NormalWeb">
    <w:name w:val="Normal (Web)"/>
    <w:basedOn w:val="Normal"/>
    <w:uiPriority w:val="99"/>
    <w:unhideWhenUsed/>
    <w:rsid w:val="00EC504A"/>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EC504A"/>
  </w:style>
  <w:style w:type="character" w:customStyle="1" w:styleId="whitespace-normal">
    <w:name w:val="whitespace-normal"/>
    <w:basedOn w:val="DefaultParagraphFont"/>
    <w:rsid w:val="00EC504A"/>
  </w:style>
  <w:style w:type="character" w:styleId="Strong">
    <w:name w:val="Strong"/>
    <w:basedOn w:val="DefaultParagraphFont"/>
    <w:uiPriority w:val="22"/>
    <w:qFormat/>
    <w:rsid w:val="004F56A3"/>
    <w:rPr>
      <w:b/>
      <w:bCs/>
    </w:rPr>
  </w:style>
  <w:style w:type="table" w:styleId="TableGrid">
    <w:name w:val="Table Grid"/>
    <w:basedOn w:val="TableNormal"/>
    <w:uiPriority w:val="39"/>
    <w:rsid w:val="00DA79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A">
    <w:name w:val="Body A"/>
    <w:rsid w:val="003D2E8E"/>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styleId="Hyperlink">
    <w:name w:val="Hyperlink"/>
    <w:basedOn w:val="DefaultParagraphFont"/>
    <w:uiPriority w:val="99"/>
    <w:unhideWhenUsed/>
    <w:rsid w:val="003D2E8E"/>
    <w:rPr>
      <w:color w:val="467886" w:themeColor="hyperlink"/>
      <w:u w:val="single"/>
    </w:rPr>
  </w:style>
  <w:style w:type="character" w:customStyle="1" w:styleId="UnresolvedMention1">
    <w:name w:val="Unresolved Mention1"/>
    <w:basedOn w:val="DefaultParagraphFont"/>
    <w:uiPriority w:val="99"/>
    <w:semiHidden/>
    <w:unhideWhenUsed/>
    <w:rsid w:val="003D2E8E"/>
    <w:rPr>
      <w:color w:val="605E5C"/>
      <w:shd w:val="clear" w:color="auto" w:fill="E1DFDD"/>
    </w:rPr>
  </w:style>
  <w:style w:type="character" w:styleId="Emphasis">
    <w:name w:val="Emphasis"/>
    <w:basedOn w:val="DefaultParagraphFont"/>
    <w:uiPriority w:val="20"/>
    <w:qFormat/>
    <w:rsid w:val="003D2E8E"/>
    <w:rPr>
      <w:i/>
      <w:iCs/>
    </w:rPr>
  </w:style>
  <w:style w:type="character" w:styleId="FollowedHyperlink">
    <w:name w:val="FollowedHyperlink"/>
    <w:basedOn w:val="DefaultParagraphFont"/>
    <w:uiPriority w:val="99"/>
    <w:semiHidden/>
    <w:unhideWhenUsed/>
    <w:rsid w:val="003D2E8E"/>
    <w:rPr>
      <w:color w:val="96607D" w:themeColor="followedHyperlink"/>
      <w:u w:val="single"/>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Revision">
    <w:name w:val="Revision"/>
    <w:hidden/>
    <w:uiPriority w:val="99"/>
    <w:semiHidden/>
    <w:rsid w:val="00842091"/>
    <w:pPr>
      <w:spacing w:after="0" w:line="240" w:lineRule="auto"/>
    </w:pPr>
  </w:style>
  <w:style w:type="paragraph" w:styleId="BalloonText">
    <w:name w:val="Balloon Text"/>
    <w:basedOn w:val="Normal"/>
    <w:link w:val="BalloonTextChar"/>
    <w:uiPriority w:val="99"/>
    <w:semiHidden/>
    <w:unhideWhenUsed/>
    <w:rsid w:val="00856F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F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etnamplus.vn/tong-du-no-tin-dung-chinh-sach-nam-2025-dat-413527-ty-dong-post1088570.vnp" TargetMode="External"/><Relationship Id="rId3" Type="http://schemas.openxmlformats.org/officeDocument/2006/relationships/styles" Target="styles.xml"/><Relationship Id="rId7" Type="http://schemas.openxmlformats.org/officeDocument/2006/relationships/hyperlink" Target="https://vneconomy.vn/quy-mo-tin-dung-chinh-sach-dat-413527-ty-dong-no-qua-han-chiem-054.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people" Target="people.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DuuyRiyj5DeQZOdX1FBrLe74Yw==">CgMxLjAyDmguZGFtbmJycmlwcmZnOAByITFuZDFQOU5zVk9ZTjdOd1h5Y29FcDFTMHc4a0U4cU44Ug==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1974</Words>
  <Characters>11258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 Thi Yen,Ly</dc:creator>
  <cp:lastModifiedBy>admin12</cp:lastModifiedBy>
  <cp:revision>14</cp:revision>
  <dcterms:created xsi:type="dcterms:W3CDTF">2026-03-27T07:51:00Z</dcterms:created>
  <dcterms:modified xsi:type="dcterms:W3CDTF">2026-04-23T05:04:00Z</dcterms:modified>
</cp:coreProperties>
</file>