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68C1" w14:textId="477E3598" w:rsidR="0003608E" w:rsidRPr="00316C76" w:rsidRDefault="00954C21" w:rsidP="0014623F">
      <w:pPr>
        <w:spacing w:after="0" w:line="276" w:lineRule="auto"/>
        <w:jc w:val="center"/>
        <w:rPr>
          <w:rFonts w:ascii="Times New Roman" w:hAnsi="Times New Roman" w:cs="Times New Roman"/>
          <w:b/>
          <w:bCs/>
          <w:color w:val="000000" w:themeColor="text1"/>
        </w:rPr>
      </w:pPr>
      <w:r w:rsidRPr="004B68B0">
        <w:rPr>
          <w:rFonts w:ascii="Times New Roman" w:hAnsi="Times New Roman" w:cs="Times New Roman"/>
          <w:b/>
          <w:bCs/>
          <w:color w:val="000000" w:themeColor="text1"/>
        </w:rPr>
        <w:t xml:space="preserve">Mô hình vườn rừng theo hướng kinh tế tuần hoàn: Tiềm năng và giải pháp phát triển tại </w:t>
      </w:r>
      <w:r w:rsidR="00316C76">
        <w:rPr>
          <w:rFonts w:ascii="Times New Roman" w:hAnsi="Times New Roman" w:cs="Times New Roman"/>
          <w:b/>
          <w:bCs/>
          <w:color w:val="000000" w:themeColor="text1"/>
        </w:rPr>
        <w:t>V</w:t>
      </w:r>
      <w:r w:rsidRPr="004B68B0">
        <w:rPr>
          <w:rFonts w:ascii="Times New Roman" w:hAnsi="Times New Roman" w:cs="Times New Roman"/>
          <w:b/>
          <w:bCs/>
          <w:color w:val="000000" w:themeColor="text1"/>
        </w:rPr>
        <w:t xml:space="preserve">iệt </w:t>
      </w:r>
      <w:r w:rsidR="00316C76">
        <w:rPr>
          <w:rFonts w:ascii="Times New Roman" w:hAnsi="Times New Roman" w:cs="Times New Roman"/>
          <w:b/>
          <w:bCs/>
          <w:color w:val="000000" w:themeColor="text1"/>
        </w:rPr>
        <w:t>N</w:t>
      </w:r>
      <w:r w:rsidRPr="004B68B0">
        <w:rPr>
          <w:rFonts w:ascii="Times New Roman" w:hAnsi="Times New Roman" w:cs="Times New Roman"/>
          <w:b/>
          <w:bCs/>
          <w:color w:val="000000" w:themeColor="text1"/>
        </w:rPr>
        <w:t>am</w:t>
      </w:r>
    </w:p>
    <w:p w14:paraId="1D3478B8" w14:textId="56DFB20F" w:rsidR="0003608E" w:rsidRPr="00CC14F2" w:rsidRDefault="0003608E" w:rsidP="0014623F">
      <w:pPr>
        <w:spacing w:line="276" w:lineRule="auto"/>
        <w:jc w:val="center"/>
        <w:rPr>
          <w:rFonts w:ascii="Times New Roman" w:hAnsi="Times New Roman" w:cs="Times New Roman"/>
          <w:b/>
          <w:bCs/>
          <w:color w:val="000000" w:themeColor="text1"/>
          <w:vertAlign w:val="superscript"/>
        </w:rPr>
      </w:pPr>
      <w:r w:rsidRPr="004B68B0">
        <w:rPr>
          <w:rFonts w:ascii="Times New Roman" w:hAnsi="Times New Roman" w:cs="Times New Roman"/>
          <w:b/>
          <w:bCs/>
          <w:color w:val="000000" w:themeColor="text1"/>
        </w:rPr>
        <w:t>Nguyễn Trọng Tín</w:t>
      </w:r>
      <w:r w:rsidR="0014623F">
        <w:rPr>
          <w:rFonts w:ascii="Times New Roman" w:hAnsi="Times New Roman" w:cs="Times New Roman"/>
          <w:b/>
          <w:bCs/>
          <w:color w:val="000000" w:themeColor="text1"/>
          <w:vertAlign w:val="superscript"/>
        </w:rPr>
        <w:t>1</w:t>
      </w:r>
    </w:p>
    <w:p w14:paraId="09B1C56D" w14:textId="2E112286" w:rsidR="001210BA" w:rsidRPr="004B68B0" w:rsidRDefault="00954C21" w:rsidP="00D70335">
      <w:pPr>
        <w:widowControl w:val="0"/>
        <w:spacing w:after="0" w:line="276" w:lineRule="auto"/>
        <w:jc w:val="center"/>
        <w:rPr>
          <w:rStyle w:val="FootnoteReference"/>
          <w:rFonts w:ascii="Times New Roman" w:hAnsi="Times New Roman" w:cs="Times New Roman"/>
          <w:bCs/>
          <w:color w:val="000000" w:themeColor="text1"/>
          <w:vertAlign w:val="baseline"/>
        </w:rPr>
      </w:pPr>
      <w:r w:rsidRPr="004B68B0">
        <w:rPr>
          <w:rFonts w:ascii="Times New Roman" w:hAnsi="Times New Roman" w:cs="Times New Roman"/>
          <w:bCs/>
          <w:color w:val="000000" w:themeColor="text1"/>
          <w:vertAlign w:val="superscript"/>
        </w:rPr>
        <w:t>1</w:t>
      </w:r>
      <w:r w:rsidR="00CC14F2">
        <w:rPr>
          <w:rFonts w:ascii="Times New Roman" w:hAnsi="Times New Roman" w:cs="Times New Roman"/>
          <w:bCs/>
          <w:color w:val="000000" w:themeColor="text1"/>
          <w:vertAlign w:val="superscript"/>
        </w:rPr>
        <w:t xml:space="preserve"> </w:t>
      </w:r>
      <w:r w:rsidR="00A252A3">
        <w:rPr>
          <w:rFonts w:ascii="Times New Roman" w:hAnsi="Times New Roman" w:cs="Times New Roman"/>
          <w:bCs/>
          <w:color w:val="000000" w:themeColor="text1"/>
        </w:rPr>
        <w:t>G</w:t>
      </w:r>
      <w:r w:rsidR="001210BA" w:rsidRPr="004B68B0">
        <w:rPr>
          <w:rStyle w:val="FootnoteReference"/>
          <w:rFonts w:ascii="Times New Roman" w:hAnsi="Times New Roman" w:cs="Times New Roman"/>
          <w:bCs/>
          <w:color w:val="000000" w:themeColor="text1"/>
          <w:vertAlign w:val="baseline"/>
        </w:rPr>
        <w:t xml:space="preserve">iảng viên, </w:t>
      </w:r>
      <w:r w:rsidR="001210BA" w:rsidRPr="004B68B0">
        <w:rPr>
          <w:rFonts w:ascii="Times New Roman" w:hAnsi="Times New Roman" w:cs="Times New Roman"/>
          <w:color w:val="000000" w:themeColor="text1"/>
        </w:rPr>
        <w:t xml:space="preserve">Trường Đại học Quốc tế, </w:t>
      </w:r>
      <w:r w:rsidR="00A252A3" w:rsidRPr="00CC14F2">
        <w:rPr>
          <w:rFonts w:ascii="Times New Roman" w:hAnsi="Times New Roman" w:cs="Times New Roman"/>
          <w:bCs/>
          <w:color w:val="000000" w:themeColor="text1"/>
        </w:rPr>
        <w:t>Đại học Quốc gia Thành phố Hồ Chí Minh</w:t>
      </w:r>
    </w:p>
    <w:p w14:paraId="3ED77261" w14:textId="608C8F10" w:rsidR="0003608E" w:rsidRPr="004B68B0" w:rsidRDefault="0003608E" w:rsidP="0014623F">
      <w:pPr>
        <w:spacing w:line="276" w:lineRule="auto"/>
        <w:jc w:val="both"/>
        <w:rPr>
          <w:rFonts w:ascii="Times New Roman" w:hAnsi="Times New Roman" w:cs="Times New Roman"/>
          <w:b/>
          <w:bCs/>
          <w:color w:val="000000" w:themeColor="text1"/>
        </w:rPr>
      </w:pPr>
      <w:r w:rsidRPr="004B68B0">
        <w:rPr>
          <w:rFonts w:ascii="Times New Roman" w:hAnsi="Times New Roman" w:cs="Times New Roman"/>
          <w:b/>
          <w:bCs/>
          <w:color w:val="000000" w:themeColor="text1"/>
        </w:rPr>
        <w:t>TÓM TẮT</w:t>
      </w:r>
      <w:r w:rsidR="00954C21" w:rsidRPr="004B68B0">
        <w:rPr>
          <w:rFonts w:ascii="Times New Roman" w:hAnsi="Times New Roman" w:cs="Times New Roman"/>
          <w:b/>
          <w:bCs/>
          <w:color w:val="000000" w:themeColor="text1"/>
        </w:rPr>
        <w:t>:</w:t>
      </w:r>
    </w:p>
    <w:p w14:paraId="6A4BCCA0" w14:textId="372C0CA1" w:rsidR="0003608E" w:rsidRPr="004B68B0" w:rsidRDefault="0003608E" w:rsidP="0014623F">
      <w:pPr>
        <w:spacing w:line="276" w:lineRule="auto"/>
        <w:ind w:firstLine="720"/>
        <w:jc w:val="both"/>
        <w:rPr>
          <w:rFonts w:ascii="Times New Roman" w:hAnsi="Times New Roman" w:cs="Times New Roman"/>
          <w:color w:val="000000" w:themeColor="text1"/>
        </w:rPr>
      </w:pPr>
      <w:r w:rsidRPr="004B68B0">
        <w:rPr>
          <w:rFonts w:ascii="Times New Roman" w:hAnsi="Times New Roman" w:cs="Times New Roman"/>
          <w:color w:val="000000" w:themeColor="text1"/>
        </w:rPr>
        <w:t>Bài viết phân tích mô hình vườn rừng như một hệ thống sản xuất nông lâm kết hợp tiêu biểu, có khả năng tích hợp các nguyên lý của kinh tế tuần hoàn (KTTH) trong lĩnh vực lâm nghiệp Việt Nam. Thông qua tổng hợp tài liệu thứ cấp và phân tích thực trạng các mô hình vườn rừng hiện có tại một số địa phương, nghiên cứu đánh giá tiềm năng của hệ thống vườn rừng trong việc khép kín vòng tuần hoàn vật chất (biomass, chất thải hữu cơ, nước, dinh dưỡng đất), đa dạng hóa nguồn thu và giảm thiểu tác động môi trường. Kết quả cho thấy</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mô hình vườn rừng có thể tạo ra 3</w:t>
      </w:r>
      <w:r w:rsidR="00AE0421" w:rsidRPr="004B68B0">
        <w:rPr>
          <w:rFonts w:ascii="Times New Roman" w:hAnsi="Times New Roman" w:cs="Times New Roman"/>
          <w:color w:val="000000" w:themeColor="text1"/>
        </w:rPr>
        <w:t>-</w:t>
      </w:r>
      <w:r w:rsidRPr="004B68B0">
        <w:rPr>
          <w:rFonts w:ascii="Times New Roman" w:hAnsi="Times New Roman" w:cs="Times New Roman"/>
          <w:color w:val="000000" w:themeColor="text1"/>
        </w:rPr>
        <w:t>5 dòng giá trị tuần hoàn song song, đồng thời đóng góp vào tín chỉ carbon và dịch vụ hệ sinh thái. Bài viết đề xuất khung chính sách và giải pháp cụ thể nhằm nhân rộng mô hình này gắn với mục tiêu tăng trưởng xanh theo Quyết định số 222/QĐ-TTg ngày 23/1/2025 của Thủ tướng Chính phủ.</w:t>
      </w:r>
    </w:p>
    <w:p w14:paraId="3BDF46F8" w14:textId="48D517BD" w:rsidR="0003608E" w:rsidRPr="004B68B0" w:rsidRDefault="0003608E" w:rsidP="0014623F">
      <w:pPr>
        <w:spacing w:line="276" w:lineRule="auto"/>
        <w:jc w:val="both"/>
        <w:rPr>
          <w:rFonts w:ascii="Times New Roman" w:hAnsi="Times New Roman" w:cs="Times New Roman"/>
          <w:i/>
          <w:iCs/>
          <w:color w:val="000000" w:themeColor="text1"/>
        </w:rPr>
      </w:pPr>
      <w:r w:rsidRPr="004B68B0">
        <w:rPr>
          <w:rFonts w:ascii="Times New Roman" w:hAnsi="Times New Roman" w:cs="Times New Roman"/>
          <w:color w:val="000000" w:themeColor="text1"/>
        </w:rPr>
        <w:t>Từ khóa: vườn rừng, kinh tế tuần hoàn, nông</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lâm kết hợp, tăng trưởng xanh, lâm nghiệp bền vững</w:t>
      </w:r>
    </w:p>
    <w:p w14:paraId="176ADCC7" w14:textId="502EFFD7"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1. Đ</w:t>
      </w:r>
      <w:r w:rsidR="004B68B0" w:rsidRPr="004B68B0">
        <w:rPr>
          <w:rFonts w:ascii="Times New Roman" w:hAnsi="Times New Roman" w:cs="Times New Roman"/>
          <w:b/>
          <w:bCs/>
          <w:color w:val="000000" w:themeColor="text1"/>
        </w:rPr>
        <w:t>ặt vấn đề</w:t>
      </w:r>
    </w:p>
    <w:p w14:paraId="08576E40" w14:textId="77777777"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Ngành lâm nghiệp Việt Nam đang đứng trước cơ hội lớn khi các mô hình sản xuất bền vững ngày càng được coi trọng trong bối cảnh biến đổi khí hậu và suy giảm tài nguyên toàn cầu. Trong số các mô hình hiện có, vườn rừng (agroforestry/forest garden) nổi lên như một hệ thống canh tác tích hợp, kết hợp nhiều tầng cây trồng, vật nuôi và chu trình sinh thái tự nhiên trên cùng một diện tích đất lâm nghiệp.</w:t>
      </w:r>
    </w:p>
    <w:p w14:paraId="1D2D3F3B" w14:textId="24F905CA"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Kinh tế tuần hoàn (KTTH)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mô hình kinh tế mà trong đó vật liệu không trở thành chất thải mà được tái sinh liên tục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đang trở thành định hướng chiến lược của Việt Nam. Ngày 23/1/2025, Thủ tướng Chính phủ đã phê duyệt Kế hoạch Hành động </w:t>
      </w:r>
      <w:r w:rsidR="00A252A3">
        <w:rPr>
          <w:rFonts w:ascii="Times New Roman" w:hAnsi="Times New Roman" w:cs="Times New Roman"/>
          <w:color w:val="000000" w:themeColor="text1"/>
        </w:rPr>
        <w:t>q</w:t>
      </w:r>
      <w:r w:rsidRPr="004B68B0">
        <w:rPr>
          <w:rFonts w:ascii="Times New Roman" w:hAnsi="Times New Roman" w:cs="Times New Roman"/>
          <w:color w:val="000000" w:themeColor="text1"/>
        </w:rPr>
        <w:t xml:space="preserve">uốc gia về </w:t>
      </w:r>
      <w:r w:rsidR="00A252A3">
        <w:rPr>
          <w:rFonts w:ascii="Times New Roman" w:hAnsi="Times New Roman" w:cs="Times New Roman"/>
          <w:color w:val="000000" w:themeColor="text1"/>
        </w:rPr>
        <w:t>k</w:t>
      </w:r>
      <w:r w:rsidRPr="004B68B0">
        <w:rPr>
          <w:rFonts w:ascii="Times New Roman" w:hAnsi="Times New Roman" w:cs="Times New Roman"/>
          <w:color w:val="000000" w:themeColor="text1"/>
        </w:rPr>
        <w:t xml:space="preserve">inh tế </w:t>
      </w:r>
      <w:r w:rsidR="00A252A3">
        <w:rPr>
          <w:rFonts w:ascii="Times New Roman" w:hAnsi="Times New Roman" w:cs="Times New Roman"/>
          <w:color w:val="000000" w:themeColor="text1"/>
        </w:rPr>
        <w:t>t</w:t>
      </w:r>
      <w:r w:rsidRPr="004B68B0">
        <w:rPr>
          <w:rFonts w:ascii="Times New Roman" w:hAnsi="Times New Roman" w:cs="Times New Roman"/>
          <w:color w:val="000000" w:themeColor="text1"/>
        </w:rPr>
        <w:t xml:space="preserve">uần hoàn đến năm 2035 (Quyết định </w:t>
      </w:r>
      <w:r w:rsidR="00A252A3">
        <w:rPr>
          <w:rFonts w:ascii="Times New Roman" w:hAnsi="Times New Roman" w:cs="Times New Roman"/>
          <w:color w:val="000000" w:themeColor="text1"/>
        </w:rPr>
        <w:t xml:space="preserve">số </w:t>
      </w:r>
      <w:r w:rsidRPr="004B68B0">
        <w:rPr>
          <w:rFonts w:ascii="Times New Roman" w:hAnsi="Times New Roman" w:cs="Times New Roman"/>
          <w:color w:val="000000" w:themeColor="text1"/>
        </w:rPr>
        <w:t>222/QĐ-TTg), khẳng định KTTH là một trong những trụ cột của tăng trưởng xanh quốc gia. Trong lĩnh vực lâm nghiệp, KTTH hướng đến việc tối đa hóa giá trị từ mỗi đơn vị tài nguyên rừng, giảm phế thải sinh khối và tái tích hợp các dòng vật chất vào chu trình sản xuất.</w:t>
      </w:r>
    </w:p>
    <w:p w14:paraId="6BDF73D4" w14:textId="005FD5ED"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Tuy nhiên, cho đến nay vẫn chưa có nghiên cứu hệ thống nào đánh giá vườn rừng như một mô hình KTTH trong bối cảnh lâm nghiệp Việt Nam. Bài viết này lấp đầy khoảng trống đó bằng cách phân tích cơ sở lý luận, thực trạng và đề xuất giải pháp nhân rộng mô hình vườn rừng theo hướng KTTH, hướng tới mục tiêu phát triển bền vững giai đoạn 2025</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2035.</w:t>
      </w:r>
    </w:p>
    <w:p w14:paraId="1B1FB7CD" w14:textId="5E3E2586"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 xml:space="preserve">2. </w:t>
      </w:r>
      <w:r w:rsidR="004B68B0" w:rsidRPr="004B68B0">
        <w:rPr>
          <w:rFonts w:ascii="Times New Roman" w:hAnsi="Times New Roman" w:cs="Times New Roman"/>
          <w:b/>
          <w:bCs/>
          <w:color w:val="000000" w:themeColor="text1"/>
        </w:rPr>
        <w:t>Cơ sở lý luận và phương pháp nghiên cứu</w:t>
      </w:r>
    </w:p>
    <w:p w14:paraId="093AF7CC" w14:textId="77777777" w:rsidR="00AE0421" w:rsidRPr="00687CBF" w:rsidRDefault="00AE042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2.1. Khái niệm vườn rừng và kinh tế tuần hoàn</w:t>
      </w:r>
    </w:p>
    <w:p w14:paraId="3640F473" w14:textId="0CB13B0C"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Vườn rừng là hệ thống quản lý đất đai theo nguyên lý nông</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lâm kết hợp (agroforestry), trong đó cây gỗ lâu năm, cây ăn quả, cây dược liệu, cây ngắn ngày và vật nuôi được bố trí theo không gian và thời gian nhằm tối ưu hóa sử dụng ánh sáng, nước, dinh dưỡng và đa dạng sinh học. </w:t>
      </w:r>
      <w:r w:rsidR="00654273" w:rsidRPr="004B68B0">
        <w:rPr>
          <w:rFonts w:ascii="Times New Roman" w:hAnsi="Times New Roman" w:cs="Times New Roman"/>
          <w:color w:val="000000" w:themeColor="text1"/>
        </w:rPr>
        <w:lastRenderedPageBreak/>
        <w:t xml:space="preserve">Theo </w:t>
      </w:r>
      <w:r w:rsidR="001A3646" w:rsidRPr="004B68B0">
        <w:rPr>
          <w:rFonts w:ascii="Times New Roman" w:hAnsi="Times New Roman" w:cs="Times New Roman"/>
          <w:color w:val="000000" w:themeColor="text1"/>
        </w:rPr>
        <w:t xml:space="preserve">Gauly và cộng sự </w:t>
      </w:r>
      <w:r w:rsidR="00654273" w:rsidRPr="004B68B0">
        <w:rPr>
          <w:rFonts w:ascii="Times New Roman" w:hAnsi="Times New Roman" w:cs="Times New Roman"/>
          <w:color w:val="000000" w:themeColor="text1"/>
        </w:rPr>
        <w:t>(2025), vườn rừng và vườn thực phẩm (food forest/forest garden) là các hệ thống nông</w:t>
      </w:r>
      <w:r w:rsidR="00A252A3">
        <w:rPr>
          <w:rFonts w:ascii="Times New Roman" w:hAnsi="Times New Roman" w:cs="Times New Roman"/>
          <w:color w:val="000000" w:themeColor="text1"/>
        </w:rPr>
        <w:t>,</w:t>
      </w:r>
      <w:r w:rsidR="00654273" w:rsidRPr="004B68B0">
        <w:rPr>
          <w:rFonts w:ascii="Times New Roman" w:hAnsi="Times New Roman" w:cs="Times New Roman"/>
          <w:color w:val="000000" w:themeColor="text1"/>
        </w:rPr>
        <w:t xml:space="preserve"> lâm kết hợp đa chức năng tích hợp nhiều tầng thực vật lâu năm với trồng trọt và chăn nuôi, trong đó phụ phẩm và chất thải của mỗi tầng trở thành đầu vào cho tầng kế tiếp, tạo nên vòng tuần hoàn vật chất khép kín ngay trong bản thân hệ thống.</w:t>
      </w:r>
    </w:p>
    <w:p w14:paraId="74EEA11D" w14:textId="1DC8F661"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Kinh tế tuần hoàn, theo định nghĩa của </w:t>
      </w:r>
      <w:r w:rsidR="00CB34A5" w:rsidRPr="004B68B0">
        <w:rPr>
          <w:rFonts w:ascii="Times New Roman" w:hAnsi="Times New Roman" w:cs="Times New Roman"/>
          <w:color w:val="000000" w:themeColor="text1"/>
        </w:rPr>
        <w:t>MacArthur (2013)</w:t>
      </w:r>
      <w:r w:rsidRPr="004B68B0">
        <w:rPr>
          <w:rFonts w:ascii="Times New Roman" w:hAnsi="Times New Roman" w:cs="Times New Roman"/>
          <w:color w:val="000000" w:themeColor="text1"/>
        </w:rPr>
        <w:t xml:space="preserve">, là </w:t>
      </w:r>
      <w:r w:rsidRPr="004B68B0">
        <w:rPr>
          <w:rFonts w:ascii="Times New Roman" w:hAnsi="Times New Roman" w:cs="Times New Roman"/>
          <w:i/>
          <w:iCs/>
          <w:color w:val="000000" w:themeColor="text1"/>
        </w:rPr>
        <w:t>“một hệ thống trong đó vật liệu không bao giờ trở thành rác thải mà được tái sinh”</w:t>
      </w:r>
      <w:r w:rsidRPr="004B68B0">
        <w:rPr>
          <w:rFonts w:ascii="Times New Roman" w:hAnsi="Times New Roman" w:cs="Times New Roman"/>
          <w:color w:val="000000" w:themeColor="text1"/>
        </w:rPr>
        <w:t xml:space="preserve"> thông qua các quy trình bảo trì, tái sử dụng, tân trang, tái sản xuất và tái chế. </w:t>
      </w:r>
      <w:r w:rsidR="00654273" w:rsidRPr="004B68B0">
        <w:rPr>
          <w:rFonts w:ascii="Times New Roman" w:hAnsi="Times New Roman" w:cs="Times New Roman"/>
          <w:color w:val="000000" w:themeColor="text1"/>
        </w:rPr>
        <w:t xml:space="preserve">Về mặt học thuật, Geissdoerfer và cộng sự (2017) định nghĩa KTTH là "hệ thống tái tạo trong đó đầu vào tài nguyên, chất thải, phát thải và rò rỉ năng lượng được giảm thiểu tối đa thông qua làm chậm, đóng kín và thu hẹp các vòng vật chất và năng lượng". </w:t>
      </w:r>
      <w:r w:rsidRPr="004B68B0">
        <w:rPr>
          <w:rFonts w:ascii="Times New Roman" w:hAnsi="Times New Roman" w:cs="Times New Roman"/>
          <w:color w:val="000000" w:themeColor="text1"/>
        </w:rPr>
        <w:t xml:space="preserve">Tại Việt Nam, khái niệm này được ấn định tại Điều 142 Luật Bảo vệ môi trường năm 2020 và được cụ thể hóa qua nhiều quyết định của Thủ tướng Chính phủ từ năm 2021 đến </w:t>
      </w:r>
      <w:r w:rsidR="00D70335">
        <w:rPr>
          <w:rFonts w:ascii="Times New Roman" w:hAnsi="Times New Roman" w:cs="Times New Roman"/>
          <w:color w:val="000000" w:themeColor="text1"/>
        </w:rPr>
        <w:t xml:space="preserve">năm </w:t>
      </w:r>
      <w:r w:rsidRPr="004B68B0">
        <w:rPr>
          <w:rFonts w:ascii="Times New Roman" w:hAnsi="Times New Roman" w:cs="Times New Roman"/>
          <w:color w:val="000000" w:themeColor="text1"/>
        </w:rPr>
        <w:t>2025.</w:t>
      </w:r>
    </w:p>
    <w:p w14:paraId="308B2A59" w14:textId="77777777" w:rsidR="00AE0421" w:rsidRPr="00687CBF" w:rsidRDefault="00AE042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2.2. Sự giao thoa giữa vườn rừng và kinh tế tuần hoàn</w:t>
      </w:r>
    </w:p>
    <w:p w14:paraId="58B7C37B" w14:textId="6F8EF8E2" w:rsidR="00AE0421" w:rsidRPr="004B68B0" w:rsidRDefault="00AE042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Vườn rừng và KTTH có chung nền tảng triết học: mô phỏng chu trình tự nhiên, tối thiểu hóa đầu vào bên ngoài và tối đa hóa vòng lặp nội bộ. Điểm giao thoa giữa </w:t>
      </w:r>
      <w:r w:rsidR="00A252A3">
        <w:rPr>
          <w:rFonts w:ascii="Times New Roman" w:hAnsi="Times New Roman" w:cs="Times New Roman"/>
          <w:color w:val="000000" w:themeColor="text1"/>
        </w:rPr>
        <w:t>2</w:t>
      </w:r>
      <w:r w:rsidR="00A252A3" w:rsidRPr="004B68B0">
        <w:rPr>
          <w:rFonts w:ascii="Times New Roman" w:hAnsi="Times New Roman" w:cs="Times New Roman"/>
          <w:color w:val="000000" w:themeColor="text1"/>
        </w:rPr>
        <w:t xml:space="preserve"> </w:t>
      </w:r>
      <w:r w:rsidRPr="004B68B0">
        <w:rPr>
          <w:rFonts w:ascii="Times New Roman" w:hAnsi="Times New Roman" w:cs="Times New Roman"/>
          <w:color w:val="000000" w:themeColor="text1"/>
        </w:rPr>
        <w:t xml:space="preserve">khái niệm có thể được hình dung qua </w:t>
      </w:r>
      <w:r w:rsidR="00A252A3">
        <w:rPr>
          <w:rFonts w:ascii="Times New Roman" w:hAnsi="Times New Roman" w:cs="Times New Roman"/>
          <w:color w:val="000000" w:themeColor="text1"/>
        </w:rPr>
        <w:t>4</w:t>
      </w:r>
      <w:r w:rsidR="00A252A3" w:rsidRPr="004B68B0">
        <w:rPr>
          <w:rFonts w:ascii="Times New Roman" w:hAnsi="Times New Roman" w:cs="Times New Roman"/>
          <w:color w:val="000000" w:themeColor="text1"/>
        </w:rPr>
        <w:t xml:space="preserve"> </w:t>
      </w:r>
      <w:r w:rsidRPr="004B68B0">
        <w:rPr>
          <w:rFonts w:ascii="Times New Roman" w:hAnsi="Times New Roman" w:cs="Times New Roman"/>
          <w:color w:val="000000" w:themeColor="text1"/>
        </w:rPr>
        <w:t>nguyên lý cốt lõi:</w:t>
      </w:r>
    </w:p>
    <w:p w14:paraId="1CD33016" w14:textId="77777777" w:rsidR="00AE0421" w:rsidRPr="004B68B0" w:rsidRDefault="00AE0421" w:rsidP="0014623F">
      <w:pPr>
        <w:numPr>
          <w:ilvl w:val="0"/>
          <w:numId w:val="1"/>
        </w:numPr>
        <w:spacing w:after="0" w:line="276" w:lineRule="auto"/>
        <w:jc w:val="both"/>
        <w:rPr>
          <w:rFonts w:ascii="Times New Roman" w:hAnsi="Times New Roman" w:cs="Times New Roman"/>
          <w:color w:val="000000" w:themeColor="text1"/>
        </w:rPr>
      </w:pPr>
      <w:r w:rsidRPr="004B68B0">
        <w:rPr>
          <w:rFonts w:ascii="Times New Roman" w:hAnsi="Times New Roman" w:cs="Times New Roman"/>
          <w:i/>
          <w:iCs/>
          <w:color w:val="000000" w:themeColor="text1"/>
        </w:rPr>
        <w:t>Nguyên lý tuần hoàn sinh khối:</w:t>
      </w:r>
      <w:r w:rsidRPr="004B68B0">
        <w:rPr>
          <w:rFonts w:ascii="Times New Roman" w:hAnsi="Times New Roman" w:cs="Times New Roman"/>
          <w:color w:val="000000" w:themeColor="text1"/>
        </w:rPr>
        <w:t xml:space="preserve"> Lá cành, vỏ quả, phân chuồng được ủ compost hoặc làm thức ăn chăn nuôi, sau đó quay trở lại bón cho đất rừng.</w:t>
      </w:r>
    </w:p>
    <w:p w14:paraId="6CE86CC5" w14:textId="77777777" w:rsidR="00AE0421" w:rsidRPr="004B68B0" w:rsidRDefault="00AE0421" w:rsidP="0014623F">
      <w:pPr>
        <w:numPr>
          <w:ilvl w:val="0"/>
          <w:numId w:val="1"/>
        </w:numPr>
        <w:spacing w:after="0" w:line="276" w:lineRule="auto"/>
        <w:jc w:val="both"/>
        <w:rPr>
          <w:rFonts w:ascii="Times New Roman" w:hAnsi="Times New Roman" w:cs="Times New Roman"/>
          <w:color w:val="000000" w:themeColor="text1"/>
        </w:rPr>
      </w:pPr>
      <w:r w:rsidRPr="004B68B0">
        <w:rPr>
          <w:rFonts w:ascii="Times New Roman" w:hAnsi="Times New Roman" w:cs="Times New Roman"/>
          <w:i/>
          <w:iCs/>
          <w:color w:val="000000" w:themeColor="text1"/>
        </w:rPr>
        <w:t>Nguyên lý tầng giá trị đa dụng:</w:t>
      </w:r>
      <w:r w:rsidRPr="004B68B0">
        <w:rPr>
          <w:rFonts w:ascii="Times New Roman" w:hAnsi="Times New Roman" w:cs="Times New Roman"/>
          <w:color w:val="000000" w:themeColor="text1"/>
        </w:rPr>
        <w:t xml:space="preserve"> Mỗi loài cây trong hệ thống tạo ra nhiều sản phẩm đồng thời (gỗ, quả, hoa, tinh dầu, dược liệu, bóng mát, hấp thụ carbon).</w:t>
      </w:r>
    </w:p>
    <w:p w14:paraId="2BA1A4EC" w14:textId="77777777" w:rsidR="00AE0421" w:rsidRPr="004B68B0" w:rsidRDefault="00AE0421" w:rsidP="0014623F">
      <w:pPr>
        <w:numPr>
          <w:ilvl w:val="0"/>
          <w:numId w:val="1"/>
        </w:numPr>
        <w:spacing w:after="0" w:line="276" w:lineRule="auto"/>
        <w:jc w:val="both"/>
        <w:rPr>
          <w:rFonts w:ascii="Times New Roman" w:hAnsi="Times New Roman" w:cs="Times New Roman"/>
          <w:color w:val="000000" w:themeColor="text1"/>
        </w:rPr>
      </w:pPr>
      <w:r w:rsidRPr="004B68B0">
        <w:rPr>
          <w:rFonts w:ascii="Times New Roman" w:hAnsi="Times New Roman" w:cs="Times New Roman"/>
          <w:i/>
          <w:iCs/>
          <w:color w:val="000000" w:themeColor="text1"/>
        </w:rPr>
        <w:t>Nguyên lý tái tích hợp nước:</w:t>
      </w:r>
      <w:r w:rsidRPr="004B68B0">
        <w:rPr>
          <w:rFonts w:ascii="Times New Roman" w:hAnsi="Times New Roman" w:cs="Times New Roman"/>
          <w:color w:val="000000" w:themeColor="text1"/>
        </w:rPr>
        <w:t xml:space="preserve"> Nước mưa được giữ lại qua thảm thực vật nhiều tầng, tái sử dụng tuần hoàn trong ao nuôi thủy sản và tưới cho cây trồng.</w:t>
      </w:r>
    </w:p>
    <w:p w14:paraId="7340C62D" w14:textId="720D413A" w:rsidR="00AE0421" w:rsidRPr="004B68B0" w:rsidRDefault="00AE0421" w:rsidP="0014623F">
      <w:pPr>
        <w:numPr>
          <w:ilvl w:val="0"/>
          <w:numId w:val="1"/>
        </w:numPr>
        <w:spacing w:line="276" w:lineRule="auto"/>
        <w:jc w:val="both"/>
        <w:rPr>
          <w:rFonts w:ascii="Times New Roman" w:hAnsi="Times New Roman" w:cs="Times New Roman"/>
          <w:color w:val="000000" w:themeColor="text1"/>
        </w:rPr>
      </w:pPr>
      <w:r w:rsidRPr="004B68B0">
        <w:rPr>
          <w:rFonts w:ascii="Times New Roman" w:hAnsi="Times New Roman" w:cs="Times New Roman"/>
          <w:i/>
          <w:iCs/>
          <w:color w:val="000000" w:themeColor="text1"/>
        </w:rPr>
        <w:t>Nguyên lý dịch vụ sinh thái:</w:t>
      </w:r>
      <w:r w:rsidRPr="004B68B0">
        <w:rPr>
          <w:rFonts w:ascii="Times New Roman" w:hAnsi="Times New Roman" w:cs="Times New Roman"/>
          <w:color w:val="000000" w:themeColor="text1"/>
        </w:rPr>
        <w:t xml:space="preserve"> Rừng trong hệ thống vườn rừng cung cấp dịch vụ điều tiết khí hậu, bảo vệ đất và tín chỉ carbon </w:t>
      </w:r>
      <w:r w:rsidR="00F657B1" w:rsidRPr="004B68B0">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đây là "sản phẩm" tuần hoàn vô hình có giá trị kinh tế ngày càng tăng.</w:t>
      </w:r>
    </w:p>
    <w:p w14:paraId="3FD57B70" w14:textId="77777777" w:rsidR="00F657B1" w:rsidRPr="00687CBF" w:rsidRDefault="00F657B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2.3. Phương pháp nghiên cứu</w:t>
      </w:r>
    </w:p>
    <w:p w14:paraId="46DD8C3D" w14:textId="5AEEE49F" w:rsidR="003A1980" w:rsidRPr="004B68B0" w:rsidRDefault="00654273"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Nghiên cứu sử dụng phương pháp tổng hợp tài liệu thứ cấp, kết hợp phân tích so sánh các mô hình vườn rừng tại Hà Tĩnh, Lâm Đồng và các tỉnh miền núi phía Bắc. Nguồn dữ liệu bao gồm: báo cáo của </w:t>
      </w:r>
      <w:r w:rsidR="004B68B0">
        <w:rPr>
          <w:rFonts w:ascii="Times New Roman" w:hAnsi="Times New Roman" w:cs="Times New Roman"/>
          <w:color w:val="000000" w:themeColor="text1"/>
        </w:rPr>
        <w:t xml:space="preserve">Cục </w:t>
      </w:r>
      <w:r w:rsidRPr="004B68B0">
        <w:rPr>
          <w:rFonts w:ascii="Times New Roman" w:hAnsi="Times New Roman" w:cs="Times New Roman"/>
          <w:color w:val="000000" w:themeColor="text1"/>
        </w:rPr>
        <w:t>Thống kê (2026), Bộ Nông nghiệp và Phát triển nông thôn, các nghiên cứu đăng trên tạp chí khoa học trong và ngoài nước giai đoạn 2020</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2025), cùng các văn bản chính sách liên quan.</w:t>
      </w:r>
    </w:p>
    <w:p w14:paraId="18CDC8AB" w14:textId="796A8F9B" w:rsidR="00F657B1" w:rsidRPr="004B68B0" w:rsidRDefault="00F657B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 xml:space="preserve">3. </w:t>
      </w:r>
      <w:r w:rsidR="004B68B0" w:rsidRPr="004B68B0">
        <w:rPr>
          <w:rFonts w:ascii="Times New Roman" w:hAnsi="Times New Roman" w:cs="Times New Roman"/>
          <w:b/>
          <w:bCs/>
          <w:color w:val="000000" w:themeColor="text1"/>
        </w:rPr>
        <w:t>Thực trạng mô hình vườn rừng tại việt nam</w:t>
      </w:r>
    </w:p>
    <w:p w14:paraId="4AA3E720" w14:textId="77777777" w:rsidR="00F657B1" w:rsidRPr="00687CBF" w:rsidRDefault="00F657B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3.1. Hiện trạng và phân bố</w:t>
      </w:r>
    </w:p>
    <w:p w14:paraId="0CE69E54" w14:textId="08D66CAB" w:rsidR="00F657B1" w:rsidRPr="004B68B0" w:rsidRDefault="00F657B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Mô hình vườn rừng ở Việt Nam hiện tồn tại dưới nhiều biến thể: vườn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ao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chuồng (VAC), vườn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ao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chuồng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rừng (VACR), nông</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lâm kết hợp và hệ thống đa tầng tán. Đây đều được nhìn nhận là các mô hình KTTH trong nông nghiệp giản đơn, đặc biệt phổ biến tại các tỉnh miền núi và trung du Việt Nam.</w:t>
      </w:r>
    </w:p>
    <w:p w14:paraId="28421D22" w14:textId="25139452" w:rsidR="00820007" w:rsidRPr="00687CBF" w:rsidRDefault="00820007" w:rsidP="0014623F">
      <w:pPr>
        <w:spacing w:line="276" w:lineRule="auto"/>
        <w:jc w:val="both"/>
        <w:rPr>
          <w:rFonts w:ascii="Times New Roman" w:hAnsi="Times New Roman" w:cs="Times New Roman"/>
          <w:color w:val="000000" w:themeColor="text1"/>
        </w:rPr>
      </w:pPr>
      <w:r w:rsidRPr="00687CBF">
        <w:rPr>
          <w:rFonts w:ascii="Times New Roman" w:hAnsi="Times New Roman" w:cs="Times New Roman"/>
          <w:color w:val="000000" w:themeColor="text1"/>
        </w:rPr>
        <w:t>Tại tỉnh Lào Cai, phát triển kinh tế vườn rừng theo hướng nông</w:t>
      </w:r>
      <w:r w:rsidR="00C05089">
        <w:rPr>
          <w:rFonts w:ascii="Times New Roman" w:hAnsi="Times New Roman" w:cs="Times New Roman"/>
          <w:color w:val="000000" w:themeColor="text1"/>
        </w:rPr>
        <w:t xml:space="preserve">, </w:t>
      </w:r>
      <w:r w:rsidRPr="00687CBF">
        <w:rPr>
          <w:rFonts w:ascii="Times New Roman" w:hAnsi="Times New Roman" w:cs="Times New Roman"/>
          <w:color w:val="000000" w:themeColor="text1"/>
        </w:rPr>
        <w:t xml:space="preserve">lâm kết hợp đã trở thành một trong những hướng đi trọng tâm, mang lại kết quả rõ rệt trong những năm gần đây. Tỉnh đẩy </w:t>
      </w:r>
      <w:r w:rsidRPr="00687CBF">
        <w:rPr>
          <w:rFonts w:ascii="Times New Roman" w:hAnsi="Times New Roman" w:cs="Times New Roman"/>
          <w:color w:val="000000" w:themeColor="text1"/>
        </w:rPr>
        <w:lastRenderedPageBreak/>
        <w:t xml:space="preserve">mạnh các mô hình kết hợp trồng rừng gỗ lớn, trồng quế, khai thác lâm sản ngoài gỗ (măng, hạt, dược liệu) cùng với chăn nuôi và phát triển vườn ươm cây giống theo chuỗi giá trị khép kín. Năm 2024, toàn tỉnh khai thác trên 130.000 m³ gỗ, hơn 89.000 tấn lâm sản ngoài gỗ và hơn 157.000 tấn quế các loại; tổng thu nhập từ rừng của các tổ chức và hộ gia đình trên địa bàn ước đạt 3.828 tỷ đồng, tăng 13% so với năm 2023 (Kim Thoa, 2025). </w:t>
      </w:r>
    </w:p>
    <w:p w14:paraId="7C2F5B14" w14:textId="06310D83" w:rsidR="00F657B1" w:rsidRPr="004B68B0" w:rsidRDefault="00820007" w:rsidP="0014623F">
      <w:pPr>
        <w:spacing w:line="276" w:lineRule="auto"/>
        <w:jc w:val="both"/>
        <w:rPr>
          <w:rFonts w:ascii="Times New Roman" w:hAnsi="Times New Roman" w:cs="Times New Roman"/>
          <w:color w:val="000000" w:themeColor="text1"/>
        </w:rPr>
      </w:pPr>
      <w:r w:rsidRPr="00687CBF">
        <w:rPr>
          <w:rFonts w:ascii="Times New Roman" w:hAnsi="Times New Roman" w:cs="Times New Roman"/>
          <w:color w:val="000000" w:themeColor="text1"/>
        </w:rPr>
        <w:t>Tại Lâm Đồng, ngành Nông nghiệp</w:t>
      </w:r>
      <w:r w:rsidR="00D70335">
        <w:rPr>
          <w:rFonts w:ascii="Times New Roman" w:hAnsi="Times New Roman" w:cs="Times New Roman"/>
          <w:color w:val="000000" w:themeColor="text1"/>
        </w:rPr>
        <w:t xml:space="preserve"> của</w:t>
      </w:r>
      <w:r w:rsidRPr="00687CBF">
        <w:rPr>
          <w:rFonts w:ascii="Times New Roman" w:hAnsi="Times New Roman" w:cs="Times New Roman"/>
          <w:color w:val="000000" w:themeColor="text1"/>
        </w:rPr>
        <w:t xml:space="preserve"> tỉnh đang xây dựng các mô hình nông nghiệp tuần hoàn kết hợp trồng trọt, chăn nuôi, thủy sản và lâm nghiệp nhằm tái sử dụng phụ phẩm của ngành này làm đầu vào của ngành kia. Theo số liệu tổng hợp chưa đầy đủ, toàn tỉnh Lâm Đồng đã phân loại được gần 2,7 triệu tấn phụ phẩm nông lâm nghiệp trong năm 2023 - trong đó từ 75,7% đến 96,7% được xử lý theo quy trình tuần hoàn, phần còn lại vẫn bị tiêu hủy hoặc thải ra môi trường. Đây là nguồn tài nguyên quan trọng cho ngành sản xuất phân bón hữu cơ, năng lượng sinh khối và thức ăn chăn nuôi trên địa bàn tỉnh </w:t>
      </w:r>
      <w:r w:rsidR="00316C76" w:rsidRPr="00687CBF">
        <w:rPr>
          <w:rFonts w:ascii="Times New Roman" w:hAnsi="Times New Roman" w:cs="Times New Roman"/>
          <w:color w:val="000000" w:themeColor="text1"/>
        </w:rPr>
        <w:t>(Văn Việt, 2024)</w:t>
      </w:r>
      <w:r w:rsidR="00D70335">
        <w:rPr>
          <w:rFonts w:ascii="Times New Roman" w:hAnsi="Times New Roman" w:cs="Times New Roman"/>
          <w:color w:val="000000" w:themeColor="text1"/>
        </w:rPr>
        <w:t>.</w:t>
      </w:r>
    </w:p>
    <w:p w14:paraId="677B5C4D" w14:textId="77777777" w:rsidR="00F657B1" w:rsidRPr="00687CBF" w:rsidRDefault="00F657B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3.2. Các dòng tuần hoàn tiêu biểu trong vườn rừng</w:t>
      </w:r>
    </w:p>
    <w:p w14:paraId="2F778A0C" w14:textId="4BF5C3B4" w:rsidR="00F657B1" w:rsidRPr="004B68B0" w:rsidRDefault="00F657B1" w:rsidP="0014623F">
      <w:pPr>
        <w:spacing w:line="276" w:lineRule="auto"/>
        <w:ind w:firstLine="720"/>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Qua phân tích thực tiễn, có thể xác định ít nhất 5 dòng tuần hoàn vật chất và giá trị trong mô hình vườn rừng điển hình tại Việt Nam, được tổng hợp trong </w:t>
      </w:r>
      <w:r w:rsidRPr="004B68B0">
        <w:rPr>
          <w:rFonts w:ascii="Times New Roman" w:hAnsi="Times New Roman" w:cs="Times New Roman"/>
          <w:i/>
          <w:iCs/>
          <w:color w:val="000000" w:themeColor="text1"/>
        </w:rPr>
        <w:t>Bảng 1</w:t>
      </w:r>
      <w:r w:rsidRPr="004B68B0">
        <w:rPr>
          <w:rFonts w:ascii="Times New Roman" w:hAnsi="Times New Roman" w:cs="Times New Roman"/>
          <w:color w:val="000000" w:themeColor="text1"/>
        </w:rPr>
        <w:t xml:space="preserve"> dưới đây.</w:t>
      </w:r>
    </w:p>
    <w:p w14:paraId="1532FBF2" w14:textId="77777777" w:rsidR="00F657B1" w:rsidRPr="004B68B0" w:rsidRDefault="00F657B1" w:rsidP="0014623F">
      <w:pPr>
        <w:spacing w:line="276" w:lineRule="auto"/>
        <w:jc w:val="center"/>
        <w:rPr>
          <w:rFonts w:ascii="Times New Roman" w:hAnsi="Times New Roman" w:cs="Times New Roman"/>
          <w:color w:val="000000" w:themeColor="text1"/>
        </w:rPr>
      </w:pPr>
      <w:r w:rsidRPr="004B68B0">
        <w:rPr>
          <w:rFonts w:ascii="Times New Roman" w:hAnsi="Times New Roman" w:cs="Times New Roman"/>
          <w:b/>
          <w:bCs/>
          <w:i/>
          <w:iCs/>
          <w:color w:val="000000" w:themeColor="text1"/>
        </w:rPr>
        <w:t>Bảng 1. Các dòng tuần hoàn trong mô hình vườn rừng</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7"/>
        <w:gridCol w:w="3879"/>
        <w:gridCol w:w="3600"/>
      </w:tblGrid>
      <w:tr w:rsidR="004B68B0" w:rsidRPr="004B68B0" w14:paraId="7E8FA3BC" w14:textId="77777777" w:rsidTr="003A1980">
        <w:trPr>
          <w:tblHeader/>
        </w:trPr>
        <w:tc>
          <w:tcPr>
            <w:tcW w:w="2157"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hideMark/>
          </w:tcPr>
          <w:p w14:paraId="5FF84110" w14:textId="77777777" w:rsidR="00F657B1" w:rsidRPr="004B68B0" w:rsidRDefault="00F657B1" w:rsidP="00A0416C">
            <w:pPr>
              <w:spacing w:after="0" w:line="240" w:lineRule="auto"/>
              <w:jc w:val="center"/>
              <w:rPr>
                <w:rFonts w:ascii="Times New Roman" w:hAnsi="Times New Roman" w:cs="Times New Roman"/>
                <w:color w:val="000000" w:themeColor="text1"/>
              </w:rPr>
            </w:pPr>
            <w:r w:rsidRPr="004B68B0">
              <w:rPr>
                <w:rFonts w:ascii="Times New Roman" w:hAnsi="Times New Roman" w:cs="Times New Roman"/>
                <w:b/>
                <w:bCs/>
                <w:color w:val="000000" w:themeColor="text1"/>
              </w:rPr>
              <w:t>Dòng tuần hoàn</w:t>
            </w:r>
          </w:p>
        </w:tc>
        <w:tc>
          <w:tcPr>
            <w:tcW w:w="3879"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hideMark/>
          </w:tcPr>
          <w:p w14:paraId="51E4EDF6" w14:textId="77777777" w:rsidR="00F657B1" w:rsidRPr="004B68B0" w:rsidRDefault="00F657B1" w:rsidP="00A0416C">
            <w:pPr>
              <w:spacing w:after="0" w:line="240" w:lineRule="auto"/>
              <w:jc w:val="center"/>
              <w:rPr>
                <w:rFonts w:ascii="Times New Roman" w:hAnsi="Times New Roman" w:cs="Times New Roman"/>
                <w:color w:val="000000" w:themeColor="text1"/>
              </w:rPr>
            </w:pPr>
            <w:r w:rsidRPr="004B68B0">
              <w:rPr>
                <w:rFonts w:ascii="Times New Roman" w:hAnsi="Times New Roman" w:cs="Times New Roman"/>
                <w:b/>
                <w:bCs/>
                <w:color w:val="000000" w:themeColor="text1"/>
              </w:rPr>
              <w:t>Mô tả cơ chế</w:t>
            </w:r>
          </w:p>
        </w:tc>
        <w:tc>
          <w:tcPr>
            <w:tcW w:w="36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hideMark/>
          </w:tcPr>
          <w:p w14:paraId="5689C677" w14:textId="77777777" w:rsidR="00F657B1" w:rsidRPr="004B68B0" w:rsidRDefault="00F657B1" w:rsidP="00A0416C">
            <w:pPr>
              <w:spacing w:after="0" w:line="240" w:lineRule="auto"/>
              <w:jc w:val="center"/>
              <w:rPr>
                <w:rFonts w:ascii="Times New Roman" w:hAnsi="Times New Roman" w:cs="Times New Roman"/>
                <w:color w:val="000000" w:themeColor="text1"/>
              </w:rPr>
            </w:pPr>
            <w:r w:rsidRPr="004B68B0">
              <w:rPr>
                <w:rFonts w:ascii="Times New Roman" w:hAnsi="Times New Roman" w:cs="Times New Roman"/>
                <w:b/>
                <w:bCs/>
                <w:color w:val="000000" w:themeColor="text1"/>
              </w:rPr>
              <w:t>Sản phẩm/Lợi ích</w:t>
            </w:r>
          </w:p>
        </w:tc>
      </w:tr>
      <w:tr w:rsidR="004B68B0" w:rsidRPr="004B68B0" w14:paraId="53371220" w14:textId="77777777" w:rsidTr="003A1980">
        <w:tc>
          <w:tcPr>
            <w:tcW w:w="2157"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678961B3"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Sinh khối hữu cơ</w:t>
            </w:r>
          </w:p>
        </w:tc>
        <w:tc>
          <w:tcPr>
            <w:tcW w:w="3879"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1C75FA5A"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Phụ phẩm cành lá, vỏ quả → ủ compost → bón đất rừng</w:t>
            </w:r>
          </w:p>
        </w:tc>
        <w:tc>
          <w:tcPr>
            <w:tcW w:w="3600"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75121EDE"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Phân hữu cơ, cải tạo đất, giảm phân hóa học</w:t>
            </w:r>
          </w:p>
        </w:tc>
      </w:tr>
      <w:tr w:rsidR="004B68B0" w:rsidRPr="004B68B0" w14:paraId="72D2C81C" w14:textId="77777777" w:rsidTr="003A1980">
        <w:tc>
          <w:tcPr>
            <w:tcW w:w="2157"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02BF29A0"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Chất thải chăn nuôi</w:t>
            </w:r>
          </w:p>
        </w:tc>
        <w:tc>
          <w:tcPr>
            <w:tcW w:w="3879"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7AAC83FD"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Phân gia súc, gia cầm → biogas → điện/nhiệt + bã → phân bón</w:t>
            </w:r>
          </w:p>
        </w:tc>
        <w:tc>
          <w:tcPr>
            <w:tcW w:w="3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475068D7"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Năng lượng sinh khối, phân vi sinh</w:t>
            </w:r>
          </w:p>
        </w:tc>
      </w:tr>
      <w:tr w:rsidR="004B68B0" w:rsidRPr="004B68B0" w14:paraId="71E06198" w14:textId="77777777" w:rsidTr="003A1980">
        <w:tc>
          <w:tcPr>
            <w:tcW w:w="2157"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1B53C95E"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Nước tuần hoàn</w:t>
            </w:r>
          </w:p>
        </w:tc>
        <w:tc>
          <w:tcPr>
            <w:tcW w:w="3879"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7860E3E7"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Nước mưa → ao → tưới cây → thấm đất → nước ngầm</w:t>
            </w:r>
          </w:p>
        </w:tc>
        <w:tc>
          <w:tcPr>
            <w:tcW w:w="3600"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3813FD12"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Tiết kiệm nước, điều tiết vi khí hậu</w:t>
            </w:r>
          </w:p>
        </w:tc>
      </w:tr>
      <w:tr w:rsidR="004B68B0" w:rsidRPr="004B68B0" w14:paraId="631CE441" w14:textId="77777777" w:rsidTr="003A1980">
        <w:tc>
          <w:tcPr>
            <w:tcW w:w="2157"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480CFE0D"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Dịch vụ sinh thái</w:t>
            </w:r>
          </w:p>
        </w:tc>
        <w:tc>
          <w:tcPr>
            <w:tcW w:w="3879"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357B200D"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Tán rừng → hấp thụ CO₂ → tín chỉ carbon + đa dạng sinh học</w:t>
            </w:r>
          </w:p>
        </w:tc>
        <w:tc>
          <w:tcPr>
            <w:tcW w:w="3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4F8958B4"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Thu nhập tín chỉ carbon, du lịch sinh thái</w:t>
            </w:r>
          </w:p>
        </w:tc>
      </w:tr>
      <w:tr w:rsidR="004B68B0" w:rsidRPr="004B68B0" w14:paraId="5353F41C" w14:textId="77777777" w:rsidTr="003A1980">
        <w:tc>
          <w:tcPr>
            <w:tcW w:w="2157"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666D7CE9"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Tuần hoàn thực phẩm</w:t>
            </w:r>
          </w:p>
        </w:tc>
        <w:tc>
          <w:tcPr>
            <w:tcW w:w="3879"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115DD4AF"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Sản phẩm thừa, loại B → chế biến thứ cấp → thức ăn chăn nuôi hoặc phân</w:t>
            </w:r>
          </w:p>
        </w:tc>
        <w:tc>
          <w:tcPr>
            <w:tcW w:w="3600"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hideMark/>
          </w:tcPr>
          <w:p w14:paraId="57B4EF7A" w14:textId="77777777" w:rsidR="00F657B1" w:rsidRPr="004B68B0" w:rsidRDefault="00F657B1" w:rsidP="00A0416C">
            <w:pPr>
              <w:spacing w:after="0" w:line="240"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Giảm lãng phí, tăng giá trị chuỗi</w:t>
            </w:r>
          </w:p>
        </w:tc>
      </w:tr>
    </w:tbl>
    <w:p w14:paraId="56C8B960" w14:textId="7B2DCA1A" w:rsidR="00F657B1" w:rsidRPr="004B68B0" w:rsidRDefault="00F657B1" w:rsidP="0014623F">
      <w:pPr>
        <w:spacing w:line="276" w:lineRule="auto"/>
        <w:ind w:firstLine="720"/>
        <w:jc w:val="both"/>
        <w:rPr>
          <w:rFonts w:ascii="Times New Roman" w:hAnsi="Times New Roman" w:cs="Times New Roman"/>
          <w:color w:val="000000" w:themeColor="text1"/>
        </w:rPr>
      </w:pPr>
      <w:r w:rsidRPr="004B68B0">
        <w:rPr>
          <w:rFonts w:ascii="Times New Roman" w:hAnsi="Times New Roman" w:cs="Times New Roman"/>
          <w:i/>
          <w:iCs/>
          <w:color w:val="000000" w:themeColor="text1"/>
        </w:rPr>
        <w:t>Nguồn: Tổng hợp từ tài liệu thứ cấp và nghiên cứu thực địa, 2024</w:t>
      </w:r>
      <w:r w:rsidR="00A252A3">
        <w:rPr>
          <w:rFonts w:ascii="Times New Roman" w:hAnsi="Times New Roman" w:cs="Times New Roman"/>
          <w:i/>
          <w:iCs/>
          <w:color w:val="000000" w:themeColor="text1"/>
        </w:rPr>
        <w:t>-</w:t>
      </w:r>
      <w:r w:rsidRPr="004B68B0">
        <w:rPr>
          <w:rFonts w:ascii="Times New Roman" w:hAnsi="Times New Roman" w:cs="Times New Roman"/>
          <w:i/>
          <w:iCs/>
          <w:color w:val="000000" w:themeColor="text1"/>
        </w:rPr>
        <w:t>2025</w:t>
      </w:r>
    </w:p>
    <w:p w14:paraId="66EB8596" w14:textId="77777777" w:rsidR="00F657B1" w:rsidRPr="00687CBF" w:rsidRDefault="00F657B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3.3. Đánh giá hiệu quả và hạn chế</w:t>
      </w:r>
    </w:p>
    <w:p w14:paraId="7979207E" w14:textId="2EA14E5D" w:rsidR="00654273" w:rsidRPr="004B68B0" w:rsidRDefault="00654273"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Các mô hình vườn rừng theo hướng tuần hoàn tại Việt Nam bước đầu cho thấy hiệu quả kinh tế rõ rệt (Nguyễn Thị Phương và cộng sự, 2025). Mô hình VACR điển hình ở vùng trung du có thể đạt doanh thu 400</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500 triệu đồng/năm từ nhiều nguồn thu kết hợp: gỗ nguyên liệu, cây ăn quả, chăn nuôi và nuôi trồng thủy sản. So với canh tác đơn loài, mô hình vườn rừng tiêu thụ ít đầu vào hóa học hơn từ 30</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50%, đồng thời cải thiện độ phì nhiêu đất và đa dạng sinh học tại chỗ (Abebaw và cộng sự, 2025). </w:t>
      </w:r>
    </w:p>
    <w:p w14:paraId="22078E18" w14:textId="0000A7FF" w:rsidR="00F657B1" w:rsidRPr="004B68B0" w:rsidRDefault="00F657B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Tuy nhiên, bên cạnh những kết quả khả quan, mô hình cũng bộc lộ một số hạn chế cần được nhìn nhận thẳng thắn. </w:t>
      </w:r>
      <w:r w:rsidRPr="00687CBF">
        <w:rPr>
          <w:rFonts w:ascii="Times New Roman" w:hAnsi="Times New Roman" w:cs="Times New Roman"/>
          <w:i/>
          <w:iCs/>
          <w:color w:val="000000" w:themeColor="text1"/>
        </w:rPr>
        <w:t>Thứ nhất,</w:t>
      </w:r>
      <w:r w:rsidRPr="004B68B0">
        <w:rPr>
          <w:rFonts w:ascii="Times New Roman" w:hAnsi="Times New Roman" w:cs="Times New Roman"/>
          <w:color w:val="000000" w:themeColor="text1"/>
        </w:rPr>
        <w:t xml:space="preserve"> thiếu chuẩn hóa kỹ thuật và quy trình vận hành tuần hoàn khép kín dẫn đến việc phần lớn phụ phẩm sinh khối vẫn bị bỏ phí hoặc đốt bỏ. </w:t>
      </w:r>
      <w:r w:rsidRPr="00687CBF">
        <w:rPr>
          <w:rFonts w:ascii="Times New Roman" w:hAnsi="Times New Roman" w:cs="Times New Roman"/>
          <w:i/>
          <w:iCs/>
          <w:color w:val="000000" w:themeColor="text1"/>
        </w:rPr>
        <w:t>Thứ hai,</w:t>
      </w:r>
      <w:r w:rsidRPr="004B68B0">
        <w:rPr>
          <w:rFonts w:ascii="Times New Roman" w:hAnsi="Times New Roman" w:cs="Times New Roman"/>
          <w:color w:val="000000" w:themeColor="text1"/>
        </w:rPr>
        <w:t xml:space="preserve"> thị trường </w:t>
      </w:r>
      <w:r w:rsidRPr="004B68B0">
        <w:rPr>
          <w:rFonts w:ascii="Times New Roman" w:hAnsi="Times New Roman" w:cs="Times New Roman"/>
          <w:color w:val="000000" w:themeColor="text1"/>
        </w:rPr>
        <w:lastRenderedPageBreak/>
        <w:t xml:space="preserve">tín chỉ carbon rừng còn non trẻ và cơ chế thanh toán dịch vụ môi trường rừng chưa đủ hấp dẫn để khuyến khích đầu tư dài hạn. </w:t>
      </w:r>
      <w:r w:rsidRPr="00687CBF">
        <w:rPr>
          <w:rFonts w:ascii="Times New Roman" w:hAnsi="Times New Roman" w:cs="Times New Roman"/>
          <w:i/>
          <w:iCs/>
          <w:color w:val="000000" w:themeColor="text1"/>
        </w:rPr>
        <w:t>Thứ ba,</w:t>
      </w:r>
      <w:r w:rsidRPr="004B68B0">
        <w:rPr>
          <w:rFonts w:ascii="Times New Roman" w:hAnsi="Times New Roman" w:cs="Times New Roman"/>
          <w:color w:val="000000" w:themeColor="text1"/>
        </w:rPr>
        <w:t xml:space="preserve"> quy mô manh mún, liên kết vùng yếu khiến khó hình thành chuỗi cung ứng tuần hoàn hiệu quả theo kiểu công nghiệp sinh thái</w:t>
      </w:r>
      <w:r w:rsidRPr="00687CBF">
        <w:rPr>
          <w:rFonts w:ascii="Times New Roman" w:hAnsi="Times New Roman" w:cs="Times New Roman"/>
          <w:i/>
          <w:iCs/>
          <w:color w:val="000000" w:themeColor="text1"/>
        </w:rPr>
        <w:t>. Thứ tư,</w:t>
      </w:r>
      <w:r w:rsidRPr="004B68B0">
        <w:rPr>
          <w:rFonts w:ascii="Times New Roman" w:hAnsi="Times New Roman" w:cs="Times New Roman"/>
          <w:color w:val="000000" w:themeColor="text1"/>
        </w:rPr>
        <w:t xml:space="preserve"> nguồn nhân lực quản lý hệ thống phức tạp đa tầng còn thiếu về cả số lượng </w:t>
      </w:r>
      <w:r w:rsidR="00D70335">
        <w:rPr>
          <w:rFonts w:ascii="Times New Roman" w:hAnsi="Times New Roman" w:cs="Times New Roman"/>
          <w:color w:val="000000" w:themeColor="text1"/>
        </w:rPr>
        <w:t>và</w:t>
      </w:r>
      <w:r w:rsidR="00D70335" w:rsidRPr="004B68B0">
        <w:rPr>
          <w:rFonts w:ascii="Times New Roman" w:hAnsi="Times New Roman" w:cs="Times New Roman"/>
          <w:color w:val="000000" w:themeColor="text1"/>
        </w:rPr>
        <w:t xml:space="preserve"> </w:t>
      </w:r>
      <w:r w:rsidRPr="004B68B0">
        <w:rPr>
          <w:rFonts w:ascii="Times New Roman" w:hAnsi="Times New Roman" w:cs="Times New Roman"/>
          <w:color w:val="000000" w:themeColor="text1"/>
        </w:rPr>
        <w:t>chất lượng.</w:t>
      </w:r>
    </w:p>
    <w:p w14:paraId="5584333B" w14:textId="0B2D4CE6" w:rsidR="00F657B1" w:rsidRPr="004B68B0" w:rsidRDefault="00F657B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4. Đ</w:t>
      </w:r>
      <w:r w:rsidR="004B68B0" w:rsidRPr="004B68B0">
        <w:rPr>
          <w:rFonts w:ascii="Times New Roman" w:hAnsi="Times New Roman" w:cs="Times New Roman"/>
          <w:b/>
          <w:bCs/>
          <w:color w:val="000000" w:themeColor="text1"/>
        </w:rPr>
        <w:t>ề xuất mô hình và giải pháp phát triển</w:t>
      </w:r>
    </w:p>
    <w:p w14:paraId="7D998DFD" w14:textId="77777777" w:rsidR="00DC54E1" w:rsidRPr="00687CBF" w:rsidRDefault="00DC54E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b/>
          <w:bCs/>
          <w:i/>
          <w:iCs/>
          <w:color w:val="000000" w:themeColor="text1"/>
        </w:rPr>
        <w:t>4.1. Khung mô hình vườn rừng tuần hoàn tích hợp</w:t>
      </w:r>
    </w:p>
    <w:p w14:paraId="06E90D76" w14:textId="343999FC" w:rsidR="00DC54E1" w:rsidRDefault="00DC54E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Từ phân tích lý luận và thực tiễn, nghiên cứu đề xuất khung mô hình "Vườn rừng tuần hoàn tích hợp" (Integrated Circular Forest Garden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ICFG) với bốn tầng giá trị liên kết nhau. Tầng 1 (Tầng sinh thái): Rừng bản địa đa tầng tán cung cấp dịch vụ hệ sinh thái nền tảng (điều tiết nước, hấp thụ carbon, cải tạo vi khí hậu). Tầng 2 (Tầng sản xuất): Cây ăn quả lâu năm và cây dược liệu dưới tán rừng tạo doanh thu thường xuyên. Tầng 3 (Tầng chăn nuôi thủy sản): Vật nuôi và ao cá được cấp thức ăn từ sản phẩm thứ cấp của tầng 2, chất thải quay lại bón cây. Tầng 4 (Tầng chế biến và dịch vụ): Sản phẩm thứ cấp và phụ phẩm được chế biến tại chỗ (sấy, ép dầu, lên men), phần còn lại trở thành biochar hoặc phân bón hữu cơ.</w:t>
      </w:r>
    </w:p>
    <w:p w14:paraId="48781556" w14:textId="0A45BDB2" w:rsidR="00C05089" w:rsidRPr="00687CBF" w:rsidRDefault="00C05089" w:rsidP="0014623F">
      <w:pPr>
        <w:spacing w:line="276" w:lineRule="auto"/>
        <w:jc w:val="both"/>
        <w:rPr>
          <w:rFonts w:ascii="Times New Roman" w:hAnsi="Times New Roman" w:cs="Times New Roman"/>
          <w:b/>
          <w:bCs/>
          <w:i/>
          <w:iCs/>
          <w:color w:val="000000" w:themeColor="text1"/>
        </w:rPr>
      </w:pPr>
      <w:r w:rsidRPr="00687CBF">
        <w:rPr>
          <w:rFonts w:ascii="Times New Roman" w:hAnsi="Times New Roman" w:cs="Times New Roman"/>
          <w:b/>
          <w:bCs/>
          <w:i/>
          <w:iCs/>
          <w:color w:val="000000" w:themeColor="text1"/>
        </w:rPr>
        <w:t>4.2. Một số đề xuất giải pháp phát triển</w:t>
      </w:r>
    </w:p>
    <w:p w14:paraId="6B797A59" w14:textId="32BD70ED" w:rsidR="00DC54E1" w:rsidRPr="00687CBF" w:rsidRDefault="00DC54E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i/>
          <w:iCs/>
          <w:color w:val="000000" w:themeColor="text1"/>
        </w:rPr>
        <w:t>4.2.</w:t>
      </w:r>
      <w:r w:rsidR="00C05089" w:rsidRPr="00687CBF">
        <w:rPr>
          <w:rFonts w:ascii="Times New Roman" w:hAnsi="Times New Roman" w:cs="Times New Roman"/>
          <w:i/>
          <w:iCs/>
          <w:color w:val="000000" w:themeColor="text1"/>
        </w:rPr>
        <w:t>1.</w:t>
      </w:r>
      <w:r w:rsidRPr="00687CBF">
        <w:rPr>
          <w:rFonts w:ascii="Times New Roman" w:hAnsi="Times New Roman" w:cs="Times New Roman"/>
          <w:i/>
          <w:iCs/>
          <w:color w:val="000000" w:themeColor="text1"/>
        </w:rPr>
        <w:t xml:space="preserve"> Nhóm giải pháp kỹ thuật và công nghệ</w:t>
      </w:r>
    </w:p>
    <w:p w14:paraId="22EB5779" w14:textId="7B367046" w:rsidR="00701877" w:rsidRPr="004B68B0" w:rsidRDefault="00701877"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Để hiện thực hóa mô hình ICFG, trước hết cần ứng dụng công nghệ ủ phân vi sinh nhiệt độ thấp để xử lý toàn bộ sinh khối phụ phẩm tại chỗ thay vì đốt bỏ. Bên cạnh đó, việc tích hợp hệ thống biogas quy mô hộ gia đình giúp chuyển hóa chất thải chăn nuôi thành điện năng và phân vi sinh. Công nghệ IoT giám sát độ ẩm đất, nhiệt độ vi khí hậu và mực nước ao sẽ giúp tối ưu hóa việc sử dụng nước tuần hoàn. Ngoài ra, cần đầu tư vào công nghệ đo đếm và xác minh tín chỉ carbon (</w:t>
      </w:r>
      <w:r w:rsidR="00CB34A5" w:rsidRPr="004B68B0">
        <w:rPr>
          <w:rFonts w:ascii="Times New Roman" w:hAnsi="Times New Roman" w:cs="Times New Roman"/>
          <w:color w:val="000000" w:themeColor="text1"/>
        </w:rPr>
        <w:t xml:space="preserve">Measurement, Reporting and Verification - </w:t>
      </w:r>
      <w:r w:rsidRPr="004B68B0">
        <w:rPr>
          <w:rFonts w:ascii="Times New Roman" w:hAnsi="Times New Roman" w:cs="Times New Roman"/>
          <w:color w:val="000000" w:themeColor="text1"/>
        </w:rPr>
        <w:t xml:space="preserve">MRV) để khai thác thị trường carbon tự nguyện đang phát triển mạnh ở Việt Nam sau thành công bán 10,3 triệu tín chỉ carbon rừng vùng Bắc Trung Bộ cho Ngân hàng Thế giới năm 2023. </w:t>
      </w:r>
    </w:p>
    <w:p w14:paraId="573DD6E6" w14:textId="20D522CE" w:rsidR="00DC54E1" w:rsidRPr="00687CBF" w:rsidRDefault="00DC54E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i/>
          <w:iCs/>
          <w:color w:val="000000" w:themeColor="text1"/>
        </w:rPr>
        <w:t>4.</w:t>
      </w:r>
      <w:r w:rsidR="00C05089" w:rsidRPr="00687CBF">
        <w:rPr>
          <w:rFonts w:ascii="Times New Roman" w:hAnsi="Times New Roman" w:cs="Times New Roman"/>
          <w:i/>
          <w:iCs/>
          <w:color w:val="000000" w:themeColor="text1"/>
        </w:rPr>
        <w:t>2.2</w:t>
      </w:r>
      <w:r w:rsidRPr="00687CBF">
        <w:rPr>
          <w:rFonts w:ascii="Times New Roman" w:hAnsi="Times New Roman" w:cs="Times New Roman"/>
          <w:i/>
          <w:iCs/>
          <w:color w:val="000000" w:themeColor="text1"/>
        </w:rPr>
        <w:t>. Nhóm giải pháp chính sách</w:t>
      </w:r>
    </w:p>
    <w:p w14:paraId="7A6A0B7F" w14:textId="4D6C6255" w:rsidR="00DC54E1" w:rsidRPr="004B68B0" w:rsidRDefault="00DC54E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Về chính sách, Nhà nước cần ban hành bộ tiêu chí chứng nhận "Vườn rừng tuần hoàn" tương tự mô hình chứng chỉ quản lý rừng bền vững (FSC), làm cơ sở để áp dụng ưu đãi thuế và tín dụng xanh.</w:t>
      </w:r>
      <w:r w:rsidR="00701877" w:rsidRPr="004B68B0">
        <w:rPr>
          <w:rFonts w:ascii="Times New Roman" w:hAnsi="Times New Roman" w:cs="Times New Roman"/>
          <w:color w:val="000000" w:themeColor="text1"/>
        </w:rPr>
        <w:t xml:space="preserve"> Định hướng này phù hợp với Đề án Phát triển kinh tế tuần hoàn của Chính phủ (2022) và khuyến nghị của UNECE &amp; FAO (2025) về việc tăng cường tuần hoàn sinh khối trong chuỗi giá trị lâm nghiệp.</w:t>
      </w:r>
      <w:r w:rsidRPr="004B68B0">
        <w:rPr>
          <w:rFonts w:ascii="Times New Roman" w:hAnsi="Times New Roman" w:cs="Times New Roman"/>
          <w:color w:val="000000" w:themeColor="text1"/>
        </w:rPr>
        <w:t xml:space="preserve"> Cơ chế chi trả dịch vụ môi trường rừng cần được nâng mức thanh toán và mở rộng đối tượng thụ hưởng sang cả hộ gia đình áp dụng mô hình vườn rừng tuần hoàn. Đồng thời, cần hình thành Quỹ đầu tư xanh cho lâm nghiệp tuần hoàn với nguồn vốn từ ngân sách Nhà nước, đối tác phát triển quốc tế (GIZ, JICA, WB) và doanh nghiệp tư nhân. Quy hoạch lâm nghiệp cấp tỉnh cần xác định rõ các vùng ưu tiên phát triển vườn rừng tuần hoàn, đặc biệt tại các tỉnh có diện tích rừng sản xuất lớn như Thanh Hóa, Nghệ An, Hà Tĩnh, Quảng Bình, Lâm Đồng, Gia Lai.</w:t>
      </w:r>
    </w:p>
    <w:p w14:paraId="5147F98D" w14:textId="2BA4FA53" w:rsidR="00DC54E1" w:rsidRPr="00687CBF" w:rsidRDefault="00DC54E1" w:rsidP="0014623F">
      <w:pPr>
        <w:spacing w:line="276" w:lineRule="auto"/>
        <w:jc w:val="both"/>
        <w:rPr>
          <w:rFonts w:ascii="Times New Roman" w:hAnsi="Times New Roman" w:cs="Times New Roman"/>
          <w:i/>
          <w:iCs/>
          <w:color w:val="000000" w:themeColor="text1"/>
        </w:rPr>
      </w:pPr>
      <w:r w:rsidRPr="00687CBF">
        <w:rPr>
          <w:rFonts w:ascii="Times New Roman" w:hAnsi="Times New Roman" w:cs="Times New Roman"/>
          <w:i/>
          <w:iCs/>
          <w:color w:val="000000" w:themeColor="text1"/>
        </w:rPr>
        <w:t>4.</w:t>
      </w:r>
      <w:r w:rsidR="00C05089" w:rsidRPr="00687CBF">
        <w:rPr>
          <w:rFonts w:ascii="Times New Roman" w:hAnsi="Times New Roman" w:cs="Times New Roman"/>
          <w:i/>
          <w:iCs/>
          <w:color w:val="000000" w:themeColor="text1"/>
        </w:rPr>
        <w:t>2.2</w:t>
      </w:r>
      <w:r w:rsidRPr="00687CBF">
        <w:rPr>
          <w:rFonts w:ascii="Times New Roman" w:hAnsi="Times New Roman" w:cs="Times New Roman"/>
          <w:i/>
          <w:iCs/>
          <w:color w:val="000000" w:themeColor="text1"/>
        </w:rPr>
        <w:t>. Nhóm giải pháp liên kết chuỗi</w:t>
      </w:r>
    </w:p>
    <w:p w14:paraId="513D7E26" w14:textId="77777777" w:rsidR="00DC54E1" w:rsidRPr="004B68B0" w:rsidRDefault="00DC54E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Để khắc phục tình trạng manh mún, cần thúc đẩy liên kết theo mô hình hợp tác xã lâm nghiệp tuần hoàn cấp vùng, trong đó mỗi hộ vườn rừng đóng vai trò như một nút trong mạng lưới cung </w:t>
      </w:r>
      <w:r w:rsidRPr="004B68B0">
        <w:rPr>
          <w:rFonts w:ascii="Times New Roman" w:hAnsi="Times New Roman" w:cs="Times New Roman"/>
          <w:color w:val="000000" w:themeColor="text1"/>
        </w:rPr>
        <w:lastRenderedPageBreak/>
        <w:t>ứng sinh khối. Các doanh nghiệp chế biến gỗ và lâm sản có thể ký hợp đồng bao tiêu phụ phẩm (mùn cưa, vỏ bào, cành ngọn) từ các vườn rừng lân cận để sản xuất viên nén sinh khối, than sinh học (biochar) hoặc vật liệu composite. Mô hình kinh doanh theo hướng "rừng như một dịch vụ" (Forest-as-a-Service) cho phép doanh nghiệp và tổ chức thuê tín chỉ carbon, dịch vụ du lịch sinh thái và sản phẩm hữu cơ có chứng nhận từ các vườn rừng, tạo doanh thu đa chiều bền vững.</w:t>
      </w:r>
    </w:p>
    <w:p w14:paraId="61528BBA" w14:textId="4B34A047" w:rsidR="00DC54E1" w:rsidRPr="004B68B0" w:rsidRDefault="00DC54E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5. K</w:t>
      </w:r>
      <w:r w:rsidR="004B68B0" w:rsidRPr="004B68B0">
        <w:rPr>
          <w:rFonts w:ascii="Times New Roman" w:hAnsi="Times New Roman" w:cs="Times New Roman"/>
          <w:b/>
          <w:bCs/>
          <w:color w:val="000000" w:themeColor="text1"/>
        </w:rPr>
        <w:t>ết luận</w:t>
      </w:r>
    </w:p>
    <w:p w14:paraId="0D88D0C7" w14:textId="49E8813D" w:rsidR="00DC54E1" w:rsidRPr="004B68B0" w:rsidRDefault="00DC54E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Mô hình vườn rừng là biểu hiện sinh động nhất của triết lý kinh tế tuần hoàn trong lĩnh vực lâm nghiệp Việt Nam. Với khả năng tạo ra nhiều dòng giá trị tuần hoàn song song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từ sinh khối hữu cơ, năng lượng tái tạo, tuần hoàn nước đến dịch vụ hệ sinh thái </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 mô hình này không chỉ nâng cao thu nhập người dân miền núi mà còn góp phần quan trọng vào mục tiêu giảm phát thải khí nhà kính và bảo tồn đa dạng sinh học quốc gia.</w:t>
      </w:r>
    </w:p>
    <w:p w14:paraId="54BE1518" w14:textId="0266B19D" w:rsidR="00DC54E1" w:rsidRPr="004B68B0" w:rsidRDefault="00DC54E1" w:rsidP="0014623F">
      <w:pPr>
        <w:spacing w:line="276" w:lineRule="auto"/>
        <w:jc w:val="both"/>
        <w:rPr>
          <w:rFonts w:ascii="Times New Roman" w:hAnsi="Times New Roman" w:cs="Times New Roman"/>
          <w:color w:val="000000" w:themeColor="text1"/>
        </w:rPr>
      </w:pPr>
      <w:r w:rsidRPr="004B68B0">
        <w:rPr>
          <w:rFonts w:ascii="Times New Roman" w:hAnsi="Times New Roman" w:cs="Times New Roman"/>
          <w:color w:val="000000" w:themeColor="text1"/>
        </w:rPr>
        <w:t>Trong bối cảnh Quy hoạch lâm nghiệp quốc gia 2021</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2030 đặt mục tiêu xuất khẩu gỗ và lâm sản đạt 25 tỷ USD vào năm 2030 và Kế hoạch Hành động </w:t>
      </w:r>
      <w:r w:rsidR="00C05089">
        <w:rPr>
          <w:rFonts w:ascii="Times New Roman" w:hAnsi="Times New Roman" w:cs="Times New Roman"/>
          <w:color w:val="000000" w:themeColor="text1"/>
        </w:rPr>
        <w:t>q</w:t>
      </w:r>
      <w:r w:rsidRPr="004B68B0">
        <w:rPr>
          <w:rFonts w:ascii="Times New Roman" w:hAnsi="Times New Roman" w:cs="Times New Roman"/>
          <w:color w:val="000000" w:themeColor="text1"/>
        </w:rPr>
        <w:t xml:space="preserve">uốc gia về </w:t>
      </w:r>
      <w:r w:rsidR="00C05089">
        <w:rPr>
          <w:rFonts w:ascii="Times New Roman" w:hAnsi="Times New Roman" w:cs="Times New Roman"/>
          <w:color w:val="000000" w:themeColor="text1"/>
        </w:rPr>
        <w:t>k</w:t>
      </w:r>
      <w:r w:rsidRPr="004B68B0">
        <w:rPr>
          <w:rFonts w:ascii="Times New Roman" w:hAnsi="Times New Roman" w:cs="Times New Roman"/>
          <w:color w:val="000000" w:themeColor="text1"/>
        </w:rPr>
        <w:t xml:space="preserve">inh tế </w:t>
      </w:r>
      <w:r w:rsidR="00C05089">
        <w:rPr>
          <w:rFonts w:ascii="Times New Roman" w:hAnsi="Times New Roman" w:cs="Times New Roman"/>
          <w:color w:val="000000" w:themeColor="text1"/>
        </w:rPr>
        <w:t>t</w:t>
      </w:r>
      <w:r w:rsidRPr="004B68B0">
        <w:rPr>
          <w:rFonts w:ascii="Times New Roman" w:hAnsi="Times New Roman" w:cs="Times New Roman"/>
          <w:color w:val="000000" w:themeColor="text1"/>
        </w:rPr>
        <w:t xml:space="preserve">uần hoàn đến năm 2035 vừa được phê duyệt, việc thể chế hóa và nhân rộng mô hình vườn rừng tuần hoàn là hướng đi có cơ sở khoa học vững chắc và tính khả thi cao. Nghiên cứu khuyến nghị Bộ Nông nghiệp và </w:t>
      </w:r>
      <w:r w:rsidR="00C05089">
        <w:rPr>
          <w:rFonts w:ascii="Times New Roman" w:hAnsi="Times New Roman" w:cs="Times New Roman"/>
          <w:color w:val="000000" w:themeColor="text1"/>
        </w:rPr>
        <w:t>Môi trường</w:t>
      </w:r>
      <w:r w:rsidRPr="004B68B0">
        <w:rPr>
          <w:rFonts w:ascii="Times New Roman" w:hAnsi="Times New Roman" w:cs="Times New Roman"/>
          <w:color w:val="000000" w:themeColor="text1"/>
        </w:rPr>
        <w:t>, Bộ Công Thương phối hợp xây dựng chương trình thí điểm "100 vườn rừng tuần hoàn kiểu mẫu" tại các tỉnh ưu tiên trong giai đoạn 2025</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2028, làm nền tảng cho đánh giá và nhân rộng quy mô quốc gia.</w:t>
      </w:r>
    </w:p>
    <w:p w14:paraId="1CF607CC" w14:textId="3CF5A4FA" w:rsidR="00DC54E1" w:rsidRPr="004B68B0" w:rsidRDefault="00DC54E1" w:rsidP="00A0416C">
      <w:pPr>
        <w:spacing w:line="240"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TÀI LIỆU THAM KHẢO</w:t>
      </w:r>
      <w:r w:rsidR="004B68B0">
        <w:rPr>
          <w:rFonts w:ascii="Times New Roman" w:hAnsi="Times New Roman" w:cs="Times New Roman"/>
          <w:b/>
          <w:bCs/>
          <w:color w:val="000000" w:themeColor="text1"/>
        </w:rPr>
        <w:t>:</w:t>
      </w:r>
    </w:p>
    <w:p w14:paraId="0AF05FE7" w14:textId="77777777" w:rsidR="004B68B0" w:rsidRPr="004B68B0" w:rsidRDefault="004B68B0" w:rsidP="00A0416C">
      <w:pPr>
        <w:spacing w:line="240" w:lineRule="auto"/>
        <w:ind w:left="540" w:hanging="540"/>
        <w:jc w:val="both"/>
        <w:rPr>
          <w:rFonts w:ascii="Times New Roman" w:hAnsi="Times New Roman" w:cs="Times New Roman"/>
          <w:b/>
          <w:bCs/>
          <w:i/>
          <w:iCs/>
          <w:color w:val="000000" w:themeColor="text1"/>
        </w:rPr>
      </w:pPr>
      <w:r w:rsidRPr="004B68B0">
        <w:rPr>
          <w:rFonts w:ascii="Times New Roman" w:hAnsi="Times New Roman" w:cs="Times New Roman"/>
          <w:b/>
          <w:bCs/>
          <w:i/>
          <w:iCs/>
          <w:color w:val="000000" w:themeColor="text1"/>
        </w:rPr>
        <w:t>Tài liệu tiếng Việt:</w:t>
      </w:r>
    </w:p>
    <w:p w14:paraId="14FACD93" w14:textId="754E7B9F" w:rsidR="009A6FED" w:rsidRDefault="009A6FED" w:rsidP="00A0416C">
      <w:pPr>
        <w:spacing w:line="240" w:lineRule="auto"/>
        <w:ind w:left="540" w:hanging="540"/>
        <w:jc w:val="both"/>
        <w:rPr>
          <w:rFonts w:ascii="Times New Roman" w:hAnsi="Times New Roman" w:cs="Times New Roman"/>
          <w:color w:val="000000" w:themeColor="text1"/>
        </w:rPr>
      </w:pPr>
      <w:r>
        <w:rPr>
          <w:rFonts w:ascii="Times New Roman" w:hAnsi="Times New Roman" w:cs="Times New Roman"/>
          <w:color w:val="000000" w:themeColor="text1"/>
        </w:rPr>
        <w:t xml:space="preserve">An Như (2018). </w:t>
      </w:r>
      <w:r w:rsidR="00316C76">
        <w:rPr>
          <w:rFonts w:ascii="Times New Roman" w:hAnsi="Times New Roman" w:cs="Times New Roman"/>
          <w:color w:val="000000" w:themeColor="text1"/>
        </w:rPr>
        <w:t xml:space="preserve">Hà Tĩnh: </w:t>
      </w:r>
      <w:r w:rsidRPr="009A6FED">
        <w:rPr>
          <w:rFonts w:ascii="Times New Roman" w:hAnsi="Times New Roman" w:cs="Times New Roman"/>
          <w:color w:val="000000" w:themeColor="text1"/>
        </w:rPr>
        <w:t>Những mô hình vườn đồi</w:t>
      </w:r>
      <w:r w:rsidR="00316C76">
        <w:rPr>
          <w:rFonts w:ascii="Times New Roman" w:hAnsi="Times New Roman" w:cs="Times New Roman"/>
          <w:color w:val="000000" w:themeColor="text1"/>
        </w:rPr>
        <w:t xml:space="preserve"> cho thu nhập cao</w:t>
      </w:r>
      <w:r w:rsidRPr="009A6FED">
        <w:rPr>
          <w:rFonts w:ascii="Times New Roman" w:hAnsi="Times New Roman" w:cs="Times New Roman"/>
          <w:color w:val="000000" w:themeColor="text1"/>
        </w:rPr>
        <w:t>.</w:t>
      </w:r>
      <w:r>
        <w:rPr>
          <w:rFonts w:ascii="Times New Roman" w:hAnsi="Times New Roman" w:cs="Times New Roman"/>
          <w:color w:val="000000" w:themeColor="text1"/>
        </w:rPr>
        <w:t xml:space="preserve"> Truy cập tại </w:t>
      </w:r>
      <w:r w:rsidRPr="009A6FED">
        <w:rPr>
          <w:rFonts w:ascii="Times New Roman" w:hAnsi="Times New Roman" w:cs="Times New Roman"/>
          <w:color w:val="000000" w:themeColor="text1"/>
        </w:rPr>
        <w:t>https://nongthonmoi.hatinh.gov.vn/Ngoai-tinh-144/Ha-Tinh-Nhung-mo-hinh-vuon-doi-cho-thu-nhap-cao-85718.html</w:t>
      </w:r>
      <w:r>
        <w:rPr>
          <w:rFonts w:ascii="Times New Roman" w:hAnsi="Times New Roman" w:cs="Times New Roman"/>
          <w:color w:val="000000" w:themeColor="text1"/>
        </w:rPr>
        <w:t xml:space="preserve"> </w:t>
      </w:r>
    </w:p>
    <w:p w14:paraId="1B98D38D" w14:textId="5E025D99"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Chính phủ </w:t>
      </w:r>
      <w:r>
        <w:rPr>
          <w:rFonts w:ascii="Times New Roman" w:hAnsi="Times New Roman" w:cs="Times New Roman"/>
          <w:color w:val="000000" w:themeColor="text1"/>
        </w:rPr>
        <w:t xml:space="preserve">nước Cộng hòa xã hội chủ nghĩa Việt Nam </w:t>
      </w:r>
      <w:r w:rsidRPr="004B68B0">
        <w:rPr>
          <w:rFonts w:ascii="Times New Roman" w:hAnsi="Times New Roman" w:cs="Times New Roman"/>
          <w:color w:val="000000" w:themeColor="text1"/>
        </w:rPr>
        <w:t xml:space="preserve">(2022). Quyết định số 687/QĐ-TTg ngày 07/6/2022 phê duyệt Đề án Phát triển kinh tế tuần hoàn ở Việt Nam. </w:t>
      </w:r>
    </w:p>
    <w:p w14:paraId="50F882D1" w14:textId="1B19237B"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Chính phủ </w:t>
      </w:r>
      <w:r>
        <w:rPr>
          <w:rFonts w:ascii="Times New Roman" w:hAnsi="Times New Roman" w:cs="Times New Roman"/>
          <w:color w:val="000000" w:themeColor="text1"/>
        </w:rPr>
        <w:t xml:space="preserve">nước Cộng hòa xã hội chủ nghĩa Việt Nam </w:t>
      </w:r>
      <w:r w:rsidRPr="004B68B0">
        <w:rPr>
          <w:rFonts w:ascii="Times New Roman" w:hAnsi="Times New Roman" w:cs="Times New Roman"/>
          <w:color w:val="000000" w:themeColor="text1"/>
        </w:rPr>
        <w:t>(2024). Quyết định số 895/QĐ-TTg ngày 24/8/2024 phê duyệt Quy hoạch lâm nghiệp quốc gia thời kỳ 2021</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2030, tầm nhìn đến năm 2050. </w:t>
      </w:r>
    </w:p>
    <w:p w14:paraId="68BF6769" w14:textId="260396CB" w:rsid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Chính phủ</w:t>
      </w:r>
      <w:r>
        <w:rPr>
          <w:rFonts w:ascii="Times New Roman" w:hAnsi="Times New Roman" w:cs="Times New Roman"/>
          <w:color w:val="000000" w:themeColor="text1"/>
        </w:rPr>
        <w:t xml:space="preserve"> nước Cộng hòa xã hội chủ nghĩa Việt Nam</w:t>
      </w:r>
      <w:r w:rsidRPr="004B68B0">
        <w:rPr>
          <w:rFonts w:ascii="Times New Roman" w:hAnsi="Times New Roman" w:cs="Times New Roman"/>
          <w:color w:val="000000" w:themeColor="text1"/>
        </w:rPr>
        <w:t xml:space="preserve"> (2025). Quyết định số 222/QĐ-TTg ngày 23/01/2025 ban hành Kế hoạch hành động quốc gia thực hiện kinh tế tuần hoàn đến năm 2035. </w:t>
      </w:r>
    </w:p>
    <w:p w14:paraId="11EF1F08" w14:textId="77777777" w:rsidR="004B68B0" w:rsidRPr="004B68B0" w:rsidRDefault="004B68B0" w:rsidP="00A0416C">
      <w:pPr>
        <w:spacing w:line="240" w:lineRule="auto"/>
        <w:ind w:left="540" w:hanging="540"/>
        <w:jc w:val="both"/>
        <w:rPr>
          <w:rFonts w:ascii="Times New Roman" w:hAnsi="Times New Roman" w:cs="Times New Roman"/>
          <w:color w:val="000000" w:themeColor="text1"/>
        </w:rPr>
      </w:pPr>
      <w:r>
        <w:rPr>
          <w:rFonts w:ascii="Times New Roman" w:hAnsi="Times New Roman" w:cs="Times New Roman"/>
          <w:color w:val="000000" w:themeColor="text1"/>
        </w:rPr>
        <w:t>C</w:t>
      </w:r>
      <w:r w:rsidRPr="004B68B0">
        <w:rPr>
          <w:rFonts w:ascii="Times New Roman" w:hAnsi="Times New Roman" w:cs="Times New Roman"/>
          <w:color w:val="000000" w:themeColor="text1"/>
        </w:rPr>
        <w:t xml:space="preserve">ục Thống kê. (2026). Lâm nghiệp Việt Nam năm 2025 và triển vọng năm 2026: Tăng trưởng ổn định, chủ động ứng phó rủi ro thiên tai. </w:t>
      </w:r>
      <w:r>
        <w:rPr>
          <w:rFonts w:ascii="Times New Roman" w:hAnsi="Times New Roman" w:cs="Times New Roman"/>
          <w:color w:val="000000" w:themeColor="text1"/>
        </w:rPr>
        <w:t xml:space="preserve">Truy cập tại </w:t>
      </w:r>
      <w:r w:rsidRPr="004B68B0">
        <w:rPr>
          <w:rFonts w:ascii="Times New Roman" w:hAnsi="Times New Roman" w:cs="Times New Roman"/>
          <w:color w:val="000000" w:themeColor="text1"/>
        </w:rPr>
        <w:t>https://www.nso.gov.vn/du-lieu-va-so-lieu-thong-ke/2026/01/lam-nghiep-viet-nam-nam-2025-va-trien-vong-nam-2026-tang-truong-on-dinh-chu-dong-ung-pho-rui-ro-thien-tai/</w:t>
      </w:r>
    </w:p>
    <w:p w14:paraId="1D86415D" w14:textId="72BCC156" w:rsid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Nguyễn Thị Phương, Mai Lan Phương, Nguyễn Thị Minh Hiền, Bạch Văn Thủy, và Đỗ Thị Thanh Huyền. (2025). Kinh tế tuần hoàn trong nông nghiệp: Trường hợp nghiên cứu tại tỉnh Nam Định. </w:t>
      </w:r>
      <w:r w:rsidRPr="004B68B0">
        <w:rPr>
          <w:rFonts w:ascii="Times New Roman" w:hAnsi="Times New Roman" w:cs="Times New Roman"/>
          <w:i/>
          <w:iCs/>
          <w:color w:val="000000" w:themeColor="text1"/>
        </w:rPr>
        <w:t>Tạp chí Khoa học Nông nghiệp Việt Nam</w:t>
      </w:r>
      <w:r w:rsidRPr="004B68B0">
        <w:rPr>
          <w:rFonts w:ascii="Times New Roman" w:hAnsi="Times New Roman" w:cs="Times New Roman"/>
          <w:color w:val="000000" w:themeColor="text1"/>
        </w:rPr>
        <w:t>, 23(9), 1234</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 xml:space="preserve">1244. </w:t>
      </w:r>
    </w:p>
    <w:p w14:paraId="720737A4" w14:textId="2A0B67FA" w:rsidR="004B68B0" w:rsidRPr="004B68B0" w:rsidRDefault="00820007" w:rsidP="00A0416C">
      <w:pPr>
        <w:spacing w:line="240" w:lineRule="auto"/>
        <w:ind w:left="540" w:hanging="540"/>
        <w:jc w:val="both"/>
        <w:rPr>
          <w:rFonts w:ascii="Times New Roman" w:hAnsi="Times New Roman" w:cs="Times New Roman"/>
          <w:b/>
          <w:bCs/>
          <w:i/>
          <w:iCs/>
          <w:color w:val="000000" w:themeColor="text1"/>
        </w:rPr>
      </w:pPr>
      <w:r w:rsidRPr="00820007">
        <w:rPr>
          <w:rFonts w:ascii="Times New Roman" w:hAnsi="Times New Roman" w:cs="Times New Roman"/>
          <w:color w:val="000000" w:themeColor="text1"/>
        </w:rPr>
        <w:lastRenderedPageBreak/>
        <w:t xml:space="preserve">Kim Thoa (2025). </w:t>
      </w:r>
      <w:r w:rsidRPr="00A0416C">
        <w:rPr>
          <w:rFonts w:ascii="Times New Roman" w:hAnsi="Times New Roman" w:cs="Times New Roman"/>
          <w:color w:val="000000" w:themeColor="text1"/>
        </w:rPr>
        <w:t>Nâng cao giá trị kinh tế rừng.</w:t>
      </w:r>
      <w:r w:rsidRPr="00820007">
        <w:rPr>
          <w:rFonts w:ascii="Times New Roman" w:hAnsi="Times New Roman" w:cs="Times New Roman"/>
          <w:color w:val="000000" w:themeColor="text1"/>
        </w:rPr>
        <w:t xml:space="preserve"> </w:t>
      </w:r>
      <w:r w:rsidRPr="00A0416C">
        <w:rPr>
          <w:rFonts w:ascii="Times New Roman" w:hAnsi="Times New Roman" w:cs="Times New Roman"/>
          <w:i/>
          <w:iCs/>
          <w:color w:val="000000" w:themeColor="text1"/>
        </w:rPr>
        <w:t>Báo Lào Cai</w:t>
      </w:r>
      <w:r w:rsidRPr="00820007">
        <w:rPr>
          <w:rFonts w:ascii="Times New Roman" w:hAnsi="Times New Roman" w:cs="Times New Roman"/>
          <w:color w:val="000000" w:themeColor="text1"/>
        </w:rPr>
        <w:t xml:space="preserve">. Truy cập tại: </w:t>
      </w:r>
      <w:hyperlink r:id="rId8" w:history="1">
        <w:r w:rsidRPr="00820007">
          <w:rPr>
            <w:rStyle w:val="Hyperlink"/>
            <w:rFonts w:ascii="Times New Roman" w:hAnsi="Times New Roman" w:cs="Times New Roman"/>
          </w:rPr>
          <w:t>https://baolaocai.vn/nang-cao-gia-tri-kinh-te-rung-post397253.html</w:t>
        </w:r>
      </w:hyperlink>
      <w:r w:rsidRPr="00820007">
        <w:rPr>
          <w:rFonts w:ascii="Times New Roman" w:hAnsi="Times New Roman" w:cs="Times New Roman"/>
          <w:b/>
          <w:bCs/>
          <w:i/>
          <w:iCs/>
          <w:color w:val="000000" w:themeColor="text1"/>
        </w:rPr>
        <w:t xml:space="preserve"> </w:t>
      </w:r>
    </w:p>
    <w:p w14:paraId="2292C4CA" w14:textId="77777777"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Abebaw, S. E., Yeshiwas, E. M., &amp; Feleke, T. G. (2025). A systematic review on the role of agroforestry practices in climate change mitigation and adaptation. </w:t>
      </w:r>
      <w:r w:rsidRPr="004B68B0">
        <w:rPr>
          <w:rFonts w:ascii="Times New Roman" w:hAnsi="Times New Roman" w:cs="Times New Roman"/>
          <w:i/>
          <w:iCs/>
          <w:color w:val="000000" w:themeColor="text1"/>
        </w:rPr>
        <w:t>Climate Resilience and Sustainability</w:t>
      </w:r>
      <w:r w:rsidRPr="004B68B0">
        <w:rPr>
          <w:rFonts w:ascii="Times New Roman" w:hAnsi="Times New Roman" w:cs="Times New Roman"/>
          <w:color w:val="000000" w:themeColor="text1"/>
        </w:rPr>
        <w:t>, </w:t>
      </w:r>
      <w:r w:rsidRPr="004B68B0">
        <w:rPr>
          <w:rFonts w:ascii="Times New Roman" w:hAnsi="Times New Roman" w:cs="Times New Roman"/>
          <w:i/>
          <w:iCs/>
          <w:color w:val="000000" w:themeColor="text1"/>
        </w:rPr>
        <w:t>4</w:t>
      </w:r>
      <w:r w:rsidRPr="004B68B0">
        <w:rPr>
          <w:rFonts w:ascii="Times New Roman" w:hAnsi="Times New Roman" w:cs="Times New Roman"/>
          <w:color w:val="000000" w:themeColor="text1"/>
        </w:rPr>
        <w:t>(2), e70018.</w:t>
      </w:r>
    </w:p>
    <w:p w14:paraId="73943972" w14:textId="77777777"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Gauly, S. K., Hauschild, M. E., Dix, B. A., Gattinger, A., &amp; Niether, W. (2025). Food forests and forest gardens: Definition, practical application and role in sustainable development. </w:t>
      </w:r>
      <w:r w:rsidRPr="004B68B0">
        <w:rPr>
          <w:rFonts w:ascii="Times New Roman" w:hAnsi="Times New Roman" w:cs="Times New Roman"/>
          <w:i/>
          <w:iCs/>
          <w:color w:val="000000" w:themeColor="text1"/>
        </w:rPr>
        <w:t>Agroforestry Systems</w:t>
      </w:r>
      <w:r w:rsidRPr="004B68B0">
        <w:rPr>
          <w:rFonts w:ascii="Times New Roman" w:hAnsi="Times New Roman" w:cs="Times New Roman"/>
          <w:color w:val="000000" w:themeColor="text1"/>
        </w:rPr>
        <w:t>, </w:t>
      </w:r>
      <w:r w:rsidRPr="004B68B0">
        <w:rPr>
          <w:rFonts w:ascii="Times New Roman" w:hAnsi="Times New Roman" w:cs="Times New Roman"/>
          <w:i/>
          <w:iCs/>
          <w:color w:val="000000" w:themeColor="text1"/>
        </w:rPr>
        <w:t>99</w:t>
      </w:r>
      <w:r w:rsidRPr="004B68B0">
        <w:rPr>
          <w:rFonts w:ascii="Times New Roman" w:hAnsi="Times New Roman" w:cs="Times New Roman"/>
          <w:color w:val="000000" w:themeColor="text1"/>
        </w:rPr>
        <w:t>(8), 224.</w:t>
      </w:r>
    </w:p>
    <w:p w14:paraId="186CAFDF" w14:textId="12A0AE66"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Geissdoerfer, M., Savaget, P., Bocken, N. M., &amp; Hultink, E. J. (2017). The Circular Economy</w:t>
      </w:r>
      <w:r w:rsidR="00A252A3">
        <w:rPr>
          <w:rFonts w:ascii="Times New Roman" w:hAnsi="Times New Roman" w:cs="Times New Roman"/>
          <w:color w:val="000000" w:themeColor="text1"/>
        </w:rPr>
        <w:t>-</w:t>
      </w:r>
      <w:r w:rsidRPr="004B68B0">
        <w:rPr>
          <w:rFonts w:ascii="Times New Roman" w:hAnsi="Times New Roman" w:cs="Times New Roman"/>
          <w:color w:val="000000" w:themeColor="text1"/>
        </w:rPr>
        <w:t>A new sustainability paradigm?. </w:t>
      </w:r>
      <w:r w:rsidRPr="004B68B0">
        <w:rPr>
          <w:rFonts w:ascii="Times New Roman" w:hAnsi="Times New Roman" w:cs="Times New Roman"/>
          <w:i/>
          <w:iCs/>
          <w:color w:val="000000" w:themeColor="text1"/>
        </w:rPr>
        <w:t>Journal of cleaner production</w:t>
      </w:r>
      <w:r w:rsidRPr="004B68B0">
        <w:rPr>
          <w:rFonts w:ascii="Times New Roman" w:hAnsi="Times New Roman" w:cs="Times New Roman"/>
          <w:color w:val="000000" w:themeColor="text1"/>
        </w:rPr>
        <w:t>, </w:t>
      </w:r>
      <w:r w:rsidRPr="004B68B0">
        <w:rPr>
          <w:rFonts w:ascii="Times New Roman" w:hAnsi="Times New Roman" w:cs="Times New Roman"/>
          <w:i/>
          <w:iCs/>
          <w:color w:val="000000" w:themeColor="text1"/>
        </w:rPr>
        <w:t>143</w:t>
      </w:r>
      <w:r w:rsidRPr="004B68B0">
        <w:rPr>
          <w:rFonts w:ascii="Times New Roman" w:hAnsi="Times New Roman" w:cs="Times New Roman"/>
          <w:color w:val="000000" w:themeColor="text1"/>
        </w:rPr>
        <w:t xml:space="preserve">, 757-768. </w:t>
      </w:r>
    </w:p>
    <w:p w14:paraId="1CA3AF64" w14:textId="77777777"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MacArthur, E. (2013). Towards the circular economy. </w:t>
      </w:r>
      <w:r w:rsidRPr="004B68B0">
        <w:rPr>
          <w:rFonts w:ascii="Times New Roman" w:hAnsi="Times New Roman" w:cs="Times New Roman"/>
          <w:i/>
          <w:iCs/>
          <w:color w:val="000000" w:themeColor="text1"/>
        </w:rPr>
        <w:t>Journal of industrial ecology</w:t>
      </w:r>
      <w:r w:rsidRPr="004B68B0">
        <w:rPr>
          <w:rFonts w:ascii="Times New Roman" w:hAnsi="Times New Roman" w:cs="Times New Roman"/>
          <w:color w:val="000000" w:themeColor="text1"/>
        </w:rPr>
        <w:t>, </w:t>
      </w:r>
      <w:r w:rsidRPr="004B68B0">
        <w:rPr>
          <w:rFonts w:ascii="Times New Roman" w:hAnsi="Times New Roman" w:cs="Times New Roman"/>
          <w:i/>
          <w:iCs/>
          <w:color w:val="000000" w:themeColor="text1"/>
        </w:rPr>
        <w:t>2</w:t>
      </w:r>
      <w:r w:rsidRPr="004B68B0">
        <w:rPr>
          <w:rFonts w:ascii="Times New Roman" w:hAnsi="Times New Roman" w:cs="Times New Roman"/>
          <w:color w:val="000000" w:themeColor="text1"/>
        </w:rPr>
        <w:t xml:space="preserve">(1), 23-44. </w:t>
      </w:r>
    </w:p>
    <w:p w14:paraId="4E8C5DB4" w14:textId="77777777" w:rsidR="004B68B0" w:rsidRP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UNECE &amp; FAO. (2025). Sustainable and circular bioeconomy in forest-based industries: How to get there (ECE/TIM/DP/96). Geneva: United Nations. </w:t>
      </w:r>
      <w:r>
        <w:rPr>
          <w:rFonts w:ascii="Times New Roman" w:hAnsi="Times New Roman" w:cs="Times New Roman"/>
          <w:color w:val="000000" w:themeColor="text1"/>
        </w:rPr>
        <w:t xml:space="preserve">Available at </w:t>
      </w:r>
      <w:hyperlink r:id="rId9" w:history="1">
        <w:r w:rsidRPr="00036F7A">
          <w:rPr>
            <w:rStyle w:val="Hyperlink"/>
            <w:rFonts w:ascii="Times New Roman" w:hAnsi="Times New Roman" w:cs="Times New Roman"/>
          </w:rPr>
          <w:t>https://unece.org/forests/publications/sustainable-and-circular-bioeconomy-forest-based-industries-ecetimdp96</w:t>
        </w:r>
      </w:hyperlink>
    </w:p>
    <w:p w14:paraId="79F39C14" w14:textId="3A9C6A21" w:rsidR="004B68B0" w:rsidRDefault="004B68B0" w:rsidP="00A0416C">
      <w:pPr>
        <w:spacing w:line="240" w:lineRule="auto"/>
        <w:ind w:left="540" w:hanging="540"/>
        <w:jc w:val="both"/>
        <w:rPr>
          <w:rFonts w:ascii="Times New Roman" w:hAnsi="Times New Roman" w:cs="Times New Roman"/>
          <w:color w:val="000000" w:themeColor="text1"/>
        </w:rPr>
      </w:pPr>
      <w:r w:rsidRPr="004B68B0">
        <w:rPr>
          <w:rFonts w:ascii="Times New Roman" w:hAnsi="Times New Roman" w:cs="Times New Roman"/>
          <w:color w:val="000000" w:themeColor="text1"/>
        </w:rPr>
        <w:t xml:space="preserve">World Bank. (2024, March 21). Viet Nam receives $51.5m World Bank payment for reducing emissions through forest preservation [Press release]. Washington, DC: World Bank Group. </w:t>
      </w:r>
      <w:r>
        <w:rPr>
          <w:rFonts w:ascii="Times New Roman" w:hAnsi="Times New Roman" w:cs="Times New Roman"/>
          <w:color w:val="000000" w:themeColor="text1"/>
        </w:rPr>
        <w:t xml:space="preserve">Available at </w:t>
      </w:r>
      <w:hyperlink r:id="rId10" w:history="1">
        <w:r w:rsidR="00A922AA" w:rsidRPr="00BB1EDD">
          <w:rPr>
            <w:rStyle w:val="Hyperlink"/>
            <w:rFonts w:ascii="Times New Roman" w:hAnsi="Times New Roman" w:cs="Times New Roman"/>
          </w:rPr>
          <w:t>https://www.worldbank.org/en/news/press-release/2024/03/21/viet-nam-receives-51-5m-world-bank-payment-for-reducing-emissions-through-forest-preservation</w:t>
        </w:r>
      </w:hyperlink>
    </w:p>
    <w:p w14:paraId="0DC25B72" w14:textId="77777777" w:rsidR="00A922AA" w:rsidRDefault="00A922AA" w:rsidP="00A0416C">
      <w:pPr>
        <w:spacing w:line="240" w:lineRule="auto"/>
        <w:ind w:left="540" w:hanging="540"/>
        <w:jc w:val="both"/>
        <w:rPr>
          <w:rFonts w:ascii="Times New Roman" w:hAnsi="Times New Roman" w:cs="Times New Roman"/>
          <w:color w:val="000000" w:themeColor="text1"/>
        </w:rPr>
      </w:pPr>
    </w:p>
    <w:p w14:paraId="725B4EF1" w14:textId="77777777" w:rsidR="00A922AA" w:rsidRDefault="00A922AA" w:rsidP="00A0416C">
      <w:pPr>
        <w:spacing w:line="240" w:lineRule="auto"/>
        <w:ind w:left="540" w:hanging="540"/>
        <w:jc w:val="both"/>
        <w:rPr>
          <w:rFonts w:ascii="Times New Roman" w:hAnsi="Times New Roman" w:cs="Times New Roman"/>
          <w:color w:val="000000" w:themeColor="text1"/>
        </w:rPr>
      </w:pPr>
    </w:p>
    <w:p w14:paraId="26BC9FAC" w14:textId="31FB72EB" w:rsidR="00A922AA" w:rsidRPr="00A922AA" w:rsidRDefault="00A922AA" w:rsidP="00A922AA">
      <w:pPr>
        <w:spacing w:line="240" w:lineRule="auto"/>
        <w:ind w:left="540" w:hanging="540"/>
        <w:jc w:val="both"/>
        <w:rPr>
          <w:rFonts w:ascii="Times New Roman" w:hAnsi="Times New Roman" w:cs="Times New Roman"/>
          <w:color w:val="000000" w:themeColor="text1"/>
        </w:rPr>
      </w:pPr>
      <w:r w:rsidRPr="00A922AA">
        <w:rPr>
          <w:rFonts w:ascii="Times New Roman" w:hAnsi="Times New Roman" w:cs="Times New Roman"/>
          <w:color w:val="000000" w:themeColor="text1"/>
        </w:rPr>
        <w:t xml:space="preserve">Ngày nhận bài: </w:t>
      </w:r>
      <w:r w:rsidR="00D70335">
        <w:rPr>
          <w:rFonts w:ascii="Times New Roman" w:hAnsi="Times New Roman" w:cs="Times New Roman"/>
          <w:color w:val="000000" w:themeColor="text1"/>
        </w:rPr>
        <w:t>26</w:t>
      </w:r>
      <w:r w:rsidRPr="00A922AA">
        <w:rPr>
          <w:rFonts w:ascii="Times New Roman" w:hAnsi="Times New Roman" w:cs="Times New Roman"/>
          <w:color w:val="000000" w:themeColor="text1"/>
        </w:rPr>
        <w:t>/01/2026</w:t>
      </w:r>
    </w:p>
    <w:p w14:paraId="2D46565D" w14:textId="16747A04" w:rsidR="00A922AA" w:rsidRPr="00A922AA" w:rsidRDefault="00A922AA" w:rsidP="00A922AA">
      <w:pPr>
        <w:spacing w:line="240" w:lineRule="auto"/>
        <w:ind w:left="540" w:hanging="540"/>
        <w:jc w:val="both"/>
        <w:rPr>
          <w:rFonts w:ascii="Times New Roman" w:hAnsi="Times New Roman" w:cs="Times New Roman"/>
          <w:color w:val="000000" w:themeColor="text1"/>
        </w:rPr>
      </w:pPr>
      <w:r w:rsidRPr="00A922AA">
        <w:rPr>
          <w:rFonts w:ascii="Times New Roman" w:hAnsi="Times New Roman" w:cs="Times New Roman"/>
          <w:color w:val="000000" w:themeColor="text1"/>
        </w:rPr>
        <w:t xml:space="preserve">Ngày phản biện đánh giá và sửa chữa: </w:t>
      </w:r>
      <w:r w:rsidR="00D70335">
        <w:rPr>
          <w:rFonts w:ascii="Times New Roman" w:hAnsi="Times New Roman" w:cs="Times New Roman"/>
          <w:color w:val="000000" w:themeColor="text1"/>
        </w:rPr>
        <w:t>7</w:t>
      </w:r>
      <w:r w:rsidRPr="00A922AA">
        <w:rPr>
          <w:rFonts w:ascii="Times New Roman" w:hAnsi="Times New Roman" w:cs="Times New Roman"/>
          <w:color w:val="000000" w:themeColor="text1"/>
        </w:rPr>
        <w:t>/02/2026</w:t>
      </w:r>
    </w:p>
    <w:p w14:paraId="090EF724" w14:textId="20E54E02" w:rsidR="00A922AA" w:rsidRDefault="00A922AA" w:rsidP="00A922AA">
      <w:pPr>
        <w:spacing w:line="240" w:lineRule="auto"/>
        <w:ind w:left="540" w:hanging="540"/>
        <w:jc w:val="both"/>
        <w:rPr>
          <w:rFonts w:ascii="Times New Roman" w:hAnsi="Times New Roman" w:cs="Times New Roman"/>
          <w:color w:val="000000" w:themeColor="text1"/>
        </w:rPr>
      </w:pPr>
      <w:r w:rsidRPr="00A922AA">
        <w:rPr>
          <w:rFonts w:ascii="Times New Roman" w:hAnsi="Times New Roman" w:cs="Times New Roman"/>
          <w:color w:val="000000" w:themeColor="text1"/>
        </w:rPr>
        <w:t>Ngày chấp nhận đăng bài: 2</w:t>
      </w:r>
      <w:r>
        <w:rPr>
          <w:rFonts w:ascii="Times New Roman" w:hAnsi="Times New Roman" w:cs="Times New Roman"/>
          <w:color w:val="000000" w:themeColor="text1"/>
        </w:rPr>
        <w:t>5</w:t>
      </w:r>
      <w:r w:rsidRPr="00A922AA">
        <w:rPr>
          <w:rFonts w:ascii="Times New Roman" w:hAnsi="Times New Roman" w:cs="Times New Roman"/>
          <w:color w:val="000000" w:themeColor="text1"/>
        </w:rPr>
        <w:t>/02/2026</w:t>
      </w:r>
    </w:p>
    <w:p w14:paraId="4182B8BF" w14:textId="77777777" w:rsidR="00A922AA" w:rsidRPr="004B68B0" w:rsidRDefault="00A922AA" w:rsidP="00A922AA">
      <w:pPr>
        <w:spacing w:line="240" w:lineRule="auto"/>
        <w:ind w:left="540" w:hanging="540"/>
        <w:jc w:val="both"/>
        <w:rPr>
          <w:rFonts w:ascii="Times New Roman" w:hAnsi="Times New Roman" w:cs="Times New Roman"/>
          <w:color w:val="000000" w:themeColor="text1"/>
        </w:rPr>
      </w:pPr>
    </w:p>
    <w:p w14:paraId="3117294E" w14:textId="1FECDDB8" w:rsidR="00BD2B2E" w:rsidRDefault="00BD2B2E" w:rsidP="00756E9A">
      <w:pPr>
        <w:spacing w:before="240" w:line="240" w:lineRule="auto"/>
        <w:jc w:val="center"/>
        <w:rPr>
          <w:rFonts w:ascii="Times New Roman" w:hAnsi="Times New Roman" w:cs="Times New Roman"/>
          <w:b/>
          <w:bCs/>
          <w:color w:val="000000" w:themeColor="text1"/>
        </w:rPr>
      </w:pPr>
      <w:r w:rsidRPr="00BD2B2E">
        <w:rPr>
          <w:rFonts w:ascii="Times New Roman" w:hAnsi="Times New Roman" w:cs="Times New Roman"/>
          <w:b/>
          <w:bCs/>
          <w:color w:val="000000" w:themeColor="text1"/>
        </w:rPr>
        <w:t>The forest garden model within a circular economy framework: Potential and development pathways in Vietnam</w:t>
      </w:r>
    </w:p>
    <w:p w14:paraId="72F0E7C9" w14:textId="0D799A5D" w:rsidR="00756E9A" w:rsidRPr="00687CBF" w:rsidRDefault="00756E9A" w:rsidP="00756E9A">
      <w:pPr>
        <w:spacing w:before="240" w:line="240" w:lineRule="auto"/>
        <w:jc w:val="center"/>
        <w:rPr>
          <w:rFonts w:ascii="Times New Roman" w:hAnsi="Times New Roman" w:cs="Times New Roman"/>
          <w:b/>
          <w:bCs/>
          <w:color w:val="000000" w:themeColor="text1"/>
          <w:vertAlign w:val="superscript"/>
        </w:rPr>
      </w:pPr>
      <w:r w:rsidRPr="00756E9A">
        <w:rPr>
          <w:rFonts w:ascii="Times New Roman" w:hAnsi="Times New Roman" w:cs="Times New Roman"/>
          <w:b/>
          <w:bCs/>
          <w:color w:val="000000" w:themeColor="text1"/>
        </w:rPr>
        <w:t>Nguyen Trong Tin</w:t>
      </w:r>
    </w:p>
    <w:p w14:paraId="5B4C1911" w14:textId="06BB80F3" w:rsidR="00756E9A" w:rsidRDefault="00756E9A" w:rsidP="00756E9A">
      <w:pPr>
        <w:spacing w:before="240" w:line="240" w:lineRule="auto"/>
        <w:jc w:val="center"/>
        <w:rPr>
          <w:rFonts w:ascii="Times New Roman" w:hAnsi="Times New Roman" w:cs="Times New Roman"/>
          <w:b/>
          <w:bCs/>
          <w:color w:val="000000" w:themeColor="text1"/>
        </w:rPr>
      </w:pPr>
      <w:r w:rsidRPr="00756E9A">
        <w:rPr>
          <w:rFonts w:ascii="Times New Roman" w:hAnsi="Times New Roman" w:cs="Times New Roman"/>
          <w:b/>
          <w:bCs/>
          <w:color w:val="000000" w:themeColor="text1"/>
        </w:rPr>
        <w:t xml:space="preserve">Lecturer, International </w:t>
      </w:r>
      <w:r w:rsidR="00FD4374">
        <w:rPr>
          <w:rFonts w:ascii="Times New Roman" w:hAnsi="Times New Roman" w:cs="Times New Roman"/>
          <w:b/>
          <w:bCs/>
          <w:color w:val="000000" w:themeColor="text1"/>
        </w:rPr>
        <w:t>School</w:t>
      </w:r>
      <w:r w:rsidRPr="00756E9A">
        <w:rPr>
          <w:rFonts w:ascii="Times New Roman" w:hAnsi="Times New Roman" w:cs="Times New Roman"/>
          <w:b/>
          <w:bCs/>
          <w:color w:val="000000" w:themeColor="text1"/>
        </w:rPr>
        <w:t xml:space="preserve">, Vietnam National University </w:t>
      </w:r>
      <w:r>
        <w:rPr>
          <w:rFonts w:ascii="Times New Roman" w:hAnsi="Times New Roman" w:cs="Times New Roman"/>
          <w:b/>
          <w:bCs/>
          <w:color w:val="000000" w:themeColor="text1"/>
        </w:rPr>
        <w:t xml:space="preserve">- </w:t>
      </w:r>
      <w:r w:rsidRPr="00756E9A">
        <w:rPr>
          <w:rFonts w:ascii="Times New Roman" w:hAnsi="Times New Roman" w:cs="Times New Roman"/>
          <w:b/>
          <w:bCs/>
          <w:color w:val="000000" w:themeColor="text1"/>
        </w:rPr>
        <w:t>Ho Chi Minh City</w:t>
      </w:r>
    </w:p>
    <w:p w14:paraId="3C2C4391" w14:textId="77777777" w:rsidR="00756E9A" w:rsidRPr="004B68B0" w:rsidRDefault="00756E9A" w:rsidP="00A0416C">
      <w:pPr>
        <w:spacing w:before="240" w:line="240" w:lineRule="auto"/>
        <w:jc w:val="center"/>
        <w:rPr>
          <w:rFonts w:ascii="Times New Roman" w:hAnsi="Times New Roman" w:cs="Times New Roman"/>
          <w:color w:val="000000" w:themeColor="text1"/>
        </w:rPr>
      </w:pPr>
    </w:p>
    <w:p w14:paraId="2D10C84F" w14:textId="77E13C83" w:rsidR="004B68B0" w:rsidRPr="004B68B0" w:rsidRDefault="004B68B0" w:rsidP="00A0416C">
      <w:pPr>
        <w:spacing w:line="240"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ABSTRACT</w:t>
      </w:r>
      <w:r>
        <w:rPr>
          <w:rFonts w:ascii="Times New Roman" w:hAnsi="Times New Roman" w:cs="Times New Roman"/>
          <w:b/>
          <w:bCs/>
          <w:color w:val="000000" w:themeColor="text1"/>
        </w:rPr>
        <w:t>:</w:t>
      </w:r>
    </w:p>
    <w:p w14:paraId="5D1C4D70" w14:textId="5B10EE32" w:rsidR="004260EA" w:rsidRPr="004B68B0" w:rsidRDefault="004260EA" w:rsidP="00A0416C">
      <w:pPr>
        <w:spacing w:line="240" w:lineRule="auto"/>
        <w:jc w:val="both"/>
        <w:rPr>
          <w:rFonts w:ascii="Times New Roman" w:hAnsi="Times New Roman" w:cs="Times New Roman"/>
          <w:color w:val="000000" w:themeColor="text1"/>
        </w:rPr>
      </w:pPr>
      <w:r w:rsidRPr="004260EA">
        <w:rPr>
          <w:rFonts w:ascii="Times New Roman" w:hAnsi="Times New Roman" w:cs="Times New Roman"/>
          <w:color w:val="000000" w:themeColor="text1"/>
        </w:rPr>
        <w:t xml:space="preserve">This </w:t>
      </w:r>
      <w:r w:rsidR="0098671F">
        <w:rPr>
          <w:rFonts w:ascii="Times New Roman" w:hAnsi="Times New Roman" w:cs="Times New Roman"/>
          <w:color w:val="000000" w:themeColor="text1"/>
        </w:rPr>
        <w:t>study</w:t>
      </w:r>
      <w:r w:rsidRPr="004260EA">
        <w:rPr>
          <w:rFonts w:ascii="Times New Roman" w:hAnsi="Times New Roman" w:cs="Times New Roman"/>
          <w:color w:val="000000" w:themeColor="text1"/>
        </w:rPr>
        <w:t xml:space="preserve"> examines the forest garden model as a representative agroforestry system capable of integrating circular economy (CE) principles within Vietnam’s forestry sector. Drawing on a synthesis of secondary literature and an analysis of existing forest garden practices across selected localities, the study evaluates the model’s capacity to close material loops</w:t>
      </w:r>
      <w:r w:rsidR="0098671F">
        <w:rPr>
          <w:rFonts w:ascii="Times New Roman" w:hAnsi="Times New Roman" w:cs="Times New Roman"/>
          <w:color w:val="000000" w:themeColor="text1"/>
        </w:rPr>
        <w:t xml:space="preserve">, </w:t>
      </w:r>
      <w:r w:rsidRPr="004260EA">
        <w:rPr>
          <w:rFonts w:ascii="Times New Roman" w:hAnsi="Times New Roman" w:cs="Times New Roman"/>
          <w:color w:val="000000" w:themeColor="text1"/>
        </w:rPr>
        <w:t>including biomass, organic waste, water, and soil nutrients</w:t>
      </w:r>
      <w:r w:rsidR="0098671F">
        <w:rPr>
          <w:rFonts w:ascii="Times New Roman" w:hAnsi="Times New Roman" w:cs="Times New Roman"/>
          <w:color w:val="000000" w:themeColor="text1"/>
        </w:rPr>
        <w:t xml:space="preserve">, </w:t>
      </w:r>
      <w:r w:rsidRPr="004260EA">
        <w:rPr>
          <w:rFonts w:ascii="Times New Roman" w:hAnsi="Times New Roman" w:cs="Times New Roman"/>
          <w:color w:val="000000" w:themeColor="text1"/>
        </w:rPr>
        <w:t xml:space="preserve">while diversifying income streams and </w:t>
      </w:r>
      <w:r w:rsidRPr="004260EA">
        <w:rPr>
          <w:rFonts w:ascii="Times New Roman" w:hAnsi="Times New Roman" w:cs="Times New Roman"/>
          <w:color w:val="000000" w:themeColor="text1"/>
        </w:rPr>
        <w:lastRenderedPageBreak/>
        <w:t>reducing environmental impacts. The findings indicate that forest garden systems can generate three to five concurrent circular value streams and contribute to carbon sequestration and the provision of ecosystem services. Overall, the study highlights the multifaceted role of forest garden models in advancing resource efficiency and sustainability within the context of Vietnam’s green growth agenda.</w:t>
      </w:r>
    </w:p>
    <w:p w14:paraId="546D4910" w14:textId="16DB682D" w:rsidR="0003608E" w:rsidRDefault="003A1980" w:rsidP="00A0416C">
      <w:pPr>
        <w:spacing w:line="240" w:lineRule="auto"/>
        <w:jc w:val="both"/>
        <w:rPr>
          <w:rFonts w:ascii="Times New Roman" w:hAnsi="Times New Roman" w:cs="Times New Roman"/>
          <w:color w:val="000000" w:themeColor="text1"/>
        </w:rPr>
      </w:pPr>
      <w:r w:rsidRPr="004B68B0">
        <w:rPr>
          <w:rFonts w:ascii="Times New Roman" w:hAnsi="Times New Roman" w:cs="Times New Roman"/>
          <w:b/>
          <w:bCs/>
          <w:color w:val="000000" w:themeColor="text1"/>
        </w:rPr>
        <w:t xml:space="preserve">Keywords: </w:t>
      </w:r>
      <w:r w:rsidRPr="004B68B0">
        <w:rPr>
          <w:rFonts w:ascii="Times New Roman" w:hAnsi="Times New Roman" w:cs="Times New Roman"/>
          <w:color w:val="000000" w:themeColor="text1"/>
        </w:rPr>
        <w:t>forest garden, circular economy, agroforestry, green growth, sustainable forestry</w:t>
      </w:r>
      <w:r w:rsidR="004B68B0" w:rsidRPr="004B68B0">
        <w:rPr>
          <w:rFonts w:ascii="Times New Roman" w:hAnsi="Times New Roman" w:cs="Times New Roman"/>
          <w:color w:val="000000" w:themeColor="text1"/>
        </w:rPr>
        <w:t>.</w:t>
      </w:r>
    </w:p>
    <w:p w14:paraId="403D1592" w14:textId="77777777" w:rsidR="00375D55" w:rsidRDefault="00375D55" w:rsidP="00A0416C">
      <w:pPr>
        <w:spacing w:line="240" w:lineRule="auto"/>
        <w:jc w:val="both"/>
        <w:rPr>
          <w:rFonts w:ascii="Times New Roman" w:hAnsi="Times New Roman" w:cs="Times New Roman"/>
          <w:color w:val="000000" w:themeColor="text1"/>
        </w:rPr>
      </w:pPr>
    </w:p>
    <w:p w14:paraId="50EA4367" w14:textId="77777777" w:rsidR="00375D55" w:rsidRPr="004B68B0" w:rsidRDefault="00375D55" w:rsidP="00A0416C">
      <w:pPr>
        <w:spacing w:line="240" w:lineRule="auto"/>
        <w:jc w:val="both"/>
        <w:rPr>
          <w:rFonts w:ascii="Times New Roman" w:hAnsi="Times New Roman" w:cs="Times New Roman"/>
          <w:color w:val="000000" w:themeColor="text1"/>
        </w:rPr>
      </w:pPr>
    </w:p>
    <w:sectPr w:rsidR="00375D55" w:rsidRPr="004B68B0" w:rsidSect="001038EE">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2742" w14:textId="77777777" w:rsidR="00297C89" w:rsidRDefault="00297C89" w:rsidP="0003608E">
      <w:pPr>
        <w:spacing w:after="0" w:line="240" w:lineRule="auto"/>
      </w:pPr>
      <w:r>
        <w:separator/>
      </w:r>
    </w:p>
  </w:endnote>
  <w:endnote w:type="continuationSeparator" w:id="0">
    <w:p w14:paraId="57ABFFA9" w14:textId="77777777" w:rsidR="00297C89" w:rsidRDefault="00297C89" w:rsidP="0003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50428"/>
      <w:docPartObj>
        <w:docPartGallery w:val="Page Numbers (Bottom of Page)"/>
        <w:docPartUnique/>
      </w:docPartObj>
    </w:sdtPr>
    <w:sdtEndPr>
      <w:rPr>
        <w:noProof/>
      </w:rPr>
    </w:sdtEndPr>
    <w:sdtContent>
      <w:p w14:paraId="74EF5383" w14:textId="5435BE34" w:rsidR="00F657B1" w:rsidRDefault="00F657B1">
        <w:pPr>
          <w:pStyle w:val="Footer"/>
          <w:jc w:val="center"/>
        </w:pPr>
        <w:r w:rsidRPr="00F657B1">
          <w:rPr>
            <w:rFonts w:ascii="Times New Roman" w:hAnsi="Times New Roman" w:cs="Times New Roman"/>
          </w:rPr>
          <w:fldChar w:fldCharType="begin"/>
        </w:r>
        <w:r w:rsidRPr="00F657B1">
          <w:rPr>
            <w:rFonts w:ascii="Times New Roman" w:hAnsi="Times New Roman" w:cs="Times New Roman"/>
          </w:rPr>
          <w:instrText xml:space="preserve"> PAGE   \* MERGEFORMAT </w:instrText>
        </w:r>
        <w:r w:rsidRPr="00F657B1">
          <w:rPr>
            <w:rFonts w:ascii="Times New Roman" w:hAnsi="Times New Roman" w:cs="Times New Roman"/>
          </w:rPr>
          <w:fldChar w:fldCharType="separate"/>
        </w:r>
        <w:r w:rsidRPr="00F657B1">
          <w:rPr>
            <w:rFonts w:ascii="Times New Roman" w:hAnsi="Times New Roman" w:cs="Times New Roman"/>
            <w:noProof/>
          </w:rPr>
          <w:t>2</w:t>
        </w:r>
        <w:r w:rsidRPr="00F657B1">
          <w:rPr>
            <w:rFonts w:ascii="Times New Roman" w:hAnsi="Times New Roman" w:cs="Times New Roman"/>
            <w:noProof/>
          </w:rPr>
          <w:fldChar w:fldCharType="end"/>
        </w:r>
      </w:p>
    </w:sdtContent>
  </w:sdt>
  <w:p w14:paraId="355A8C31" w14:textId="77777777" w:rsidR="00F657B1" w:rsidRDefault="00F65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2F21" w14:textId="77777777" w:rsidR="00297C89" w:rsidRDefault="00297C89" w:rsidP="0003608E">
      <w:pPr>
        <w:spacing w:after="0" w:line="240" w:lineRule="auto"/>
      </w:pPr>
      <w:r>
        <w:separator/>
      </w:r>
    </w:p>
  </w:footnote>
  <w:footnote w:type="continuationSeparator" w:id="0">
    <w:p w14:paraId="1855C8B4" w14:textId="77777777" w:rsidR="00297C89" w:rsidRDefault="00297C89" w:rsidP="00036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F5AD0"/>
    <w:multiLevelType w:val="hybridMultilevel"/>
    <w:tmpl w:val="58B2061E"/>
    <w:lvl w:ilvl="0" w:tplc="17380032">
      <w:start w:val="1"/>
      <w:numFmt w:val="bullet"/>
      <w:lvlText w:val="•"/>
      <w:lvlJc w:val="left"/>
      <w:pPr>
        <w:ind w:left="900" w:hanging="360"/>
      </w:pPr>
    </w:lvl>
    <w:lvl w:ilvl="1" w:tplc="E9726668">
      <w:numFmt w:val="decimal"/>
      <w:lvlText w:val=""/>
      <w:lvlJc w:val="left"/>
      <w:pPr>
        <w:ind w:left="0" w:firstLine="0"/>
      </w:pPr>
    </w:lvl>
    <w:lvl w:ilvl="2" w:tplc="26B206DC">
      <w:numFmt w:val="decimal"/>
      <w:lvlText w:val=""/>
      <w:lvlJc w:val="left"/>
      <w:pPr>
        <w:ind w:left="0" w:firstLine="0"/>
      </w:pPr>
    </w:lvl>
    <w:lvl w:ilvl="3" w:tplc="A4249A5A">
      <w:numFmt w:val="decimal"/>
      <w:lvlText w:val=""/>
      <w:lvlJc w:val="left"/>
      <w:pPr>
        <w:ind w:left="0" w:firstLine="0"/>
      </w:pPr>
    </w:lvl>
    <w:lvl w:ilvl="4" w:tplc="1AE05676">
      <w:numFmt w:val="decimal"/>
      <w:lvlText w:val=""/>
      <w:lvlJc w:val="left"/>
      <w:pPr>
        <w:ind w:left="0" w:firstLine="0"/>
      </w:pPr>
    </w:lvl>
    <w:lvl w:ilvl="5" w:tplc="7108B28A">
      <w:numFmt w:val="decimal"/>
      <w:lvlText w:val=""/>
      <w:lvlJc w:val="left"/>
      <w:pPr>
        <w:ind w:left="0" w:firstLine="0"/>
      </w:pPr>
    </w:lvl>
    <w:lvl w:ilvl="6" w:tplc="096E404E">
      <w:numFmt w:val="decimal"/>
      <w:lvlText w:val=""/>
      <w:lvlJc w:val="left"/>
      <w:pPr>
        <w:ind w:left="0" w:firstLine="0"/>
      </w:pPr>
    </w:lvl>
    <w:lvl w:ilvl="7" w:tplc="72C67756">
      <w:numFmt w:val="decimal"/>
      <w:lvlText w:val=""/>
      <w:lvlJc w:val="left"/>
      <w:pPr>
        <w:ind w:left="0" w:firstLine="0"/>
      </w:pPr>
    </w:lvl>
    <w:lvl w:ilvl="8" w:tplc="9C54E60A">
      <w:numFmt w:val="decimal"/>
      <w:lvlText w:val=""/>
      <w:lvlJc w:val="left"/>
      <w:pPr>
        <w:ind w:left="0" w:firstLine="0"/>
      </w:pPr>
    </w:lvl>
  </w:abstractNum>
  <w:num w:numId="1" w16cid:durableId="151742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8E"/>
    <w:rsid w:val="0003608E"/>
    <w:rsid w:val="001038EE"/>
    <w:rsid w:val="0011617F"/>
    <w:rsid w:val="001210BA"/>
    <w:rsid w:val="0014623F"/>
    <w:rsid w:val="00196736"/>
    <w:rsid w:val="001A3646"/>
    <w:rsid w:val="0021700A"/>
    <w:rsid w:val="00230297"/>
    <w:rsid w:val="00297C89"/>
    <w:rsid w:val="00316C76"/>
    <w:rsid w:val="00330ACF"/>
    <w:rsid w:val="00375D55"/>
    <w:rsid w:val="003A1980"/>
    <w:rsid w:val="004260EA"/>
    <w:rsid w:val="00430AFC"/>
    <w:rsid w:val="004B68B0"/>
    <w:rsid w:val="004F4C9F"/>
    <w:rsid w:val="005D1995"/>
    <w:rsid w:val="00654273"/>
    <w:rsid w:val="00687CBF"/>
    <w:rsid w:val="00701877"/>
    <w:rsid w:val="00756E9A"/>
    <w:rsid w:val="007944FC"/>
    <w:rsid w:val="007D5E0E"/>
    <w:rsid w:val="00820007"/>
    <w:rsid w:val="00954C21"/>
    <w:rsid w:val="0098671F"/>
    <w:rsid w:val="009A6FED"/>
    <w:rsid w:val="00A0416C"/>
    <w:rsid w:val="00A252A3"/>
    <w:rsid w:val="00A85BC5"/>
    <w:rsid w:val="00A922AA"/>
    <w:rsid w:val="00AE0421"/>
    <w:rsid w:val="00AF3C69"/>
    <w:rsid w:val="00BC776C"/>
    <w:rsid w:val="00BD2B2E"/>
    <w:rsid w:val="00C05089"/>
    <w:rsid w:val="00CB34A5"/>
    <w:rsid w:val="00CC14F2"/>
    <w:rsid w:val="00CC6BAA"/>
    <w:rsid w:val="00CE1377"/>
    <w:rsid w:val="00D20720"/>
    <w:rsid w:val="00D70335"/>
    <w:rsid w:val="00DA2DEA"/>
    <w:rsid w:val="00DC54E1"/>
    <w:rsid w:val="00E1582D"/>
    <w:rsid w:val="00E823E1"/>
    <w:rsid w:val="00E83B8C"/>
    <w:rsid w:val="00F657B1"/>
    <w:rsid w:val="00F919E5"/>
    <w:rsid w:val="00FA5D12"/>
    <w:rsid w:val="00FD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5816"/>
  <w15:chartTrackingRefBased/>
  <w15:docId w15:val="{E940B0B3-FA8B-4C8C-B963-3E45FCFD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8E"/>
    <w:rPr>
      <w:rFonts w:eastAsiaTheme="majorEastAsia" w:cstheme="majorBidi"/>
      <w:color w:val="272727" w:themeColor="text1" w:themeTint="D8"/>
    </w:rPr>
  </w:style>
  <w:style w:type="paragraph" w:styleId="Title">
    <w:name w:val="Title"/>
    <w:basedOn w:val="Normal"/>
    <w:next w:val="Normal"/>
    <w:link w:val="TitleChar"/>
    <w:uiPriority w:val="10"/>
    <w:qFormat/>
    <w:rsid w:val="00036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8E"/>
    <w:pPr>
      <w:spacing w:before="160"/>
      <w:jc w:val="center"/>
    </w:pPr>
    <w:rPr>
      <w:i/>
      <w:iCs/>
      <w:color w:val="404040" w:themeColor="text1" w:themeTint="BF"/>
    </w:rPr>
  </w:style>
  <w:style w:type="character" w:customStyle="1" w:styleId="QuoteChar">
    <w:name w:val="Quote Char"/>
    <w:basedOn w:val="DefaultParagraphFont"/>
    <w:link w:val="Quote"/>
    <w:uiPriority w:val="29"/>
    <w:rsid w:val="0003608E"/>
    <w:rPr>
      <w:i/>
      <w:iCs/>
      <w:color w:val="404040" w:themeColor="text1" w:themeTint="BF"/>
    </w:rPr>
  </w:style>
  <w:style w:type="paragraph" w:styleId="ListParagraph">
    <w:name w:val="List Paragraph"/>
    <w:basedOn w:val="Normal"/>
    <w:uiPriority w:val="34"/>
    <w:qFormat/>
    <w:rsid w:val="0003608E"/>
    <w:pPr>
      <w:ind w:left="720"/>
      <w:contextualSpacing/>
    </w:pPr>
  </w:style>
  <w:style w:type="character" w:styleId="IntenseEmphasis">
    <w:name w:val="Intense Emphasis"/>
    <w:basedOn w:val="DefaultParagraphFont"/>
    <w:uiPriority w:val="21"/>
    <w:qFormat/>
    <w:rsid w:val="0003608E"/>
    <w:rPr>
      <w:i/>
      <w:iCs/>
      <w:color w:val="0F4761" w:themeColor="accent1" w:themeShade="BF"/>
    </w:rPr>
  </w:style>
  <w:style w:type="paragraph" w:styleId="IntenseQuote">
    <w:name w:val="Intense Quote"/>
    <w:basedOn w:val="Normal"/>
    <w:next w:val="Normal"/>
    <w:link w:val="IntenseQuoteChar"/>
    <w:uiPriority w:val="30"/>
    <w:qFormat/>
    <w:rsid w:val="0003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8E"/>
    <w:rPr>
      <w:i/>
      <w:iCs/>
      <w:color w:val="0F4761" w:themeColor="accent1" w:themeShade="BF"/>
    </w:rPr>
  </w:style>
  <w:style w:type="character" w:styleId="IntenseReference">
    <w:name w:val="Intense Reference"/>
    <w:basedOn w:val="DefaultParagraphFont"/>
    <w:uiPriority w:val="32"/>
    <w:qFormat/>
    <w:rsid w:val="0003608E"/>
    <w:rPr>
      <w:b/>
      <w:bCs/>
      <w:smallCaps/>
      <w:color w:val="0F4761" w:themeColor="accent1" w:themeShade="BF"/>
      <w:spacing w:val="5"/>
    </w:rPr>
  </w:style>
  <w:style w:type="paragraph" w:styleId="FootnoteText">
    <w:name w:val="footnote text"/>
    <w:basedOn w:val="Normal"/>
    <w:link w:val="FootnoteTextChar"/>
    <w:uiPriority w:val="99"/>
    <w:semiHidden/>
    <w:unhideWhenUsed/>
    <w:rsid w:val="000360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08E"/>
    <w:rPr>
      <w:sz w:val="20"/>
      <w:szCs w:val="20"/>
    </w:rPr>
  </w:style>
  <w:style w:type="character" w:styleId="FootnoteReference">
    <w:name w:val="footnote reference"/>
    <w:basedOn w:val="DefaultParagraphFont"/>
    <w:link w:val="BVIfnrCarCar"/>
    <w:uiPriority w:val="99"/>
    <w:semiHidden/>
    <w:unhideWhenUsed/>
    <w:qFormat/>
    <w:rsid w:val="0003608E"/>
    <w:rPr>
      <w:vertAlign w:val="superscript"/>
    </w:rPr>
  </w:style>
  <w:style w:type="paragraph" w:styleId="Header">
    <w:name w:val="header"/>
    <w:basedOn w:val="Normal"/>
    <w:link w:val="HeaderChar"/>
    <w:uiPriority w:val="99"/>
    <w:unhideWhenUsed/>
    <w:rsid w:val="00F65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7B1"/>
  </w:style>
  <w:style w:type="paragraph" w:styleId="Footer">
    <w:name w:val="footer"/>
    <w:basedOn w:val="Normal"/>
    <w:link w:val="FooterChar"/>
    <w:uiPriority w:val="99"/>
    <w:unhideWhenUsed/>
    <w:rsid w:val="00F65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7B1"/>
  </w:style>
  <w:style w:type="character" w:styleId="Hyperlink">
    <w:name w:val="Hyperlink"/>
    <w:basedOn w:val="DefaultParagraphFont"/>
    <w:uiPriority w:val="99"/>
    <w:unhideWhenUsed/>
    <w:rsid w:val="0011617F"/>
    <w:rPr>
      <w:color w:val="467886" w:themeColor="hyperlink"/>
      <w:u w:val="single"/>
    </w:rPr>
  </w:style>
  <w:style w:type="character" w:styleId="UnresolvedMention">
    <w:name w:val="Unresolved Mention"/>
    <w:basedOn w:val="DefaultParagraphFont"/>
    <w:uiPriority w:val="99"/>
    <w:semiHidden/>
    <w:unhideWhenUsed/>
    <w:rsid w:val="0011617F"/>
    <w:rPr>
      <w:color w:val="605E5C"/>
      <w:shd w:val="clear" w:color="auto" w:fill="E1DFDD"/>
    </w:rPr>
  </w:style>
  <w:style w:type="paragraph" w:customStyle="1" w:styleId="BVIfnrCarCar">
    <w:name w:val="BVI fnr Car Car"/>
    <w:basedOn w:val="Normal"/>
    <w:link w:val="FootnoteReference"/>
    <w:uiPriority w:val="99"/>
    <w:qFormat/>
    <w:rsid w:val="001210BA"/>
    <w:pPr>
      <w:spacing w:line="240" w:lineRule="exact"/>
    </w:pPr>
    <w:rPr>
      <w:vertAlign w:val="superscript"/>
    </w:rPr>
  </w:style>
  <w:style w:type="character" w:styleId="CommentReference">
    <w:name w:val="annotation reference"/>
    <w:basedOn w:val="DefaultParagraphFont"/>
    <w:uiPriority w:val="99"/>
    <w:semiHidden/>
    <w:unhideWhenUsed/>
    <w:rsid w:val="004B68B0"/>
    <w:rPr>
      <w:sz w:val="16"/>
      <w:szCs w:val="16"/>
    </w:rPr>
  </w:style>
  <w:style w:type="paragraph" w:styleId="CommentText">
    <w:name w:val="annotation text"/>
    <w:basedOn w:val="Normal"/>
    <w:link w:val="CommentTextChar"/>
    <w:uiPriority w:val="99"/>
    <w:semiHidden/>
    <w:unhideWhenUsed/>
    <w:rsid w:val="004B68B0"/>
    <w:pPr>
      <w:spacing w:line="240" w:lineRule="auto"/>
    </w:pPr>
    <w:rPr>
      <w:sz w:val="20"/>
      <w:szCs w:val="20"/>
    </w:rPr>
  </w:style>
  <w:style w:type="character" w:customStyle="1" w:styleId="CommentTextChar">
    <w:name w:val="Comment Text Char"/>
    <w:basedOn w:val="DefaultParagraphFont"/>
    <w:link w:val="CommentText"/>
    <w:uiPriority w:val="99"/>
    <w:semiHidden/>
    <w:rsid w:val="004B68B0"/>
    <w:rPr>
      <w:sz w:val="20"/>
      <w:szCs w:val="20"/>
    </w:rPr>
  </w:style>
  <w:style w:type="paragraph" w:styleId="CommentSubject">
    <w:name w:val="annotation subject"/>
    <w:basedOn w:val="CommentText"/>
    <w:next w:val="CommentText"/>
    <w:link w:val="CommentSubjectChar"/>
    <w:uiPriority w:val="99"/>
    <w:semiHidden/>
    <w:unhideWhenUsed/>
    <w:rsid w:val="004B68B0"/>
    <w:rPr>
      <w:b/>
      <w:bCs/>
    </w:rPr>
  </w:style>
  <w:style w:type="character" w:customStyle="1" w:styleId="CommentSubjectChar">
    <w:name w:val="Comment Subject Char"/>
    <w:basedOn w:val="CommentTextChar"/>
    <w:link w:val="CommentSubject"/>
    <w:uiPriority w:val="99"/>
    <w:semiHidden/>
    <w:rsid w:val="004B68B0"/>
    <w:rPr>
      <w:b/>
      <w:bCs/>
      <w:sz w:val="20"/>
      <w:szCs w:val="20"/>
    </w:rPr>
  </w:style>
  <w:style w:type="paragraph" w:styleId="Revision">
    <w:name w:val="Revision"/>
    <w:hidden/>
    <w:uiPriority w:val="99"/>
    <w:semiHidden/>
    <w:rsid w:val="00A252A3"/>
    <w:pPr>
      <w:spacing w:after="0" w:line="240" w:lineRule="auto"/>
    </w:pPr>
  </w:style>
  <w:style w:type="paragraph" w:styleId="NoSpacing">
    <w:name w:val="No Spacing"/>
    <w:uiPriority w:val="1"/>
    <w:qFormat/>
    <w:rsid w:val="00687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laocai.vn/nang-cao-gia-tri-kinh-te-rung-post39725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orldbank.org/en/news/press-release/2024/03/21/viet-nam-receives-51-5m-world-bank-payment-for-reducing-emissions-through-forest-preservation" TargetMode="External"/><Relationship Id="rId4" Type="http://schemas.openxmlformats.org/officeDocument/2006/relationships/settings" Target="settings.xml"/><Relationship Id="rId9" Type="http://schemas.openxmlformats.org/officeDocument/2006/relationships/hyperlink" Target="https://unece.org/forests/publications/sustainable-and-circular-bioeconomy-forest-based-industries-ecetimdp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E0B6-73F8-41C2-AA32-FB2CD8D7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Tin Nguyen</dc:creator>
  <cp:keywords/>
  <dc:description/>
  <cp:lastModifiedBy>Administrator</cp:lastModifiedBy>
  <cp:revision>18</cp:revision>
  <cp:lastPrinted>2026-03-28T21:18:00Z</cp:lastPrinted>
  <dcterms:created xsi:type="dcterms:W3CDTF">2026-04-03T08:39:00Z</dcterms:created>
  <dcterms:modified xsi:type="dcterms:W3CDTF">2026-04-22T03:12:00Z</dcterms:modified>
</cp:coreProperties>
</file>