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D22B" w14:textId="77777777" w:rsidR="00733D02" w:rsidRPr="007B4A6B" w:rsidRDefault="00733D02" w:rsidP="00733D02">
      <w:pPr>
        <w:spacing w:after="0" w:line="240" w:lineRule="auto"/>
        <w:jc w:val="center"/>
        <w:rPr>
          <w:rFonts w:ascii="Times New Roman" w:hAnsi="Times New Roman" w:cs="Times New Roman"/>
        </w:rPr>
      </w:pPr>
      <w:r w:rsidRPr="00C004DE">
        <w:rPr>
          <w:rFonts w:ascii="Times New Roman" w:hAnsi="Times New Roman" w:cs="Times New Roman"/>
        </w:rPr>
        <w:t xml:space="preserve">Determinants of </w:t>
      </w:r>
      <w:r>
        <w:rPr>
          <w:rFonts w:ascii="Times New Roman" w:hAnsi="Times New Roman" w:cs="Times New Roman"/>
        </w:rPr>
        <w:t>e</w:t>
      </w:r>
      <w:r w:rsidRPr="00C004DE">
        <w:rPr>
          <w:rFonts w:ascii="Times New Roman" w:hAnsi="Times New Roman" w:cs="Times New Roman"/>
        </w:rPr>
        <w:t xml:space="preserve">mployee </w:t>
      </w:r>
      <w:r>
        <w:rPr>
          <w:rFonts w:ascii="Times New Roman" w:hAnsi="Times New Roman" w:cs="Times New Roman"/>
        </w:rPr>
        <w:t>e</w:t>
      </w:r>
      <w:r w:rsidRPr="00C004DE">
        <w:rPr>
          <w:rFonts w:ascii="Times New Roman" w:hAnsi="Times New Roman" w:cs="Times New Roman"/>
        </w:rPr>
        <w:t xml:space="preserve">ngagement: A </w:t>
      </w:r>
      <w:r>
        <w:rPr>
          <w:rFonts w:ascii="Times New Roman" w:hAnsi="Times New Roman" w:cs="Times New Roman"/>
        </w:rPr>
        <w:t>c</w:t>
      </w:r>
      <w:r w:rsidRPr="00C004DE">
        <w:rPr>
          <w:rFonts w:ascii="Times New Roman" w:hAnsi="Times New Roman" w:cs="Times New Roman"/>
        </w:rPr>
        <w:t xml:space="preserve">ase </w:t>
      </w:r>
      <w:r>
        <w:rPr>
          <w:rFonts w:ascii="Times New Roman" w:hAnsi="Times New Roman" w:cs="Times New Roman"/>
        </w:rPr>
        <w:t>s</w:t>
      </w:r>
      <w:r w:rsidRPr="00C004DE">
        <w:rPr>
          <w:rFonts w:ascii="Times New Roman" w:hAnsi="Times New Roman" w:cs="Times New Roman"/>
        </w:rPr>
        <w:t xml:space="preserve">tudy of </w:t>
      </w:r>
      <w:r w:rsidRPr="00162B44">
        <w:rPr>
          <w:rFonts w:ascii="Times New Roman" w:hAnsi="Times New Roman" w:cs="Times New Roman"/>
        </w:rPr>
        <w:t>Vietnam Posts and Telecommunications Group</w:t>
      </w:r>
      <w:r>
        <w:rPr>
          <w:rFonts w:ascii="Times New Roman" w:hAnsi="Times New Roman" w:cs="Times New Roman"/>
        </w:rPr>
        <w:t xml:space="preserve"> (VNPT) - Ca Mau Branch</w:t>
      </w:r>
    </w:p>
    <w:p w14:paraId="23AC776A" w14:textId="77777777" w:rsidR="00733D02" w:rsidRPr="007B4A6B" w:rsidRDefault="00733D02" w:rsidP="00733D02">
      <w:pPr>
        <w:spacing w:after="0" w:line="240" w:lineRule="auto"/>
        <w:jc w:val="center"/>
        <w:rPr>
          <w:rFonts w:ascii="Times New Roman" w:hAnsi="Times New Roman" w:cs="Times New Roman"/>
        </w:rPr>
      </w:pPr>
      <w:r w:rsidRPr="007B4A6B">
        <w:rPr>
          <w:rFonts w:ascii="Times New Roman" w:hAnsi="Times New Roman" w:cs="Times New Roman"/>
        </w:rPr>
        <w:t>Nguyen Thi Thanh Truc</w:t>
      </w:r>
      <w:r w:rsidRPr="007B4A6B">
        <w:rPr>
          <w:rFonts w:ascii="Times New Roman" w:hAnsi="Times New Roman" w:cs="Times New Roman"/>
          <w:vertAlign w:val="superscript"/>
        </w:rPr>
        <w:t>1</w:t>
      </w:r>
    </w:p>
    <w:p w14:paraId="2A6DF566" w14:textId="77777777" w:rsidR="00733D02" w:rsidRPr="007B4A6B" w:rsidRDefault="00733D02" w:rsidP="00733D02">
      <w:pPr>
        <w:spacing w:after="0" w:line="240" w:lineRule="auto"/>
        <w:jc w:val="center"/>
        <w:rPr>
          <w:rFonts w:ascii="Times New Roman" w:hAnsi="Times New Roman" w:cs="Times New Roman"/>
        </w:rPr>
      </w:pPr>
      <w:r w:rsidRPr="007B4A6B">
        <w:rPr>
          <w:rFonts w:ascii="Times New Roman" w:hAnsi="Times New Roman" w:cs="Times New Roman"/>
          <w:vertAlign w:val="superscript"/>
        </w:rPr>
        <w:t>1</w:t>
      </w:r>
      <w:r w:rsidRPr="007B4A6B">
        <w:rPr>
          <w:rFonts w:ascii="Times New Roman" w:eastAsia="Times New Roman" w:hAnsi="Times New Roman" w:cs="Times New Roman"/>
          <w:lang w:eastAsia="en-GB"/>
        </w:rPr>
        <w:t>Lecturer, Tay Do University</w:t>
      </w:r>
    </w:p>
    <w:p w14:paraId="576C265E" w14:textId="77777777" w:rsidR="00733D02" w:rsidRPr="007B4A6B" w:rsidRDefault="00733D02" w:rsidP="00733D02">
      <w:pPr>
        <w:spacing w:after="0" w:line="240" w:lineRule="auto"/>
        <w:jc w:val="both"/>
        <w:rPr>
          <w:rFonts w:ascii="Times New Roman" w:hAnsi="Times New Roman" w:cs="Times New Roman"/>
          <w:b/>
          <w:bCs/>
        </w:rPr>
      </w:pPr>
      <w:r w:rsidRPr="007B4A6B">
        <w:rPr>
          <w:rFonts w:ascii="Times New Roman" w:hAnsi="Times New Roman" w:cs="Times New Roman"/>
          <w:b/>
          <w:bCs/>
        </w:rPr>
        <w:t>ABSTRACT:</w:t>
      </w:r>
    </w:p>
    <w:p w14:paraId="6B08B598" w14:textId="77777777" w:rsidR="00733D02" w:rsidRPr="007B4A6B" w:rsidRDefault="00733D02" w:rsidP="00733D02">
      <w:pPr>
        <w:spacing w:after="0" w:line="240" w:lineRule="auto"/>
        <w:jc w:val="both"/>
        <w:rPr>
          <w:rFonts w:ascii="Times New Roman" w:hAnsi="Times New Roman" w:cs="Times New Roman"/>
        </w:rPr>
      </w:pPr>
      <w:r w:rsidRPr="00C004DE">
        <w:rPr>
          <w:rFonts w:ascii="Times New Roman" w:hAnsi="Times New Roman" w:cs="Times New Roman"/>
        </w:rPr>
        <w:t xml:space="preserve">Employee engagement is a critical determinant of organizational performance and a key driver of sustained competitive advantage. This study examines the factors influencing employee engagement at </w:t>
      </w:r>
      <w:r w:rsidRPr="00162B44">
        <w:rPr>
          <w:rFonts w:ascii="Times New Roman" w:hAnsi="Times New Roman" w:cs="Times New Roman"/>
        </w:rPr>
        <w:t>Vietnam Posts and Telecommunications Group</w:t>
      </w:r>
      <w:r>
        <w:rPr>
          <w:rFonts w:ascii="Times New Roman" w:hAnsi="Times New Roman" w:cs="Times New Roman"/>
        </w:rPr>
        <w:t xml:space="preserve"> (VNPT) - Ca Mau Branch</w:t>
      </w:r>
      <w:r w:rsidRPr="00C004DE">
        <w:rPr>
          <w:rFonts w:ascii="Times New Roman" w:hAnsi="Times New Roman" w:cs="Times New Roman"/>
        </w:rPr>
        <w:t>, employing descriptive statistics, Cronbach’s Alpha, exploratory factor analysis (EFA), and multiple regression analysis on survey data collected from 125 employees. The findings identify four significant determinants of employee engagement, ranked by their standardized coefficients: organizational culture and leadership (β = 0.519), compensation (β = 0.256), promotion opportunities (β = 0.155), and work environment (β = 0.134). Based on these results, the study proposes several managerial implications, including enhancing leadership capabilities, fostering a strong organizational culture, implementing flexible and performance-based reward systems, establishing transparent career development pathways, and cultivating a supportive and positive work environment.</w:t>
      </w:r>
    </w:p>
    <w:p w14:paraId="482B7311" w14:textId="77777777" w:rsidR="00733D02" w:rsidRPr="007B4A6B" w:rsidRDefault="00733D02" w:rsidP="00733D02">
      <w:pPr>
        <w:spacing w:after="0" w:line="240" w:lineRule="auto"/>
        <w:jc w:val="both"/>
        <w:rPr>
          <w:rFonts w:ascii="Times New Roman" w:hAnsi="Times New Roman" w:cs="Times New Roman"/>
          <w:b/>
          <w:bCs/>
          <w:i/>
          <w:iCs/>
        </w:rPr>
      </w:pPr>
      <w:r w:rsidRPr="007B4A6B">
        <w:rPr>
          <w:rFonts w:ascii="Times New Roman" w:hAnsi="Times New Roman" w:cs="Times New Roman"/>
          <w:b/>
          <w:bCs/>
        </w:rPr>
        <w:t>Keywords:</w:t>
      </w:r>
      <w:r w:rsidRPr="007B4A6B">
        <w:rPr>
          <w:rFonts w:ascii="Times New Roman" w:hAnsi="Times New Roman" w:cs="Times New Roman"/>
        </w:rPr>
        <w:t xml:space="preserve"> employee engagement, human resource management, telecommunications industry, VNPT</w:t>
      </w:r>
      <w:r>
        <w:rPr>
          <w:rFonts w:ascii="Times New Roman" w:hAnsi="Times New Roman" w:cs="Times New Roman"/>
        </w:rPr>
        <w:t xml:space="preserve">. </w:t>
      </w:r>
    </w:p>
    <w:p w14:paraId="2E9C50C3" w14:textId="2F14C9C7" w:rsidR="00C54284" w:rsidRPr="007B4A6B" w:rsidRDefault="00C54284" w:rsidP="007B4A6B">
      <w:pPr>
        <w:spacing w:after="0" w:line="240" w:lineRule="auto"/>
        <w:jc w:val="both"/>
        <w:rPr>
          <w:rFonts w:ascii="Times New Roman" w:hAnsi="Times New Roman" w:cs="Times New Roman"/>
          <w:b/>
          <w:bCs/>
        </w:rPr>
      </w:pPr>
      <w:bookmarkStart w:id="0" w:name="_Hlk224146294"/>
      <w:bookmarkEnd w:id="0"/>
      <w:r w:rsidRPr="007B4A6B">
        <w:rPr>
          <w:rFonts w:ascii="Times New Roman" w:hAnsi="Times New Roman" w:cs="Times New Roman"/>
          <w:b/>
          <w:bCs/>
        </w:rPr>
        <w:t>1. Introduction</w:t>
      </w:r>
    </w:p>
    <w:p w14:paraId="67146852"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According to Becker (1992), “Work engagement is a psychological state closely tied to the motivation to complete tasks and is manifested through three aspects: vigor, dedication, and absorption.” In addition, Schaufeli et al. (2002) define engagement as a positive, fulfilling, work-related state of mind characterized by vigor, dedication, absorption, and a persistent cognitive state that can spread to others. Harter and colleagues (2002) also define employee engagement as the involvement, satisfaction, and enthusiasm of individuals toward their work.</w:t>
      </w:r>
    </w:p>
    <w:p w14:paraId="4B0BFA32"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From this, it can be seen that engagement is not an external action but an internal emotion of each person. It stems from employees’ perception of the value of their work, their role within the organization, and the alignment between their job and personal goals. Engagement generates strong intrinsic motivation that drives employees to perform effectively. When employees feel attached to their work, they voluntarily strive to complete tasks and achieve objectives. Engaged employees consistently demonstrate interest and enthusiasm in their duties.</w:t>
      </w:r>
    </w:p>
    <w:p w14:paraId="4265C3EC"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Furthermore, according to Robinson, Perryman, and Hayday (2004), employee engagement is not only a key factor in maintaining high performance but also a driver of development and creativity. A work environment that encourages engagement promotes employees’ contribution of creative ideas and search for improvement solutions, enabling personal growth and breakthroughs in work. Engaged employees feel safe to voice opinions and participate in development and innovation processes.</w:t>
      </w:r>
    </w:p>
    <w:p w14:paraId="617D684A"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Moreover, Bhatnagar (2007) notes that employees who are engaged with the organization can create a competitive advantage. Engaged employees help build sustainable competitive advantages through unique value creation that competitors find difficult to imitate. Employees committed according to these criteria become assets and strengths serving the organization’s long-term competitive edge.</w:t>
      </w:r>
    </w:p>
    <w:p w14:paraId="3F1A44EF" w14:textId="7FFD32D3"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xml:space="preserve">The Vietnam Posts and Telecommunications Group (VNPT) is a state-owned enterprise specializing in investment, production, and business in the field of information technology in Vietnam. Amid fierce competition, with numerous domestic and foreign enterprises entering the </w:t>
      </w:r>
      <w:r w:rsidRPr="007B4A6B">
        <w:rPr>
          <w:rFonts w:ascii="Times New Roman" w:hAnsi="Times New Roman" w:cs="Times New Roman"/>
        </w:rPr>
        <w:lastRenderedPageBreak/>
        <w:t>telecommunications sector, companies must retain their greatest competitive advantage</w:t>
      </w:r>
      <w:r w:rsidR="006334FA">
        <w:rPr>
          <w:rFonts w:ascii="Times New Roman" w:hAnsi="Times New Roman" w:cs="Times New Roman"/>
        </w:rPr>
        <w:t xml:space="preserve"> - </w:t>
      </w:r>
      <w:r w:rsidRPr="007B4A6B">
        <w:rPr>
          <w:rFonts w:ascii="Times New Roman" w:hAnsi="Times New Roman" w:cs="Times New Roman"/>
        </w:rPr>
        <w:t>human resources. Engaging employees within an organization enhances work performance and generates new creative ideas, contributing to sustainable competitive advantage for the enterprise.</w:t>
      </w:r>
    </w:p>
    <w:p w14:paraId="5E347056"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xml:space="preserve">Therefore, this study is conducted with three main objectives:  </w:t>
      </w:r>
    </w:p>
    <w:p w14:paraId="1CC6868F" w14:textId="2F93B85F"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xml:space="preserve">First, to identify the factors currently affecting employee engagement at VNPT </w:t>
      </w:r>
      <w:r w:rsidR="006334FA">
        <w:rPr>
          <w:rFonts w:ascii="Times New Roman" w:hAnsi="Times New Roman" w:cs="Times New Roman"/>
        </w:rPr>
        <w:t>Ca Mau</w:t>
      </w:r>
      <w:r w:rsidRPr="007B4A6B">
        <w:rPr>
          <w:rFonts w:ascii="Times New Roman" w:hAnsi="Times New Roman" w:cs="Times New Roman"/>
        </w:rPr>
        <w:t xml:space="preserve">;  </w:t>
      </w:r>
    </w:p>
    <w:p w14:paraId="0724E455"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xml:space="preserve">Second, to evaluate the degree of influence of these factors on employee engagement;  </w:t>
      </w:r>
    </w:p>
    <w:p w14:paraId="2D585630" w14:textId="2A0BCFC0"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xml:space="preserve">Third, to propose solutions to enhance employee engagement, build an attractive and professional work environment, thereby improving work efficiency and sustainable development of VNPT </w:t>
      </w:r>
      <w:r w:rsidR="006334FA">
        <w:rPr>
          <w:rFonts w:ascii="Times New Roman" w:hAnsi="Times New Roman" w:cs="Times New Roman"/>
        </w:rPr>
        <w:t>Ca Mau</w:t>
      </w:r>
      <w:r w:rsidRPr="007B4A6B">
        <w:rPr>
          <w:rFonts w:ascii="Times New Roman" w:hAnsi="Times New Roman" w:cs="Times New Roman"/>
        </w:rPr>
        <w:t>.</w:t>
      </w:r>
    </w:p>
    <w:p w14:paraId="66F4D94C" w14:textId="637AC35C" w:rsidR="00C54284" w:rsidRPr="007B4A6B" w:rsidRDefault="00C54284" w:rsidP="007B4A6B">
      <w:pPr>
        <w:spacing w:after="0" w:line="240" w:lineRule="auto"/>
        <w:jc w:val="both"/>
        <w:rPr>
          <w:rFonts w:ascii="Times New Roman" w:hAnsi="Times New Roman" w:cs="Times New Roman"/>
          <w:b/>
          <w:bCs/>
        </w:rPr>
      </w:pPr>
      <w:r w:rsidRPr="007B4A6B">
        <w:rPr>
          <w:rFonts w:ascii="Times New Roman" w:hAnsi="Times New Roman" w:cs="Times New Roman"/>
          <w:b/>
          <w:bCs/>
        </w:rPr>
        <w:t xml:space="preserve">2. </w:t>
      </w:r>
      <w:r w:rsidR="007B4A6B" w:rsidRPr="007B4A6B">
        <w:rPr>
          <w:rFonts w:ascii="Times New Roman" w:hAnsi="Times New Roman" w:cs="Times New Roman"/>
          <w:b/>
          <w:bCs/>
        </w:rPr>
        <w:t>Research model and methodology</w:t>
      </w:r>
    </w:p>
    <w:p w14:paraId="134CF3D1" w14:textId="222DBD29" w:rsidR="00C54284" w:rsidRPr="007B4A6B" w:rsidRDefault="00C54284" w:rsidP="007B4A6B">
      <w:pPr>
        <w:spacing w:after="0" w:line="240" w:lineRule="auto"/>
        <w:jc w:val="both"/>
        <w:rPr>
          <w:rFonts w:ascii="Times New Roman" w:hAnsi="Times New Roman" w:cs="Times New Roman"/>
          <w:b/>
          <w:bCs/>
        </w:rPr>
      </w:pPr>
      <w:r w:rsidRPr="007B4A6B">
        <w:rPr>
          <w:rFonts w:ascii="Times New Roman" w:hAnsi="Times New Roman" w:cs="Times New Roman"/>
          <w:b/>
          <w:bCs/>
        </w:rPr>
        <w:t xml:space="preserve">2.1 Research </w:t>
      </w:r>
      <w:r w:rsidR="00F930A9">
        <w:rPr>
          <w:rFonts w:ascii="Times New Roman" w:hAnsi="Times New Roman" w:cs="Times New Roman"/>
          <w:b/>
          <w:bCs/>
        </w:rPr>
        <w:t>m</w:t>
      </w:r>
      <w:r w:rsidR="008414DC" w:rsidRPr="007B4A6B">
        <w:rPr>
          <w:rFonts w:ascii="Times New Roman" w:hAnsi="Times New Roman" w:cs="Times New Roman"/>
          <w:b/>
          <w:bCs/>
        </w:rPr>
        <w:t>odel</w:t>
      </w:r>
    </w:p>
    <w:p w14:paraId="458D49E5" w14:textId="77777777" w:rsidR="00C54284"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Through a literature review of studies by Võ Thị Vân Khánh (2023), Đào Thị Minh Ngọc (2023), Nguyễn Thị Hồng Vân (2020), Anitha (2014), Nguyễn Thị Phương Dung and colleagues (2014), Robinson et al. (2004), May et al. (2004), Tziner et al. (2002), Landsman (2000), Meyer &amp; Allen (1991, 1997), Kahn (1990), Mowday, Porter &amp; Steers (1982), Porter, Steers, Mowday &amp; Boulian (1974), Hall et al. (1970), and preliminary research, the author constructed a measurement scale consisting of 22 observed variables and 3 dependent variables related to employee engagement with the organization. The study uses a 5-point Likert scale: (1) strongly disagree to (5) strongly agree.</w:t>
      </w:r>
    </w:p>
    <w:p w14:paraId="0D14DCE4" w14:textId="4FBEA184" w:rsidR="007B4A6B" w:rsidRPr="007B4A6B" w:rsidRDefault="007B4A6B" w:rsidP="007B4A6B">
      <w:pPr>
        <w:spacing w:after="0" w:line="240" w:lineRule="auto"/>
        <w:jc w:val="center"/>
        <w:rPr>
          <w:rFonts w:ascii="Times New Roman" w:hAnsi="Times New Roman" w:cs="Times New Roman"/>
          <w:b/>
          <w:bCs/>
        </w:rPr>
      </w:pPr>
      <w:r w:rsidRPr="007B4A6B">
        <w:rPr>
          <w:rFonts w:ascii="Times New Roman" w:hAnsi="Times New Roman" w:cs="Times New Roman"/>
          <w:b/>
          <w:bCs/>
        </w:rPr>
        <w:t>Figure 1</w:t>
      </w:r>
      <w:r w:rsidR="00F930A9">
        <w:rPr>
          <w:rFonts w:ascii="Times New Roman" w:hAnsi="Times New Roman" w:cs="Times New Roman"/>
          <w:b/>
          <w:bCs/>
        </w:rPr>
        <w:t>.</w:t>
      </w:r>
      <w:r w:rsidRPr="007B4A6B">
        <w:rPr>
          <w:rFonts w:ascii="Times New Roman" w:hAnsi="Times New Roman" w:cs="Times New Roman"/>
          <w:b/>
          <w:bCs/>
        </w:rPr>
        <w:t xml:space="preserve"> Proposed model of factors influencing employee engagement </w:t>
      </w:r>
    </w:p>
    <w:p w14:paraId="746ADB3C" w14:textId="5F4713B4" w:rsidR="007B4A6B" w:rsidRPr="007B4A6B" w:rsidRDefault="007B4A6B" w:rsidP="007B4A6B">
      <w:pPr>
        <w:spacing w:after="0" w:line="240" w:lineRule="auto"/>
        <w:jc w:val="center"/>
        <w:rPr>
          <w:rFonts w:ascii="Times New Roman" w:hAnsi="Times New Roman" w:cs="Times New Roman"/>
          <w:b/>
          <w:bCs/>
        </w:rPr>
      </w:pPr>
      <w:r w:rsidRPr="007B4A6B">
        <w:rPr>
          <w:rFonts w:ascii="Times New Roman" w:hAnsi="Times New Roman" w:cs="Times New Roman"/>
          <w:b/>
          <w:bCs/>
        </w:rPr>
        <w:t>with the organization at VNPT C</w:t>
      </w:r>
      <w:r w:rsidR="00F930A9">
        <w:rPr>
          <w:rFonts w:ascii="Times New Roman" w:hAnsi="Times New Roman" w:cs="Times New Roman"/>
          <w:b/>
          <w:bCs/>
        </w:rPr>
        <w:t>a</w:t>
      </w:r>
      <w:r w:rsidRPr="007B4A6B">
        <w:rPr>
          <w:rFonts w:ascii="Times New Roman" w:hAnsi="Times New Roman" w:cs="Times New Roman"/>
          <w:b/>
          <w:bCs/>
        </w:rPr>
        <w:t xml:space="preserve"> Mau</w:t>
      </w:r>
    </w:p>
    <w:p w14:paraId="7E909E46" w14:textId="77777777" w:rsidR="007B4A6B" w:rsidRPr="007B4A6B" w:rsidRDefault="007B4A6B" w:rsidP="007B4A6B">
      <w:pPr>
        <w:spacing w:after="0" w:line="240" w:lineRule="auto"/>
        <w:jc w:val="both"/>
        <w:rPr>
          <w:rFonts w:ascii="Times New Roman" w:hAnsi="Times New Roman" w:cs="Times New Roman"/>
        </w:rPr>
      </w:pPr>
    </w:p>
    <w:p w14:paraId="3357FACC" w14:textId="168106D0" w:rsidR="00B725F3" w:rsidRPr="007B4A6B" w:rsidRDefault="00B725F3" w:rsidP="007B4A6B">
      <w:pPr>
        <w:spacing w:after="0" w:line="240" w:lineRule="auto"/>
        <w:jc w:val="both"/>
        <w:rPr>
          <w:rFonts w:ascii="Times New Roman" w:hAnsi="Times New Roman" w:cs="Times New Roman"/>
        </w:rPr>
      </w:pPr>
      <w:r w:rsidRPr="007B4A6B">
        <w:rPr>
          <w:rFonts w:ascii="Times New Roman" w:hAnsi="Times New Roman" w:cs="Times New Roman"/>
          <w:noProof/>
        </w:rPr>
        <w:drawing>
          <wp:inline distT="0" distB="0" distL="0" distR="0" wp14:anchorId="6EEF0EC3" wp14:editId="64BBBFFC">
            <wp:extent cx="5335260" cy="4165073"/>
            <wp:effectExtent l="0" t="0" r="0" b="6985"/>
            <wp:docPr id="1755796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96954" name=""/>
                    <pic:cNvPicPr/>
                  </pic:nvPicPr>
                  <pic:blipFill>
                    <a:blip r:embed="rId4"/>
                    <a:stretch>
                      <a:fillRect/>
                    </a:stretch>
                  </pic:blipFill>
                  <pic:spPr>
                    <a:xfrm>
                      <a:off x="0" y="0"/>
                      <a:ext cx="5335260" cy="4165073"/>
                    </a:xfrm>
                    <a:prstGeom prst="rect">
                      <a:avLst/>
                    </a:prstGeom>
                  </pic:spPr>
                </pic:pic>
              </a:graphicData>
            </a:graphic>
          </wp:inline>
        </w:drawing>
      </w:r>
    </w:p>
    <w:p w14:paraId="5B3B2D89" w14:textId="77777777" w:rsidR="00C54284" w:rsidRPr="007B4A6B" w:rsidRDefault="00C54284" w:rsidP="007B4A6B">
      <w:pPr>
        <w:spacing w:after="0" w:line="240" w:lineRule="auto"/>
        <w:jc w:val="right"/>
        <w:rPr>
          <w:rFonts w:ascii="Times New Roman" w:hAnsi="Times New Roman" w:cs="Times New Roman"/>
          <w:i/>
          <w:iCs/>
        </w:rPr>
      </w:pPr>
      <w:r w:rsidRPr="007B4A6B">
        <w:rPr>
          <w:rFonts w:ascii="Times New Roman" w:hAnsi="Times New Roman" w:cs="Times New Roman"/>
          <w:i/>
          <w:iCs/>
        </w:rPr>
        <w:t>(Source: Proposed by the author, 2025)</w:t>
      </w:r>
    </w:p>
    <w:p w14:paraId="61145B77" w14:textId="44CBB68F" w:rsidR="00C54284" w:rsidRPr="007B4A6B" w:rsidRDefault="00C54284" w:rsidP="007B4A6B">
      <w:pPr>
        <w:spacing w:after="0" w:line="240" w:lineRule="auto"/>
        <w:jc w:val="both"/>
        <w:rPr>
          <w:rFonts w:ascii="Times New Roman" w:hAnsi="Times New Roman" w:cs="Times New Roman"/>
          <w:b/>
          <w:bCs/>
        </w:rPr>
      </w:pPr>
      <w:r w:rsidRPr="007B4A6B">
        <w:rPr>
          <w:rFonts w:ascii="Times New Roman" w:hAnsi="Times New Roman" w:cs="Times New Roman"/>
          <w:b/>
          <w:bCs/>
        </w:rPr>
        <w:lastRenderedPageBreak/>
        <w:t xml:space="preserve">2.2 Sampling </w:t>
      </w:r>
      <w:r w:rsidR="001F1280">
        <w:rPr>
          <w:rFonts w:ascii="Times New Roman" w:hAnsi="Times New Roman" w:cs="Times New Roman"/>
          <w:b/>
          <w:bCs/>
        </w:rPr>
        <w:t>m</w:t>
      </w:r>
      <w:r w:rsidRPr="007B4A6B">
        <w:rPr>
          <w:rFonts w:ascii="Times New Roman" w:hAnsi="Times New Roman" w:cs="Times New Roman"/>
          <w:b/>
          <w:bCs/>
        </w:rPr>
        <w:t>ethod</w:t>
      </w:r>
    </w:p>
    <w:p w14:paraId="2CB7B7E8" w14:textId="56276171"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xml:space="preserve">According to Hair et al. (2014), the minimum sample size for EFA is 50, preferably 100 or more. Applying the 5:1 ratio with 25 observed variables, the author surveyed 125 randomly selected employees at various levels in VNPT </w:t>
      </w:r>
      <w:r w:rsidR="006334FA">
        <w:rPr>
          <w:rFonts w:ascii="Times New Roman" w:hAnsi="Times New Roman" w:cs="Times New Roman"/>
        </w:rPr>
        <w:t>Ca Mau</w:t>
      </w:r>
      <w:r w:rsidRPr="007B4A6B">
        <w:rPr>
          <w:rFonts w:ascii="Times New Roman" w:hAnsi="Times New Roman" w:cs="Times New Roman"/>
        </w:rPr>
        <w:t>.</w:t>
      </w:r>
    </w:p>
    <w:p w14:paraId="4F93E0D4"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The study applies non-probability sampling, specifically convenience sampling, which is time-saving, cost-effective, and easy to implement in an organizational setting.</w:t>
      </w:r>
    </w:p>
    <w:p w14:paraId="60E1CE46" w14:textId="3FD20F8E" w:rsidR="00C54284" w:rsidRPr="007B4A6B" w:rsidRDefault="00C54284" w:rsidP="007B4A6B">
      <w:pPr>
        <w:spacing w:after="0" w:line="240" w:lineRule="auto"/>
        <w:jc w:val="both"/>
        <w:rPr>
          <w:rFonts w:ascii="Times New Roman" w:hAnsi="Times New Roman" w:cs="Times New Roman"/>
          <w:b/>
          <w:bCs/>
        </w:rPr>
      </w:pPr>
      <w:r w:rsidRPr="007B4A6B">
        <w:rPr>
          <w:rFonts w:ascii="Times New Roman" w:hAnsi="Times New Roman" w:cs="Times New Roman"/>
          <w:b/>
          <w:bCs/>
        </w:rPr>
        <w:t xml:space="preserve">2.3 Research </w:t>
      </w:r>
      <w:r w:rsidR="001F1280">
        <w:rPr>
          <w:rFonts w:ascii="Times New Roman" w:hAnsi="Times New Roman" w:cs="Times New Roman"/>
          <w:b/>
          <w:bCs/>
        </w:rPr>
        <w:t>m</w:t>
      </w:r>
      <w:r w:rsidRPr="007B4A6B">
        <w:rPr>
          <w:rFonts w:ascii="Times New Roman" w:hAnsi="Times New Roman" w:cs="Times New Roman"/>
          <w:b/>
          <w:bCs/>
        </w:rPr>
        <w:t>ethods</w:t>
      </w:r>
    </w:p>
    <w:p w14:paraId="62E4F5D7"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xml:space="preserve">The quantitative methods used include:  </w:t>
      </w:r>
    </w:p>
    <w:p w14:paraId="04B816FF"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xml:space="preserve">- Descriptive statistics to calculate means, standard deviations, frequency distributions describing demographic characteristics and employee engagement levels.  </w:t>
      </w:r>
    </w:p>
    <w:p w14:paraId="2556D89B"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xml:space="preserve">- Cronbach’s Alpha: to assess scale reliability by checking internal consistency of items within each factor group.  </w:t>
      </w:r>
    </w:p>
    <w:p w14:paraId="0FC06CFB"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xml:space="preserve">- Exploratory Factor Analysis (EFA): to group correlated factors into main components, refining and clarifying the scale structure.  </w:t>
      </w:r>
    </w:p>
    <w:p w14:paraId="64219546"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Linear regression: to determine the degree of influence of each factor (e.g., salary, work environment) on employee engagement.</w:t>
      </w:r>
    </w:p>
    <w:p w14:paraId="01BD53FF" w14:textId="65647567" w:rsidR="00C54284" w:rsidRPr="007B4A6B" w:rsidRDefault="00C54284" w:rsidP="007B4A6B">
      <w:pPr>
        <w:spacing w:after="0" w:line="240" w:lineRule="auto"/>
        <w:jc w:val="both"/>
        <w:rPr>
          <w:rFonts w:ascii="Times New Roman" w:hAnsi="Times New Roman" w:cs="Times New Roman"/>
          <w:b/>
          <w:bCs/>
        </w:rPr>
      </w:pPr>
      <w:r w:rsidRPr="007B4A6B">
        <w:rPr>
          <w:rFonts w:ascii="Times New Roman" w:hAnsi="Times New Roman" w:cs="Times New Roman"/>
          <w:b/>
          <w:bCs/>
        </w:rPr>
        <w:t xml:space="preserve">3. </w:t>
      </w:r>
      <w:r w:rsidR="007B4A6B" w:rsidRPr="007B4A6B">
        <w:rPr>
          <w:rFonts w:ascii="Times New Roman" w:hAnsi="Times New Roman" w:cs="Times New Roman"/>
          <w:b/>
          <w:bCs/>
        </w:rPr>
        <w:t>Research results</w:t>
      </w:r>
    </w:p>
    <w:p w14:paraId="1B30E31C" w14:textId="78AB9CD0" w:rsidR="00C54284" w:rsidRPr="007B4A6B" w:rsidRDefault="00C54284" w:rsidP="007B4A6B">
      <w:pPr>
        <w:spacing w:after="0" w:line="240" w:lineRule="auto"/>
        <w:jc w:val="both"/>
        <w:rPr>
          <w:rFonts w:ascii="Times New Roman" w:hAnsi="Times New Roman" w:cs="Times New Roman"/>
          <w:b/>
          <w:bCs/>
        </w:rPr>
      </w:pPr>
      <w:r w:rsidRPr="007B4A6B">
        <w:rPr>
          <w:rFonts w:ascii="Times New Roman" w:hAnsi="Times New Roman" w:cs="Times New Roman"/>
          <w:b/>
          <w:bCs/>
        </w:rPr>
        <w:t xml:space="preserve">3.1 Sample </w:t>
      </w:r>
      <w:r w:rsidR="001F1280">
        <w:rPr>
          <w:rFonts w:ascii="Times New Roman" w:hAnsi="Times New Roman" w:cs="Times New Roman"/>
          <w:b/>
          <w:bCs/>
        </w:rPr>
        <w:t>d</w:t>
      </w:r>
      <w:r w:rsidRPr="007B4A6B">
        <w:rPr>
          <w:rFonts w:ascii="Times New Roman" w:hAnsi="Times New Roman" w:cs="Times New Roman"/>
          <w:b/>
          <w:bCs/>
        </w:rPr>
        <w:t>escription</w:t>
      </w:r>
    </w:p>
    <w:p w14:paraId="42F4DECF" w14:textId="6AABDCC8"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xml:space="preserve">The sample structure by gender at VNPT </w:t>
      </w:r>
      <w:r w:rsidR="006334FA">
        <w:rPr>
          <w:rFonts w:ascii="Times New Roman" w:hAnsi="Times New Roman" w:cs="Times New Roman"/>
        </w:rPr>
        <w:t>Ca Mau</w:t>
      </w:r>
      <w:r w:rsidRPr="007B4A6B">
        <w:rPr>
          <w:rFonts w:ascii="Times New Roman" w:hAnsi="Times New Roman" w:cs="Times New Roman"/>
        </w:rPr>
        <w:t xml:space="preserve"> includes 125 surveyed employees, of which males account for 72 (58%) and females 53 (42%).</w:t>
      </w:r>
    </w:p>
    <w:p w14:paraId="79D33BB5"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By age: 18–25 years: 28 people (22%); 26–35 years: 40 people (32%); 36–45 years: 42 people (34%, the largest group); over 45 years: 15 people (12%).</w:t>
      </w:r>
    </w:p>
    <w:p w14:paraId="08F59F24"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By seniority: under 1 year: 14 people (11%); 1–3 years: 38 people (30%); 3–10 years: 46 people (37%, the largest group); over 10 years: 27 people (22%).</w:t>
      </w:r>
    </w:p>
    <w:p w14:paraId="2039CB7E"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By education level: college: 15 people (12%); university: 61 people (49%, largest group); postgraduate: 49 people (39%).</w:t>
      </w:r>
    </w:p>
    <w:p w14:paraId="16CCA04F"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By income: under 5 million VND: 13 people (10%); 5–10 million VND: 33 people (26%); 10–15 million VND: 57 people (46%); over 15 million VND: 22 people (18%).</w:t>
      </w:r>
    </w:p>
    <w:p w14:paraId="6FD8F6CD" w14:textId="2AC64FAE" w:rsidR="00C54284" w:rsidRPr="007B4A6B" w:rsidRDefault="00C54284" w:rsidP="007B4A6B">
      <w:pPr>
        <w:spacing w:after="0" w:line="240" w:lineRule="auto"/>
        <w:jc w:val="both"/>
        <w:rPr>
          <w:rFonts w:ascii="Times New Roman" w:hAnsi="Times New Roman" w:cs="Times New Roman"/>
          <w:b/>
          <w:bCs/>
        </w:rPr>
      </w:pPr>
      <w:r w:rsidRPr="007B4A6B">
        <w:rPr>
          <w:rFonts w:ascii="Times New Roman" w:hAnsi="Times New Roman" w:cs="Times New Roman"/>
          <w:b/>
          <w:bCs/>
        </w:rPr>
        <w:t xml:space="preserve">3.2 Cronbach’s Alpha </w:t>
      </w:r>
      <w:r w:rsidR="00122846" w:rsidRPr="007B4A6B">
        <w:rPr>
          <w:rFonts w:ascii="Times New Roman" w:hAnsi="Times New Roman" w:cs="Times New Roman"/>
          <w:b/>
          <w:bCs/>
        </w:rPr>
        <w:t>reliability analysis results</w:t>
      </w:r>
    </w:p>
    <w:p w14:paraId="00191EFB" w14:textId="4A0A25BB"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xml:space="preserve">Each factor is described in detail in the </w:t>
      </w:r>
      <w:r w:rsidR="00EA7812" w:rsidRPr="007B4A6B">
        <w:rPr>
          <w:rFonts w:ascii="Times New Roman" w:hAnsi="Times New Roman" w:cs="Times New Roman"/>
        </w:rPr>
        <w:t>survey data analysis</w:t>
      </w:r>
      <w:r w:rsidRPr="007B4A6B">
        <w:rPr>
          <w:rFonts w:ascii="Times New Roman" w:hAnsi="Times New Roman" w:cs="Times New Roman"/>
        </w:rPr>
        <w:t xml:space="preserve"> with Cronbach’s Alpha values ranging from 0.809 to 0.887 for independent variables, and 0.832 for the dependent variable “employee engagement.” All scales meet reliability requirements: Alpha &gt; 0.6–0.7, item-total correlations &gt; 0.3, and no item deletion improves Alpha.</w:t>
      </w:r>
    </w:p>
    <w:p w14:paraId="7559C0FF"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In summary, all components of the engagement scale have Cronbach’s Alpha &gt; 0.6, item-total correlations &gt; 0.3, confirming the scales are appropriate and usable for subsequent analyses.</w:t>
      </w:r>
    </w:p>
    <w:p w14:paraId="3ADB80AF" w14:textId="19CF3BBB" w:rsidR="00C54284" w:rsidRPr="007B4A6B" w:rsidRDefault="00C54284" w:rsidP="007B4A6B">
      <w:pPr>
        <w:spacing w:after="0" w:line="240" w:lineRule="auto"/>
        <w:jc w:val="both"/>
        <w:rPr>
          <w:rFonts w:ascii="Times New Roman" w:hAnsi="Times New Roman" w:cs="Times New Roman"/>
          <w:b/>
          <w:bCs/>
        </w:rPr>
      </w:pPr>
      <w:r w:rsidRPr="007B4A6B">
        <w:rPr>
          <w:rFonts w:ascii="Times New Roman" w:hAnsi="Times New Roman" w:cs="Times New Roman"/>
          <w:b/>
          <w:bCs/>
        </w:rPr>
        <w:t xml:space="preserve">3.3 Exploratory Factor Analysis (EFA) </w:t>
      </w:r>
      <w:r w:rsidR="0011146C" w:rsidRPr="007B4A6B">
        <w:rPr>
          <w:rFonts w:ascii="Times New Roman" w:hAnsi="Times New Roman" w:cs="Times New Roman"/>
          <w:b/>
          <w:bCs/>
        </w:rPr>
        <w:t>results for independent and dependent variables</w:t>
      </w:r>
    </w:p>
    <w:p w14:paraId="07CA48C3" w14:textId="34A42414"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After Cronbach’s Alpha assessment, the 22 variables were grouped into 6 factors initially, but EFA extracted 5 factors for the independent variables. All loadings &gt; 0.5, so no variables were removed.</w:t>
      </w:r>
    </w:p>
    <w:p w14:paraId="60E00761"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KMO = 0.882 (&gt; 0.5), Bartlett’s test Sig. = 0.000 (&lt; 0.05). Five factors extracted with Eigenvalue &gt; 1 (last = 1.054), explaining 69.692% of variance (&gt; 50%).</w:t>
      </w:r>
    </w:p>
    <w:p w14:paraId="3457B4D5" w14:textId="4E4DCF59" w:rsidR="00C54284" w:rsidRPr="007B4A6B" w:rsidRDefault="00EA7812" w:rsidP="007B4A6B">
      <w:pPr>
        <w:spacing w:after="0" w:line="240" w:lineRule="auto"/>
        <w:jc w:val="center"/>
        <w:rPr>
          <w:rFonts w:ascii="Times New Roman" w:hAnsi="Times New Roman" w:cs="Times New Roman"/>
          <w:b/>
          <w:bCs/>
        </w:rPr>
      </w:pPr>
      <w:r w:rsidRPr="007B4A6B">
        <w:rPr>
          <w:rFonts w:ascii="Times New Roman" w:hAnsi="Times New Roman" w:cs="Times New Roman"/>
          <w:b/>
          <w:bCs/>
        </w:rPr>
        <w:t xml:space="preserve">Table </w:t>
      </w:r>
      <w:r w:rsidR="007B4A6B">
        <w:rPr>
          <w:rFonts w:ascii="Times New Roman" w:hAnsi="Times New Roman" w:cs="Times New Roman"/>
          <w:b/>
          <w:bCs/>
        </w:rPr>
        <w:t>1.</w:t>
      </w:r>
      <w:r w:rsidRPr="007B4A6B">
        <w:rPr>
          <w:rFonts w:ascii="Times New Roman" w:hAnsi="Times New Roman" w:cs="Times New Roman"/>
          <w:b/>
          <w:bCs/>
        </w:rPr>
        <w:t xml:space="preserve"> </w:t>
      </w:r>
      <w:r w:rsidR="00C54284" w:rsidRPr="007B4A6B">
        <w:rPr>
          <w:rFonts w:ascii="Times New Roman" w:hAnsi="Times New Roman" w:cs="Times New Roman"/>
          <w:b/>
          <w:bCs/>
        </w:rPr>
        <w:t xml:space="preserve">Rotated </w:t>
      </w:r>
      <w:r w:rsidR="00976DC3" w:rsidRPr="007B4A6B">
        <w:rPr>
          <w:rFonts w:ascii="Times New Roman" w:hAnsi="Times New Roman" w:cs="Times New Roman"/>
          <w:b/>
          <w:bCs/>
        </w:rPr>
        <w:t>component matrix</w:t>
      </w:r>
    </w:p>
    <w:p w14:paraId="1FC411AE" w14:textId="243AE0C8" w:rsidR="00EA7812" w:rsidRPr="007B4A6B" w:rsidRDefault="00EA7812" w:rsidP="007B4A6B">
      <w:pPr>
        <w:spacing w:after="0" w:line="240" w:lineRule="auto"/>
        <w:jc w:val="center"/>
        <w:rPr>
          <w:rFonts w:ascii="Times New Roman" w:hAnsi="Times New Roman" w:cs="Times New Roman"/>
        </w:rPr>
      </w:pPr>
      <w:r w:rsidRPr="007B4A6B">
        <w:rPr>
          <w:rFonts w:ascii="Times New Roman" w:hAnsi="Times New Roman" w:cs="Times New Roman"/>
          <w:noProof/>
        </w:rPr>
        <w:lastRenderedPageBreak/>
        <w:drawing>
          <wp:inline distT="0" distB="0" distL="0" distR="0" wp14:anchorId="01CE180D" wp14:editId="5A7D5176">
            <wp:extent cx="3591426" cy="3867690"/>
            <wp:effectExtent l="0" t="0" r="9525" b="0"/>
            <wp:docPr id="211660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606237" name=""/>
                    <pic:cNvPicPr/>
                  </pic:nvPicPr>
                  <pic:blipFill>
                    <a:blip r:embed="rId5"/>
                    <a:stretch>
                      <a:fillRect/>
                    </a:stretch>
                  </pic:blipFill>
                  <pic:spPr>
                    <a:xfrm>
                      <a:off x="0" y="0"/>
                      <a:ext cx="3591426" cy="3867690"/>
                    </a:xfrm>
                    <a:prstGeom prst="rect">
                      <a:avLst/>
                    </a:prstGeom>
                  </pic:spPr>
                </pic:pic>
              </a:graphicData>
            </a:graphic>
          </wp:inline>
        </w:drawing>
      </w:r>
    </w:p>
    <w:p w14:paraId="10690957" w14:textId="77777777" w:rsidR="00EA7812" w:rsidRPr="007B4A6B" w:rsidRDefault="00EA7812" w:rsidP="007B4A6B">
      <w:pPr>
        <w:spacing w:after="0" w:line="240" w:lineRule="auto"/>
        <w:jc w:val="right"/>
        <w:rPr>
          <w:rFonts w:ascii="Times New Roman" w:hAnsi="Times New Roman" w:cs="Times New Roman"/>
          <w:i/>
          <w:iCs/>
        </w:rPr>
      </w:pPr>
      <w:r w:rsidRPr="007B4A6B">
        <w:rPr>
          <w:rFonts w:ascii="Times New Roman" w:hAnsi="Times New Roman" w:cs="Times New Roman"/>
        </w:rPr>
        <w:t>(</w:t>
      </w:r>
      <w:r w:rsidRPr="007B4A6B">
        <w:rPr>
          <w:rFonts w:ascii="Times New Roman" w:hAnsi="Times New Roman" w:cs="Times New Roman"/>
          <w:i/>
          <w:iCs/>
        </w:rPr>
        <w:t>Source: Author’s SPSS analysis of survey data, 2025)</w:t>
      </w:r>
    </w:p>
    <w:p w14:paraId="26A4C932" w14:textId="77777777" w:rsidR="00874C40" w:rsidRPr="007B4A6B" w:rsidRDefault="00874C40" w:rsidP="007B4A6B">
      <w:pPr>
        <w:spacing w:after="0" w:line="240" w:lineRule="auto"/>
        <w:jc w:val="both"/>
        <w:rPr>
          <w:rFonts w:ascii="Times New Roman" w:hAnsi="Times New Roman" w:cs="Times New Roman"/>
        </w:rPr>
      </w:pPr>
      <w:r w:rsidRPr="007B4A6B">
        <w:rPr>
          <w:rFonts w:ascii="Times New Roman" w:hAnsi="Times New Roman" w:cs="Times New Roman"/>
        </w:rPr>
        <w:t>Exploratory Factor Analysis (EFA) results from the Rotated Component Matrix reveal five distinct factors influencing employee engagement. All items load highly (≥ 0.574) on a single factor with no significant cross-loadings, confirming strong convergent validity and discriminant validity. The extracted factors are named as follows: Organizational Culture and Leadership, Job Characteristics, Work Environment, Compensation and Benefits Policy, and Career Advancement Opportunities.</w:t>
      </w:r>
    </w:p>
    <w:p w14:paraId="58E946FF"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For the dependent variable (engagement), the three items GK1, GK2, GK3 have high loadings (0.878, 0.867, 0.854).</w:t>
      </w:r>
    </w:p>
    <w:p w14:paraId="56FDF0A8" w14:textId="5301EBE8" w:rsidR="00C54284" w:rsidRPr="007B4A6B" w:rsidRDefault="00C54284" w:rsidP="007B4A6B">
      <w:pPr>
        <w:spacing w:after="0" w:line="240" w:lineRule="auto"/>
        <w:jc w:val="both"/>
        <w:rPr>
          <w:rFonts w:ascii="Times New Roman" w:hAnsi="Times New Roman" w:cs="Times New Roman"/>
          <w:b/>
          <w:bCs/>
        </w:rPr>
      </w:pPr>
      <w:r w:rsidRPr="007B4A6B">
        <w:rPr>
          <w:rFonts w:ascii="Times New Roman" w:hAnsi="Times New Roman" w:cs="Times New Roman"/>
          <w:b/>
          <w:bCs/>
        </w:rPr>
        <w:t xml:space="preserve">3.4 Linear </w:t>
      </w:r>
      <w:r w:rsidR="003B144C" w:rsidRPr="007B4A6B">
        <w:rPr>
          <w:rFonts w:ascii="Times New Roman" w:hAnsi="Times New Roman" w:cs="Times New Roman"/>
          <w:b/>
          <w:bCs/>
        </w:rPr>
        <w:t>regression analysis results</w:t>
      </w:r>
    </w:p>
    <w:p w14:paraId="7850AE31"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Pearson correlations: all independent variables (except CV) show significant linear relationships with engagement (Sig. &lt; 0.05). Strongest correlation: VHVLD (r = 0.822); weakest: CV (r = 0.228).</w:t>
      </w:r>
    </w:p>
    <w:p w14:paraId="50834BC8"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Model fit: R = 0.880, R² = 0.774, Adjusted R² = 0.765 → independent variables explain 76.5% of variance in engagement. Durbin–Watson = 1.684 (no autocorrelation). ANOVA F = 81.566, Sig. = 0.000.</w:t>
      </w:r>
    </w:p>
    <w:p w14:paraId="70AAD728" w14:textId="7777777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All VIF &lt; 10 (no multicollinearity). Significant variables (Sig. &lt; 0.05): VHVLD, LT, CH, MT. CV not significant (Sig. = 0.149) → H6 rejected.</w:t>
      </w:r>
    </w:p>
    <w:p w14:paraId="4292B3C4" w14:textId="57871EE3"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Standardized regression equation:</w:t>
      </w:r>
    </w:p>
    <w:p w14:paraId="6D0EFECC" w14:textId="77777777" w:rsidR="00874C40" w:rsidRPr="007B4A6B" w:rsidRDefault="00874C40" w:rsidP="007B4A6B">
      <w:pPr>
        <w:spacing w:after="0" w:line="240" w:lineRule="auto"/>
        <w:jc w:val="both"/>
        <w:rPr>
          <w:rFonts w:ascii="Times New Roman" w:hAnsi="Times New Roman" w:cs="Times New Roman"/>
          <w:b/>
          <w:bCs/>
        </w:rPr>
      </w:pPr>
      <w:r w:rsidRPr="007B4A6B">
        <w:rPr>
          <w:rFonts w:ascii="Times New Roman" w:hAnsi="Times New Roman" w:cs="Times New Roman"/>
          <w:b/>
          <w:bCs/>
        </w:rPr>
        <w:t>Employee Engagement = 0.519 × Organizational Culture and Leadership + 0.256 × Compensation and Benefits + 0.155 × Career Advancement Opportunities + 0.134 × Work Environment + ε</w:t>
      </w:r>
    </w:p>
    <w:p w14:paraId="666D3841" w14:textId="43F7806D" w:rsidR="00C54284" w:rsidRPr="007B4A6B" w:rsidRDefault="00C54284" w:rsidP="007B4A6B">
      <w:pPr>
        <w:spacing w:after="0" w:line="240" w:lineRule="auto"/>
        <w:jc w:val="both"/>
        <w:rPr>
          <w:rFonts w:ascii="Times New Roman" w:hAnsi="Times New Roman" w:cs="Times New Roman"/>
          <w:b/>
          <w:bCs/>
        </w:rPr>
      </w:pPr>
      <w:r w:rsidRPr="007B4A6B">
        <w:rPr>
          <w:rFonts w:ascii="Times New Roman" w:hAnsi="Times New Roman" w:cs="Times New Roman"/>
          <w:b/>
          <w:bCs/>
        </w:rPr>
        <w:t xml:space="preserve">4. </w:t>
      </w:r>
      <w:r w:rsidR="007B4A6B" w:rsidRPr="007B4A6B">
        <w:rPr>
          <w:rFonts w:ascii="Times New Roman" w:hAnsi="Times New Roman" w:cs="Times New Roman"/>
          <w:b/>
          <w:bCs/>
        </w:rPr>
        <w:t>Conclusion and managerial implications</w:t>
      </w:r>
    </w:p>
    <w:p w14:paraId="27CF7BE9" w14:textId="21AAFBD7" w:rsidR="00C54284" w:rsidRPr="007B4A6B" w:rsidRDefault="00C54284" w:rsidP="007B4A6B">
      <w:pPr>
        <w:spacing w:after="0" w:line="240" w:lineRule="auto"/>
        <w:jc w:val="both"/>
        <w:rPr>
          <w:rFonts w:ascii="Times New Roman" w:hAnsi="Times New Roman" w:cs="Times New Roman"/>
          <w:b/>
          <w:bCs/>
        </w:rPr>
      </w:pPr>
      <w:r w:rsidRPr="007B4A6B">
        <w:rPr>
          <w:rFonts w:ascii="Times New Roman" w:hAnsi="Times New Roman" w:cs="Times New Roman"/>
          <w:b/>
          <w:bCs/>
        </w:rPr>
        <w:t>4.1 Conclusion</w:t>
      </w:r>
    </w:p>
    <w:p w14:paraId="431DBDB3" w14:textId="5E41E35C"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lastRenderedPageBreak/>
        <w:t xml:space="preserve">The study identified four factors significantly influencing employee engagement at VNPT </w:t>
      </w:r>
      <w:r w:rsidR="006334FA">
        <w:rPr>
          <w:rFonts w:ascii="Times New Roman" w:hAnsi="Times New Roman" w:cs="Times New Roman"/>
        </w:rPr>
        <w:t>Ca Mau</w:t>
      </w:r>
      <w:r w:rsidRPr="007B4A6B">
        <w:rPr>
          <w:rFonts w:ascii="Times New Roman" w:hAnsi="Times New Roman" w:cs="Times New Roman"/>
        </w:rPr>
        <w:t>: Culture and Leadership (strongest), Compensation &amp; Benefits, Career Opportunities, and Work Environment. These explain 76.5% of variance (Adj. R² = 0.765). Job Characteristics was not statistically significant and removed.</w:t>
      </w:r>
    </w:p>
    <w:p w14:paraId="051921CD" w14:textId="20BC202F" w:rsidR="00C54284" w:rsidRPr="007B4A6B" w:rsidRDefault="00C54284" w:rsidP="007B4A6B">
      <w:pPr>
        <w:spacing w:after="0" w:line="240" w:lineRule="auto"/>
        <w:jc w:val="both"/>
        <w:rPr>
          <w:rFonts w:ascii="Times New Roman" w:hAnsi="Times New Roman" w:cs="Times New Roman"/>
          <w:b/>
          <w:bCs/>
        </w:rPr>
      </w:pPr>
      <w:r w:rsidRPr="007B4A6B">
        <w:rPr>
          <w:rFonts w:ascii="Times New Roman" w:hAnsi="Times New Roman" w:cs="Times New Roman"/>
          <w:b/>
          <w:bCs/>
        </w:rPr>
        <w:t xml:space="preserve">4.2 Managerial </w:t>
      </w:r>
      <w:r w:rsidR="0011500A">
        <w:rPr>
          <w:rFonts w:ascii="Times New Roman" w:hAnsi="Times New Roman" w:cs="Times New Roman"/>
          <w:b/>
          <w:bCs/>
        </w:rPr>
        <w:t>i</w:t>
      </w:r>
      <w:r w:rsidRPr="007B4A6B">
        <w:rPr>
          <w:rFonts w:ascii="Times New Roman" w:hAnsi="Times New Roman" w:cs="Times New Roman"/>
          <w:b/>
          <w:bCs/>
        </w:rPr>
        <w:t>mplications</w:t>
      </w:r>
    </w:p>
    <w:p w14:paraId="1727F884" w14:textId="6090B3A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xml:space="preserve">- Culture and Leadership: Invest in leadership training (domestic &amp; international), build positive culture, improve communication, recognition, and inspiration.  </w:t>
      </w:r>
    </w:p>
    <w:p w14:paraId="7375960C" w14:textId="6336C0D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xml:space="preserve">- Compensation &amp; Benefits: Ensure fair, competitive pay; flexible, market-aligned benefits (health insurance, leave, year-end bonuses).  </w:t>
      </w:r>
    </w:p>
    <w:p w14:paraId="010A501C" w14:textId="56E83DB7"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xml:space="preserve">- Career Advancement: Create transparent career paths, training programs, mentoring, skill-development opportunities.  </w:t>
      </w:r>
    </w:p>
    <w:p w14:paraId="03AFFE7E" w14:textId="30E124FD" w:rsidR="00C54284" w:rsidRPr="007B4A6B" w:rsidRDefault="00C54284" w:rsidP="007B4A6B">
      <w:pPr>
        <w:spacing w:after="0" w:line="240" w:lineRule="auto"/>
        <w:jc w:val="both"/>
        <w:rPr>
          <w:rFonts w:ascii="Times New Roman" w:hAnsi="Times New Roman" w:cs="Times New Roman"/>
        </w:rPr>
      </w:pPr>
      <w:r w:rsidRPr="007B4A6B">
        <w:rPr>
          <w:rFonts w:ascii="Times New Roman" w:hAnsi="Times New Roman" w:cs="Times New Roman"/>
        </w:rPr>
        <w:t>- Work Environment: Upgrade facilities/equipment, ensure safety/comfort, foster supportive colleague/manager relationships, open communication.</w:t>
      </w:r>
    </w:p>
    <w:p w14:paraId="1CEF8B41" w14:textId="0906ADCB" w:rsidR="00C54284" w:rsidRPr="007B4A6B" w:rsidRDefault="00C54284" w:rsidP="007B4A6B">
      <w:pPr>
        <w:spacing w:after="0" w:line="240" w:lineRule="auto"/>
        <w:jc w:val="both"/>
        <w:rPr>
          <w:rFonts w:ascii="Times New Roman" w:hAnsi="Times New Roman" w:cs="Times New Roman"/>
          <w:b/>
          <w:bCs/>
        </w:rPr>
      </w:pPr>
      <w:r w:rsidRPr="007B4A6B">
        <w:rPr>
          <w:rFonts w:ascii="Times New Roman" w:hAnsi="Times New Roman" w:cs="Times New Roman"/>
          <w:b/>
          <w:bCs/>
        </w:rPr>
        <w:t>REFERENCES</w:t>
      </w:r>
      <w:r w:rsidR="007B4A6B">
        <w:rPr>
          <w:rFonts w:ascii="Times New Roman" w:hAnsi="Times New Roman" w:cs="Times New Roman"/>
          <w:b/>
          <w:bCs/>
        </w:rPr>
        <w:t>:</w:t>
      </w:r>
      <w:r w:rsidRPr="007B4A6B">
        <w:rPr>
          <w:rFonts w:ascii="Times New Roman" w:hAnsi="Times New Roman" w:cs="Times New Roman"/>
          <w:b/>
          <w:bCs/>
        </w:rPr>
        <w:t xml:space="preserve">  </w:t>
      </w:r>
    </w:p>
    <w:p w14:paraId="421D2C9E" w14:textId="77777777" w:rsidR="007B4A6B" w:rsidRPr="007B4A6B" w:rsidRDefault="007B4A6B" w:rsidP="007B4A6B">
      <w:pPr>
        <w:spacing w:after="0" w:line="240" w:lineRule="auto"/>
        <w:ind w:firstLine="567"/>
        <w:jc w:val="both"/>
        <w:rPr>
          <w:rFonts w:ascii="Times New Roman" w:hAnsi="Times New Roman" w:cs="Times New Roman"/>
        </w:rPr>
      </w:pPr>
      <w:r w:rsidRPr="007B4A6B">
        <w:rPr>
          <w:rFonts w:ascii="Times New Roman" w:hAnsi="Times New Roman" w:cs="Times New Roman"/>
        </w:rPr>
        <w:t xml:space="preserve">Allen, N. J., &amp; Meyer, J. P. (1991). A three-component conceptualization of organizational commitment. </w:t>
      </w:r>
      <w:r w:rsidRPr="007B4A6B">
        <w:rPr>
          <w:rFonts w:ascii="Times New Roman" w:hAnsi="Times New Roman" w:cs="Times New Roman"/>
          <w:i/>
          <w:iCs/>
        </w:rPr>
        <w:t>Human Resource Management Review, 1</w:t>
      </w:r>
      <w:r w:rsidRPr="007B4A6B">
        <w:rPr>
          <w:rFonts w:ascii="Times New Roman" w:hAnsi="Times New Roman" w:cs="Times New Roman"/>
        </w:rPr>
        <w:t xml:space="preserve">(1), 61–89. </w:t>
      </w:r>
      <w:r>
        <w:rPr>
          <w:rFonts w:ascii="Times New Roman" w:hAnsi="Times New Roman" w:cs="Times New Roman"/>
        </w:rPr>
        <w:t xml:space="preserve">Available at </w:t>
      </w:r>
      <w:hyperlink r:id="rId6" w:history="1">
        <w:r w:rsidRPr="00FC3B50">
          <w:rPr>
            <w:rStyle w:val="Hyperlink"/>
            <w:rFonts w:ascii="Times New Roman" w:hAnsi="Times New Roman" w:cs="Times New Roman"/>
          </w:rPr>
          <w:t>https://doi.org/10.1016/1053-4822(91)90011-Z</w:t>
        </w:r>
      </w:hyperlink>
    </w:p>
    <w:p w14:paraId="74458854" w14:textId="77777777" w:rsidR="007B4A6B" w:rsidRPr="007B4A6B" w:rsidRDefault="007B4A6B" w:rsidP="007B4A6B">
      <w:pPr>
        <w:spacing w:after="0" w:line="240" w:lineRule="auto"/>
        <w:ind w:firstLine="567"/>
        <w:jc w:val="both"/>
        <w:rPr>
          <w:rFonts w:ascii="Times New Roman" w:hAnsi="Times New Roman" w:cs="Times New Roman"/>
        </w:rPr>
      </w:pPr>
      <w:r w:rsidRPr="007B4A6B">
        <w:rPr>
          <w:rFonts w:ascii="Times New Roman" w:hAnsi="Times New Roman" w:cs="Times New Roman"/>
        </w:rPr>
        <w:t xml:space="preserve">Bhatnagar, J. (2007). Talent management strategy of employee engagement in Indian ITES employees: Key to retention. </w:t>
      </w:r>
      <w:r w:rsidRPr="007B4A6B">
        <w:rPr>
          <w:rFonts w:ascii="Times New Roman" w:hAnsi="Times New Roman" w:cs="Times New Roman"/>
          <w:i/>
          <w:iCs/>
        </w:rPr>
        <w:t>Employee Relations, 29</w:t>
      </w:r>
      <w:r w:rsidRPr="007B4A6B">
        <w:rPr>
          <w:rFonts w:ascii="Times New Roman" w:hAnsi="Times New Roman" w:cs="Times New Roman"/>
        </w:rPr>
        <w:t xml:space="preserve">(6), 640–663. </w:t>
      </w:r>
      <w:r>
        <w:rPr>
          <w:rFonts w:ascii="Times New Roman" w:hAnsi="Times New Roman" w:cs="Times New Roman"/>
        </w:rPr>
        <w:t xml:space="preserve">Available at </w:t>
      </w:r>
      <w:hyperlink r:id="rId7" w:tgtFrame="_blank" w:history="1">
        <w:r w:rsidRPr="007B4A6B">
          <w:rPr>
            <w:rStyle w:val="Hyperlink"/>
            <w:rFonts w:ascii="Times New Roman" w:hAnsi="Times New Roman" w:cs="Times New Roman"/>
          </w:rPr>
          <w:t>https://doi.org/10.1108/01425450710826149</w:t>
        </w:r>
      </w:hyperlink>
    </w:p>
    <w:p w14:paraId="2A8C040A" w14:textId="77777777" w:rsidR="007B4A6B" w:rsidRPr="007B4A6B" w:rsidRDefault="007B4A6B" w:rsidP="007B4A6B">
      <w:pPr>
        <w:spacing w:after="0" w:line="240" w:lineRule="auto"/>
        <w:ind w:firstLine="567"/>
        <w:jc w:val="both"/>
        <w:rPr>
          <w:rFonts w:ascii="Times New Roman" w:hAnsi="Times New Roman" w:cs="Times New Roman"/>
        </w:rPr>
      </w:pPr>
      <w:r w:rsidRPr="007B4A6B">
        <w:rPr>
          <w:rFonts w:ascii="Times New Roman" w:hAnsi="Times New Roman" w:cs="Times New Roman"/>
        </w:rPr>
        <w:t xml:space="preserve">Đào Thị Minh Ngọc. (2023). </w:t>
      </w:r>
      <w:r w:rsidRPr="007B4A6B">
        <w:rPr>
          <w:rFonts w:ascii="Times New Roman" w:hAnsi="Times New Roman" w:cs="Times New Roman"/>
          <w:i/>
          <w:iCs/>
        </w:rPr>
        <w:t>Factors affecting employee engagement with the organization at Mobio Vietnam Software Application Joint Stock Company</w:t>
      </w:r>
      <w:r>
        <w:rPr>
          <w:rFonts w:ascii="Times New Roman" w:hAnsi="Times New Roman" w:cs="Times New Roman"/>
        </w:rPr>
        <w:t xml:space="preserve">. </w:t>
      </w:r>
      <w:r w:rsidRPr="007B4A6B">
        <w:rPr>
          <w:rFonts w:ascii="Times New Roman" w:hAnsi="Times New Roman" w:cs="Times New Roman"/>
        </w:rPr>
        <w:t>Hanoi, Vietnam: University of Labour and Social Affairs. University of Labour and Social Affairs.</w:t>
      </w:r>
    </w:p>
    <w:p w14:paraId="5883C17B" w14:textId="77777777" w:rsidR="007B4A6B" w:rsidRPr="007B4A6B" w:rsidRDefault="007B4A6B" w:rsidP="007B4A6B">
      <w:pPr>
        <w:spacing w:after="0" w:line="240" w:lineRule="auto"/>
        <w:ind w:firstLine="567"/>
        <w:jc w:val="both"/>
        <w:rPr>
          <w:rFonts w:ascii="Times New Roman" w:hAnsi="Times New Roman" w:cs="Times New Roman"/>
        </w:rPr>
      </w:pPr>
      <w:r w:rsidRPr="007B4A6B">
        <w:rPr>
          <w:rFonts w:ascii="Times New Roman" w:hAnsi="Times New Roman" w:cs="Times New Roman"/>
        </w:rPr>
        <w:t xml:space="preserve">Gallup. (2019). </w:t>
      </w:r>
      <w:r w:rsidRPr="007B4A6B">
        <w:rPr>
          <w:rFonts w:ascii="Times New Roman" w:hAnsi="Times New Roman" w:cs="Times New Roman"/>
          <w:i/>
          <w:iCs/>
        </w:rPr>
        <w:t>What is employee engagement and how do you improve it?</w:t>
      </w:r>
      <w:r w:rsidRPr="007B4A6B">
        <w:rPr>
          <w:rFonts w:ascii="Times New Roman" w:hAnsi="Times New Roman" w:cs="Times New Roman"/>
        </w:rPr>
        <w:t xml:space="preserve"> </w:t>
      </w:r>
      <w:r>
        <w:rPr>
          <w:rFonts w:ascii="Times New Roman" w:hAnsi="Times New Roman" w:cs="Times New Roman"/>
        </w:rPr>
        <w:t xml:space="preserve">Available at </w:t>
      </w:r>
      <w:hyperlink r:id="rId8" w:tgtFrame="_blank" w:history="1">
        <w:r w:rsidRPr="007B4A6B">
          <w:rPr>
            <w:rStyle w:val="Hyperlink"/>
            <w:rFonts w:ascii="Times New Roman" w:hAnsi="Times New Roman" w:cs="Times New Roman"/>
          </w:rPr>
          <w:t>https://www.gallup.com/workplace/285674/improve-employee-engagement-workplace.aspx</w:t>
        </w:r>
      </w:hyperlink>
    </w:p>
    <w:p w14:paraId="51A28152" w14:textId="77777777" w:rsidR="007B4A6B" w:rsidRPr="007B4A6B" w:rsidRDefault="007B4A6B" w:rsidP="007B4A6B">
      <w:pPr>
        <w:spacing w:after="0" w:line="240" w:lineRule="auto"/>
        <w:ind w:firstLine="567"/>
        <w:jc w:val="both"/>
        <w:rPr>
          <w:rFonts w:ascii="Times New Roman" w:hAnsi="Times New Roman" w:cs="Times New Roman"/>
        </w:rPr>
      </w:pPr>
      <w:r w:rsidRPr="007B4A6B">
        <w:rPr>
          <w:rFonts w:ascii="Times New Roman" w:hAnsi="Times New Roman" w:cs="Times New Roman"/>
        </w:rPr>
        <w:t xml:space="preserve">Hair, J. F., Black, W. C., Babin, B. J., &amp; Anderson, R. E. (2014). </w:t>
      </w:r>
      <w:r w:rsidRPr="007B4A6B">
        <w:rPr>
          <w:rFonts w:ascii="Times New Roman" w:hAnsi="Times New Roman" w:cs="Times New Roman"/>
          <w:i/>
          <w:iCs/>
        </w:rPr>
        <w:t>Multivariate data analysis</w:t>
      </w:r>
      <w:r w:rsidRPr="007B4A6B">
        <w:rPr>
          <w:rFonts w:ascii="Times New Roman" w:hAnsi="Times New Roman" w:cs="Times New Roman"/>
        </w:rPr>
        <w:t xml:space="preserve"> (7th ed.). Harlow, England:</w:t>
      </w:r>
      <w:r>
        <w:rPr>
          <w:rFonts w:ascii="Times New Roman" w:hAnsi="Times New Roman" w:cs="Times New Roman"/>
        </w:rPr>
        <w:t xml:space="preserve"> </w:t>
      </w:r>
      <w:r w:rsidRPr="007B4A6B">
        <w:rPr>
          <w:rFonts w:ascii="Times New Roman" w:hAnsi="Times New Roman" w:cs="Times New Roman"/>
        </w:rPr>
        <w:t>Pearson.</w:t>
      </w:r>
    </w:p>
    <w:p w14:paraId="6248075F" w14:textId="77777777" w:rsidR="007B4A6B" w:rsidRPr="007B4A6B" w:rsidRDefault="007B4A6B" w:rsidP="007B4A6B">
      <w:pPr>
        <w:spacing w:after="0" w:line="240" w:lineRule="auto"/>
        <w:ind w:firstLine="567"/>
        <w:jc w:val="both"/>
        <w:rPr>
          <w:rFonts w:ascii="Times New Roman" w:hAnsi="Times New Roman" w:cs="Times New Roman"/>
        </w:rPr>
      </w:pPr>
      <w:r w:rsidRPr="007B4A6B">
        <w:rPr>
          <w:rFonts w:ascii="Times New Roman" w:hAnsi="Times New Roman" w:cs="Times New Roman"/>
        </w:rPr>
        <w:t xml:space="preserve">Hall, D. T., Schneider, B., &amp; Nygren, H. T. (1970). Personal factors in organizational identification. </w:t>
      </w:r>
      <w:r w:rsidRPr="007B4A6B">
        <w:rPr>
          <w:rFonts w:ascii="Times New Roman" w:hAnsi="Times New Roman" w:cs="Times New Roman"/>
          <w:i/>
          <w:iCs/>
        </w:rPr>
        <w:t>Administrative Science Quarterly, 15</w:t>
      </w:r>
      <w:r w:rsidRPr="007B4A6B">
        <w:rPr>
          <w:rFonts w:ascii="Times New Roman" w:hAnsi="Times New Roman" w:cs="Times New Roman"/>
        </w:rPr>
        <w:t>(2), 176–190.</w:t>
      </w:r>
    </w:p>
    <w:p w14:paraId="004FA686" w14:textId="77777777" w:rsidR="007B4A6B" w:rsidRPr="007B4A6B" w:rsidRDefault="007B4A6B" w:rsidP="007B4A6B">
      <w:pPr>
        <w:spacing w:after="0" w:line="240" w:lineRule="auto"/>
        <w:ind w:firstLine="567"/>
        <w:jc w:val="both"/>
        <w:rPr>
          <w:rFonts w:ascii="Times New Roman" w:hAnsi="Times New Roman" w:cs="Times New Roman"/>
        </w:rPr>
      </w:pPr>
      <w:r w:rsidRPr="007B4A6B">
        <w:rPr>
          <w:rFonts w:ascii="Times New Roman" w:hAnsi="Times New Roman" w:cs="Times New Roman"/>
        </w:rPr>
        <w:t xml:space="preserve">Harter, J. K., Schmidt, F. L., &amp; Hayes, T. L. (2002). Business-unit-level relationship between employee satisfaction, employee engagement, and business outcomes: A meta-analysis. </w:t>
      </w:r>
      <w:r w:rsidRPr="007B4A6B">
        <w:rPr>
          <w:rFonts w:ascii="Times New Roman" w:hAnsi="Times New Roman" w:cs="Times New Roman"/>
          <w:i/>
          <w:iCs/>
        </w:rPr>
        <w:t>Journal of Applied Psychology, 87</w:t>
      </w:r>
      <w:r w:rsidRPr="007B4A6B">
        <w:rPr>
          <w:rFonts w:ascii="Times New Roman" w:hAnsi="Times New Roman" w:cs="Times New Roman"/>
        </w:rPr>
        <w:t xml:space="preserve">(2), 268–279. </w:t>
      </w:r>
      <w:r>
        <w:rPr>
          <w:rFonts w:ascii="Times New Roman" w:hAnsi="Times New Roman" w:cs="Times New Roman"/>
        </w:rPr>
        <w:t xml:space="preserve">Available at </w:t>
      </w:r>
      <w:hyperlink r:id="rId9" w:tgtFrame="_blank" w:history="1">
        <w:r w:rsidRPr="007B4A6B">
          <w:rPr>
            <w:rStyle w:val="Hyperlink"/>
            <w:rFonts w:ascii="Times New Roman" w:hAnsi="Times New Roman" w:cs="Times New Roman"/>
          </w:rPr>
          <w:t>https://doi.org/10.1037/0021-9010.87.2.268</w:t>
        </w:r>
      </w:hyperlink>
    </w:p>
    <w:p w14:paraId="0AB42272" w14:textId="77777777" w:rsidR="007B4A6B" w:rsidRPr="007B4A6B" w:rsidRDefault="007B4A6B" w:rsidP="007B4A6B">
      <w:pPr>
        <w:spacing w:after="0" w:line="240" w:lineRule="auto"/>
        <w:ind w:firstLine="567"/>
        <w:jc w:val="both"/>
        <w:rPr>
          <w:rFonts w:ascii="Times New Roman" w:hAnsi="Times New Roman" w:cs="Times New Roman"/>
        </w:rPr>
      </w:pPr>
      <w:r w:rsidRPr="007B4A6B">
        <w:rPr>
          <w:rFonts w:ascii="Times New Roman" w:hAnsi="Times New Roman" w:cs="Times New Roman"/>
        </w:rPr>
        <w:t xml:space="preserve">Kahn, W. A. (1990). Psychological conditions of personal engagement and disengagement at work. </w:t>
      </w:r>
      <w:r w:rsidRPr="007B4A6B">
        <w:rPr>
          <w:rFonts w:ascii="Times New Roman" w:hAnsi="Times New Roman" w:cs="Times New Roman"/>
          <w:i/>
          <w:iCs/>
        </w:rPr>
        <w:t>Academy of Management Journal, 33</w:t>
      </w:r>
      <w:r w:rsidRPr="007B4A6B">
        <w:rPr>
          <w:rFonts w:ascii="Times New Roman" w:hAnsi="Times New Roman" w:cs="Times New Roman"/>
        </w:rPr>
        <w:t xml:space="preserve">(4), 692–724. </w:t>
      </w:r>
      <w:hyperlink r:id="rId10" w:tgtFrame="_blank" w:history="1">
        <w:r w:rsidRPr="007B4A6B">
          <w:rPr>
            <w:rStyle w:val="Hyperlink"/>
            <w:rFonts w:ascii="Times New Roman" w:hAnsi="Times New Roman" w:cs="Times New Roman"/>
          </w:rPr>
          <w:t>https://doi.org/10.5465/256287</w:t>
        </w:r>
      </w:hyperlink>
    </w:p>
    <w:p w14:paraId="3B9A38FF" w14:textId="77777777" w:rsidR="007B4A6B" w:rsidRPr="007B4A6B" w:rsidRDefault="007B4A6B" w:rsidP="007B4A6B">
      <w:pPr>
        <w:spacing w:after="0" w:line="240" w:lineRule="auto"/>
        <w:ind w:firstLine="567"/>
        <w:jc w:val="both"/>
        <w:rPr>
          <w:rFonts w:ascii="Times New Roman" w:hAnsi="Times New Roman" w:cs="Times New Roman"/>
        </w:rPr>
      </w:pPr>
      <w:r w:rsidRPr="007B4A6B">
        <w:rPr>
          <w:rFonts w:ascii="Times New Roman" w:hAnsi="Times New Roman" w:cs="Times New Roman"/>
        </w:rPr>
        <w:t xml:space="preserve">Landsman, M. J. (2000). </w:t>
      </w:r>
      <w:r w:rsidRPr="007B4A6B">
        <w:rPr>
          <w:rFonts w:ascii="Times New Roman" w:hAnsi="Times New Roman" w:cs="Times New Roman"/>
          <w:i/>
          <w:iCs/>
        </w:rPr>
        <w:t>Organizational and occupational commitment in public child welfare</w:t>
      </w:r>
      <w:r w:rsidRPr="007B4A6B">
        <w:rPr>
          <w:rFonts w:ascii="Times New Roman" w:hAnsi="Times New Roman" w:cs="Times New Roman"/>
        </w:rPr>
        <w:t xml:space="preserve"> [Unpublished doctoral dissertation]. Iowa City, IA: The University of Iowa.</w:t>
      </w:r>
    </w:p>
    <w:p w14:paraId="26895EBA" w14:textId="77777777" w:rsidR="007B4A6B" w:rsidRPr="007B4A6B" w:rsidRDefault="007B4A6B" w:rsidP="007B4A6B">
      <w:pPr>
        <w:spacing w:after="0" w:line="240" w:lineRule="auto"/>
        <w:ind w:firstLine="567"/>
        <w:jc w:val="both"/>
        <w:rPr>
          <w:rFonts w:ascii="Times New Roman" w:hAnsi="Times New Roman" w:cs="Times New Roman"/>
        </w:rPr>
      </w:pPr>
      <w:r w:rsidRPr="007B4A6B">
        <w:rPr>
          <w:rFonts w:ascii="Times New Roman" w:hAnsi="Times New Roman" w:cs="Times New Roman"/>
        </w:rPr>
        <w:t xml:space="preserve">Meyer, J. P., &amp; Allen, N. J. (1997). </w:t>
      </w:r>
      <w:r w:rsidRPr="007B4A6B">
        <w:rPr>
          <w:rFonts w:ascii="Times New Roman" w:hAnsi="Times New Roman" w:cs="Times New Roman"/>
          <w:i/>
          <w:iCs/>
        </w:rPr>
        <w:t>Commitment in the workplace: Theory, research, and application</w:t>
      </w:r>
      <w:r w:rsidRPr="007B4A6B">
        <w:rPr>
          <w:rFonts w:ascii="Times New Roman" w:hAnsi="Times New Roman" w:cs="Times New Roman"/>
        </w:rPr>
        <w:t>. Thousand Oaks, CA: Sage Publications.</w:t>
      </w:r>
    </w:p>
    <w:p w14:paraId="7F03D6CA" w14:textId="77777777" w:rsidR="007B4A6B" w:rsidRPr="007B4A6B" w:rsidRDefault="007B4A6B" w:rsidP="007B4A6B">
      <w:pPr>
        <w:spacing w:after="0" w:line="240" w:lineRule="auto"/>
        <w:ind w:firstLine="567"/>
        <w:jc w:val="both"/>
        <w:rPr>
          <w:rFonts w:ascii="Times New Roman" w:hAnsi="Times New Roman" w:cs="Times New Roman"/>
        </w:rPr>
      </w:pPr>
      <w:r w:rsidRPr="007B4A6B">
        <w:rPr>
          <w:rFonts w:ascii="Times New Roman" w:hAnsi="Times New Roman" w:cs="Times New Roman"/>
        </w:rPr>
        <w:t xml:space="preserve">Mowday, R. T., Porter, L. W., &amp; Steers, R. M. (1982). </w:t>
      </w:r>
      <w:r w:rsidRPr="007B4A6B">
        <w:rPr>
          <w:rFonts w:ascii="Times New Roman" w:hAnsi="Times New Roman" w:cs="Times New Roman"/>
          <w:i/>
          <w:iCs/>
        </w:rPr>
        <w:t>Employee-organization linkages: The psychology of commitment, absenteeism, and turnover</w:t>
      </w:r>
      <w:r w:rsidRPr="007B4A6B">
        <w:rPr>
          <w:rFonts w:ascii="Times New Roman" w:hAnsi="Times New Roman" w:cs="Times New Roman"/>
        </w:rPr>
        <w:t>. New York, NY: Academic Press.</w:t>
      </w:r>
    </w:p>
    <w:p w14:paraId="5153FFB0" w14:textId="77777777" w:rsidR="007B4A6B" w:rsidRPr="007B4A6B" w:rsidRDefault="007B4A6B" w:rsidP="007B4A6B">
      <w:pPr>
        <w:spacing w:after="0" w:line="240" w:lineRule="auto"/>
        <w:ind w:firstLine="567"/>
        <w:jc w:val="both"/>
        <w:rPr>
          <w:rFonts w:ascii="Times New Roman" w:hAnsi="Times New Roman" w:cs="Times New Roman"/>
        </w:rPr>
      </w:pPr>
      <w:r w:rsidRPr="007B4A6B">
        <w:rPr>
          <w:rFonts w:ascii="Times New Roman" w:hAnsi="Times New Roman" w:cs="Times New Roman"/>
        </w:rPr>
        <w:t xml:space="preserve">Nguyễn Thị Hồng Vân. (2020). </w:t>
      </w:r>
      <w:r w:rsidRPr="007B4A6B">
        <w:rPr>
          <w:rFonts w:ascii="Times New Roman" w:hAnsi="Times New Roman" w:cs="Times New Roman"/>
          <w:i/>
          <w:iCs/>
        </w:rPr>
        <w:t>Factors affecting organizational commitment of civil servants, public employees, and workers at the Sub-Department of Standards, Metrology and Quality of Ho Chi Minh City</w:t>
      </w:r>
      <w:r w:rsidRPr="007B4A6B">
        <w:rPr>
          <w:rFonts w:ascii="Times New Roman" w:hAnsi="Times New Roman" w:cs="Times New Roman"/>
        </w:rPr>
        <w:t xml:space="preserve">. Industry and Trade Magazine. </w:t>
      </w:r>
      <w:r>
        <w:rPr>
          <w:rFonts w:ascii="Times New Roman" w:hAnsi="Times New Roman" w:cs="Times New Roman"/>
        </w:rPr>
        <w:t xml:space="preserve">Available at </w:t>
      </w:r>
      <w:hyperlink r:id="rId11" w:tgtFrame="_new" w:history="1">
        <w:r w:rsidRPr="007B4A6B">
          <w:rPr>
            <w:rStyle w:val="Hyperlink"/>
            <w:rFonts w:ascii="Times New Roman" w:hAnsi="Times New Roman" w:cs="Times New Roman"/>
          </w:rPr>
          <w:t>https://doi.org/10.3093-3870</w:t>
        </w:r>
      </w:hyperlink>
      <w:r w:rsidRPr="007B4A6B">
        <w:rPr>
          <w:rFonts w:ascii="Times New Roman" w:hAnsi="Times New Roman" w:cs="Times New Roman"/>
        </w:rPr>
        <w:t xml:space="preserve"> (November 26, 2020).</w:t>
      </w:r>
    </w:p>
    <w:p w14:paraId="1E84E9F7" w14:textId="77777777" w:rsidR="007B4A6B" w:rsidRPr="007B4A6B" w:rsidRDefault="007B4A6B" w:rsidP="007B4A6B">
      <w:pPr>
        <w:spacing w:after="0" w:line="240" w:lineRule="auto"/>
        <w:ind w:firstLine="567"/>
        <w:jc w:val="both"/>
        <w:rPr>
          <w:rFonts w:ascii="Times New Roman" w:hAnsi="Times New Roman" w:cs="Times New Roman"/>
        </w:rPr>
      </w:pPr>
      <w:r w:rsidRPr="007B4A6B">
        <w:rPr>
          <w:rFonts w:ascii="Times New Roman" w:hAnsi="Times New Roman" w:cs="Times New Roman"/>
        </w:rPr>
        <w:t>Nguyễn Thị Phương Dung</w:t>
      </w:r>
      <w:r>
        <w:rPr>
          <w:rFonts w:ascii="Times New Roman" w:hAnsi="Times New Roman" w:cs="Times New Roman"/>
        </w:rPr>
        <w:t>,</w:t>
      </w:r>
      <w:r w:rsidRPr="007B4A6B">
        <w:rPr>
          <w:rFonts w:ascii="Times New Roman" w:hAnsi="Times New Roman" w:cs="Times New Roman"/>
        </w:rPr>
        <w:t xml:space="preserve"> et al. (2014). </w:t>
      </w:r>
      <w:r w:rsidRPr="007B4A6B">
        <w:rPr>
          <w:rFonts w:ascii="Times New Roman" w:hAnsi="Times New Roman" w:cs="Times New Roman"/>
          <w:i/>
          <w:iCs/>
        </w:rPr>
        <w:t>Factors affecting organizational commitment of office employees in Can Tho City</w:t>
      </w:r>
      <w:r w:rsidRPr="007B4A6B">
        <w:rPr>
          <w:rFonts w:ascii="Times New Roman" w:hAnsi="Times New Roman" w:cs="Times New Roman"/>
        </w:rPr>
        <w:t>. Can Tho University Journal of Science, 30, 92–99.</w:t>
      </w:r>
    </w:p>
    <w:p w14:paraId="46886A7D" w14:textId="3A42375C" w:rsidR="00703796" w:rsidRDefault="00703796" w:rsidP="00703796">
      <w:pPr>
        <w:spacing w:after="0" w:line="240" w:lineRule="auto"/>
        <w:jc w:val="both"/>
        <w:rPr>
          <w:rFonts w:ascii="Times New Roman" w:hAnsi="Times New Roman" w:cs="Times New Roman"/>
          <w:b/>
          <w:bCs/>
        </w:rPr>
      </w:pPr>
      <w:r>
        <w:rPr>
          <w:rFonts w:ascii="Times New Roman" w:hAnsi="Times New Roman" w:cs="Times New Roman"/>
          <w:b/>
          <w:bCs/>
        </w:rPr>
        <w:lastRenderedPageBreak/>
        <w:t>Author’s biology:</w:t>
      </w:r>
    </w:p>
    <w:p w14:paraId="1CE02CC0" w14:textId="77777777" w:rsidR="00703796" w:rsidRPr="007B4A6B" w:rsidRDefault="00703796" w:rsidP="008F3EE0">
      <w:pPr>
        <w:spacing w:after="0" w:line="240" w:lineRule="auto"/>
        <w:jc w:val="both"/>
        <w:rPr>
          <w:rFonts w:ascii="Times New Roman" w:hAnsi="Times New Roman" w:cs="Times New Roman"/>
        </w:rPr>
      </w:pPr>
      <w:r w:rsidRPr="007B4A6B">
        <w:rPr>
          <w:rFonts w:ascii="Times New Roman" w:hAnsi="Times New Roman" w:cs="Times New Roman"/>
        </w:rPr>
        <w:t>Nguyen Thi Thanh Truc</w:t>
      </w:r>
      <w:r w:rsidRPr="007B4A6B">
        <w:rPr>
          <w:rFonts w:ascii="Times New Roman" w:hAnsi="Times New Roman" w:cs="Times New Roman"/>
          <w:vertAlign w:val="superscript"/>
        </w:rPr>
        <w:t>1</w:t>
      </w:r>
    </w:p>
    <w:p w14:paraId="5F21735A" w14:textId="77777777" w:rsidR="00703796" w:rsidRDefault="00703796" w:rsidP="00703796">
      <w:pPr>
        <w:spacing w:after="0" w:line="240" w:lineRule="auto"/>
        <w:jc w:val="both"/>
        <w:rPr>
          <w:rFonts w:ascii="Times New Roman" w:eastAsia="Times New Roman" w:hAnsi="Times New Roman" w:cs="Times New Roman"/>
          <w:lang w:eastAsia="en-GB"/>
        </w:rPr>
      </w:pPr>
      <w:r w:rsidRPr="007B4A6B">
        <w:rPr>
          <w:rFonts w:ascii="Times New Roman" w:hAnsi="Times New Roman" w:cs="Times New Roman"/>
          <w:vertAlign w:val="superscript"/>
        </w:rPr>
        <w:t>1</w:t>
      </w:r>
      <w:r w:rsidRPr="007B4A6B">
        <w:rPr>
          <w:rFonts w:ascii="Times New Roman" w:eastAsia="Times New Roman" w:hAnsi="Times New Roman" w:cs="Times New Roman"/>
          <w:lang w:eastAsia="en-GB"/>
        </w:rPr>
        <w:t>Lecturer, Tay Do University</w:t>
      </w:r>
    </w:p>
    <w:p w14:paraId="2FFECC1C" w14:textId="77777777" w:rsidR="00703796" w:rsidRDefault="00703796" w:rsidP="00703796">
      <w:pPr>
        <w:spacing w:after="0" w:line="240" w:lineRule="auto"/>
        <w:jc w:val="both"/>
        <w:rPr>
          <w:rFonts w:ascii="Times New Roman" w:eastAsia="Times New Roman" w:hAnsi="Times New Roman" w:cs="Times New Roman"/>
          <w:lang w:eastAsia="en-GB"/>
        </w:rPr>
      </w:pPr>
    </w:p>
    <w:p w14:paraId="637AC963" w14:textId="41369E6E" w:rsidR="00703796" w:rsidRDefault="00703796" w:rsidP="00703796">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Received date:</w:t>
      </w:r>
      <w:r w:rsidR="00E55DE6">
        <w:rPr>
          <w:rFonts w:ascii="Times New Roman" w:eastAsia="Times New Roman" w:hAnsi="Times New Roman" w:cs="Times New Roman"/>
          <w:lang w:eastAsia="en-GB"/>
        </w:rPr>
        <w:t xml:space="preserve"> </w:t>
      </w:r>
      <w:r w:rsidR="002B1F30">
        <w:rPr>
          <w:rFonts w:ascii="Times New Roman" w:eastAsia="Times New Roman" w:hAnsi="Times New Roman" w:cs="Times New Roman"/>
          <w:lang w:eastAsia="en-GB"/>
        </w:rPr>
        <w:t>January 16, 2026</w:t>
      </w:r>
    </w:p>
    <w:p w14:paraId="6CCC7D7B" w14:textId="31CD6518" w:rsidR="00703796" w:rsidRDefault="00E55DE6" w:rsidP="00703796">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Reviewd date:</w:t>
      </w:r>
      <w:r w:rsidR="002B1F30">
        <w:rPr>
          <w:rFonts w:ascii="Times New Roman" w:eastAsia="Times New Roman" w:hAnsi="Times New Roman" w:cs="Times New Roman"/>
          <w:lang w:eastAsia="en-GB"/>
        </w:rPr>
        <w:t xml:space="preserve"> January 22, 2026</w:t>
      </w:r>
    </w:p>
    <w:p w14:paraId="65AD8DB1" w14:textId="7E32B25A" w:rsidR="00E55DE6" w:rsidRPr="007B4A6B" w:rsidRDefault="00E55DE6" w:rsidP="008F3EE0">
      <w:pPr>
        <w:spacing w:after="0" w:line="240" w:lineRule="auto"/>
        <w:jc w:val="both"/>
        <w:rPr>
          <w:rFonts w:ascii="Times New Roman" w:hAnsi="Times New Roman" w:cs="Times New Roman"/>
        </w:rPr>
      </w:pPr>
      <w:r>
        <w:rPr>
          <w:rFonts w:ascii="Times New Roman" w:eastAsia="Times New Roman" w:hAnsi="Times New Roman" w:cs="Times New Roman"/>
          <w:lang w:eastAsia="en-GB"/>
        </w:rPr>
        <w:t xml:space="preserve">Accepted date: </w:t>
      </w:r>
      <w:r w:rsidR="002B1F30">
        <w:rPr>
          <w:rFonts w:ascii="Times New Roman" w:eastAsia="Times New Roman" w:hAnsi="Times New Roman" w:cs="Times New Roman"/>
          <w:lang w:eastAsia="en-GB"/>
        </w:rPr>
        <w:t>February 5, 2026</w:t>
      </w:r>
    </w:p>
    <w:p w14:paraId="1479D649" w14:textId="77777777" w:rsidR="00703796" w:rsidRDefault="00703796" w:rsidP="00703796">
      <w:pPr>
        <w:spacing w:after="0" w:line="240" w:lineRule="auto"/>
        <w:jc w:val="both"/>
        <w:rPr>
          <w:rFonts w:ascii="Times New Roman" w:hAnsi="Times New Roman" w:cs="Times New Roman"/>
          <w:b/>
          <w:bCs/>
        </w:rPr>
      </w:pPr>
    </w:p>
    <w:p w14:paraId="6AA3D245" w14:textId="77777777" w:rsidR="00703796" w:rsidRDefault="00703796" w:rsidP="008F3EE0">
      <w:pPr>
        <w:spacing w:after="0" w:line="240" w:lineRule="auto"/>
        <w:jc w:val="both"/>
        <w:rPr>
          <w:rFonts w:ascii="Times New Roman" w:hAnsi="Times New Roman" w:cs="Times New Roman"/>
          <w:b/>
          <w:bCs/>
        </w:rPr>
      </w:pPr>
    </w:p>
    <w:p w14:paraId="6E6DAE9B" w14:textId="77777777" w:rsidR="00703796" w:rsidRDefault="00703796" w:rsidP="007B4A6B">
      <w:pPr>
        <w:spacing w:after="0" w:line="240" w:lineRule="auto"/>
        <w:jc w:val="center"/>
        <w:rPr>
          <w:rFonts w:ascii="Times New Roman" w:hAnsi="Times New Roman" w:cs="Times New Roman"/>
          <w:b/>
          <w:bCs/>
        </w:rPr>
      </w:pPr>
    </w:p>
    <w:p w14:paraId="6C243CF4" w14:textId="323838ED" w:rsidR="00733D02" w:rsidRDefault="00733D02" w:rsidP="007B4A6B">
      <w:pPr>
        <w:spacing w:after="0" w:line="240" w:lineRule="auto"/>
        <w:jc w:val="center"/>
        <w:rPr>
          <w:rFonts w:ascii="Times New Roman" w:hAnsi="Times New Roman" w:cs="Times New Roman"/>
          <w:b/>
          <w:bCs/>
        </w:rPr>
      </w:pPr>
    </w:p>
    <w:p w14:paraId="181885D9" w14:textId="72E61E04" w:rsidR="00733D02" w:rsidRPr="00733D02" w:rsidRDefault="00733D02" w:rsidP="007B4A6B">
      <w:pPr>
        <w:spacing w:after="0" w:line="240" w:lineRule="auto"/>
        <w:jc w:val="center"/>
        <w:rPr>
          <w:rFonts w:ascii="Times New Roman" w:hAnsi="Times New Roman" w:cs="Times New Roman"/>
          <w:b/>
          <w:bCs/>
        </w:rPr>
      </w:pPr>
      <w:r w:rsidRPr="00733D02">
        <w:rPr>
          <w:rFonts w:ascii="Times New Roman" w:hAnsi="Times New Roman" w:cs="Times New Roman"/>
          <w:b/>
          <w:bCs/>
        </w:rPr>
        <w:t xml:space="preserve">Các yếu tố </w:t>
      </w:r>
      <w:r w:rsidRPr="008F3EE0">
        <w:rPr>
          <w:rFonts w:ascii="Times New Roman" w:hAnsi="Times New Roman" w:cs="Times New Roman"/>
          <w:b/>
          <w:bCs/>
        </w:rPr>
        <w:t xml:space="preserve">ảnh hưởng đến sự gắn kết của nhân viên tại Tập đoàn Bưu chính Viễn thông Việt Nam (VNPT) - Chi nhánh </w:t>
      </w:r>
      <w:r w:rsidR="006334FA">
        <w:rPr>
          <w:rFonts w:ascii="Times New Roman" w:hAnsi="Times New Roman" w:cs="Times New Roman"/>
          <w:b/>
          <w:bCs/>
        </w:rPr>
        <w:t>Ca Mau</w:t>
      </w:r>
    </w:p>
    <w:p w14:paraId="5BF2C886" w14:textId="77777777" w:rsidR="00733D02" w:rsidRPr="007B4A6B" w:rsidRDefault="00733D02" w:rsidP="007B4A6B">
      <w:pPr>
        <w:spacing w:after="0" w:line="240" w:lineRule="auto"/>
        <w:jc w:val="center"/>
        <w:rPr>
          <w:rFonts w:ascii="Times New Roman" w:hAnsi="Times New Roman" w:cs="Times New Roman"/>
          <w:b/>
          <w:bCs/>
        </w:rPr>
      </w:pPr>
    </w:p>
    <w:p w14:paraId="5217CA0D" w14:textId="33317F26" w:rsidR="007B4A6B" w:rsidRPr="007B4A6B" w:rsidRDefault="007B4A6B" w:rsidP="007B4A6B">
      <w:pPr>
        <w:spacing w:after="0" w:line="240" w:lineRule="auto"/>
        <w:jc w:val="center"/>
        <w:rPr>
          <w:rFonts w:ascii="Times New Roman" w:hAnsi="Times New Roman" w:cs="Times New Roman"/>
          <w:b/>
          <w:bCs/>
        </w:rPr>
      </w:pPr>
      <w:r w:rsidRPr="007B4A6B">
        <w:rPr>
          <w:rFonts w:ascii="Times New Roman" w:hAnsi="Times New Roman" w:cs="Times New Roman"/>
          <w:b/>
          <w:bCs/>
        </w:rPr>
        <w:t>Nguyễn Thị Thanh Trúc</w:t>
      </w:r>
    </w:p>
    <w:p w14:paraId="2C49A277" w14:textId="31ECB44A" w:rsidR="007B4A6B" w:rsidRPr="007B4A6B" w:rsidRDefault="007B4A6B" w:rsidP="007B4A6B">
      <w:pPr>
        <w:spacing w:after="0" w:line="240" w:lineRule="auto"/>
        <w:jc w:val="center"/>
        <w:rPr>
          <w:rFonts w:ascii="Times New Roman" w:hAnsi="Times New Roman" w:cs="Times New Roman"/>
          <w:b/>
          <w:bCs/>
        </w:rPr>
      </w:pPr>
      <w:r w:rsidRPr="007B4A6B">
        <w:rPr>
          <w:rFonts w:ascii="Times New Roman" w:hAnsi="Times New Roman" w:cs="Times New Roman"/>
          <w:b/>
          <w:bCs/>
        </w:rPr>
        <w:t>Giảng viên, Khoa Quản trị Kinh doanh, Trường Đại học Tây Đô</w:t>
      </w:r>
      <w:r w:rsidRPr="007B4A6B">
        <w:rPr>
          <w:rFonts w:ascii="Times New Roman" w:hAnsi="Times New Roman" w:cs="Times New Roman"/>
          <w:b/>
          <w:bCs/>
        </w:rPr>
        <w:br/>
      </w:r>
    </w:p>
    <w:p w14:paraId="2C409A6A" w14:textId="4E53181F" w:rsidR="007B4A6B" w:rsidRPr="007B4A6B" w:rsidRDefault="007B4A6B" w:rsidP="007B4A6B">
      <w:pPr>
        <w:spacing w:after="0" w:line="240" w:lineRule="auto"/>
        <w:jc w:val="both"/>
        <w:rPr>
          <w:rFonts w:ascii="Times New Roman" w:hAnsi="Times New Roman" w:cs="Times New Roman"/>
          <w:b/>
          <w:bCs/>
        </w:rPr>
      </w:pPr>
      <w:r w:rsidRPr="007B4A6B">
        <w:rPr>
          <w:rFonts w:ascii="Times New Roman" w:hAnsi="Times New Roman" w:cs="Times New Roman"/>
          <w:b/>
          <w:bCs/>
        </w:rPr>
        <w:t>TÓM TẮT</w:t>
      </w:r>
      <w:r>
        <w:rPr>
          <w:rFonts w:ascii="Times New Roman" w:hAnsi="Times New Roman" w:cs="Times New Roman"/>
          <w:b/>
          <w:bCs/>
        </w:rPr>
        <w:t>:</w:t>
      </w:r>
    </w:p>
    <w:p w14:paraId="63B5B7B2" w14:textId="6F80AEB5" w:rsidR="00BE4AFF" w:rsidRDefault="007B4A6B" w:rsidP="00BE4AFF">
      <w:pPr>
        <w:spacing w:after="0" w:line="240" w:lineRule="auto"/>
        <w:ind w:firstLine="720"/>
        <w:jc w:val="both"/>
        <w:rPr>
          <w:rFonts w:ascii="Times New Roman" w:hAnsi="Times New Roman" w:cs="Times New Roman"/>
        </w:rPr>
      </w:pPr>
      <w:r w:rsidRPr="007B4A6B">
        <w:rPr>
          <w:rFonts w:ascii="Times New Roman" w:hAnsi="Times New Roman" w:cs="Times New Roman"/>
        </w:rPr>
        <w:t xml:space="preserve">Sự gắn kết của nhân viên đóng vai trò quan trọng trong việc nâng cao hiệu quả hoạt động của tổ chức và duy trì lợi thế cạnh tranh bền vững. </w:t>
      </w:r>
      <w:r w:rsidR="00BE4AFF" w:rsidRPr="00BE4AFF">
        <w:rPr>
          <w:rFonts w:ascii="Times New Roman" w:hAnsi="Times New Roman" w:cs="Times New Roman"/>
        </w:rPr>
        <w:t xml:space="preserve">Nghiên cứu này phân tích các yếu tố ảnh hưởng đến sự gắn kết của nhân viên tại Tập đoàn Bưu chính Viễn thông Việt Nam (VNPT) </w:t>
      </w:r>
      <w:r w:rsidR="00BE4AFF">
        <w:rPr>
          <w:rFonts w:ascii="Times New Roman" w:hAnsi="Times New Roman" w:cs="Times New Roman"/>
        </w:rPr>
        <w:t>-</w:t>
      </w:r>
      <w:r w:rsidR="00BE4AFF" w:rsidRPr="00BE4AFF">
        <w:rPr>
          <w:rFonts w:ascii="Times New Roman" w:hAnsi="Times New Roman" w:cs="Times New Roman"/>
        </w:rPr>
        <w:t xml:space="preserve"> Chi nhánh </w:t>
      </w:r>
      <w:r w:rsidR="006334FA">
        <w:rPr>
          <w:rFonts w:ascii="Times New Roman" w:hAnsi="Times New Roman" w:cs="Times New Roman"/>
        </w:rPr>
        <w:t>Ca Mau</w:t>
      </w:r>
      <w:r w:rsidR="00BE4AFF">
        <w:rPr>
          <w:rFonts w:ascii="Times New Roman" w:hAnsi="Times New Roman" w:cs="Times New Roman"/>
        </w:rPr>
        <w:t xml:space="preserve">. Nghiên cứu </w:t>
      </w:r>
      <w:r w:rsidR="00BE4AFF" w:rsidRPr="00BE4AFF">
        <w:rPr>
          <w:rFonts w:ascii="Times New Roman" w:hAnsi="Times New Roman" w:cs="Times New Roman"/>
        </w:rPr>
        <w:t xml:space="preserve">sử dụng các phương pháp thống kê mô tả, hệ số tin cậy Cronbach’s Alpha, phân tích nhân tố khám phá (EFA) và phân tích hồi quy đa biến trên dữ liệu khảo sát thu thập từ 125 nhân viên. Kết quả nghiên cứu xác định </w:t>
      </w:r>
      <w:r w:rsidR="00BE4AFF">
        <w:rPr>
          <w:rFonts w:ascii="Times New Roman" w:hAnsi="Times New Roman" w:cs="Times New Roman"/>
        </w:rPr>
        <w:t>04</w:t>
      </w:r>
      <w:r w:rsidR="00BE4AFF" w:rsidRPr="00BE4AFF">
        <w:rPr>
          <w:rFonts w:ascii="Times New Roman" w:hAnsi="Times New Roman" w:cs="Times New Roman"/>
        </w:rPr>
        <w:t xml:space="preserve"> yếu tố có ảnh hưởng đáng kể đến sự gắn kết của nhân viên, gồm: văn hóa tổ chức và lãnh đạo (β = 0.519), chế độ đãi ngộ (β = 0.256), cơ hội thăng tiến (β = 0.155) và môi trường làm việc (β = 0.134). Trên cơ sở đó, nghiên cứu đề xuất một số hàm ý quản trị, bao gồm nâng cao năng lực lãnh đạo, xây dựng văn hóa tổ chức vững mạnh, triển khai hệ thống đãi ngộ linh hoạt gắn với hiệu quả công việc, thiết lập lộ trình phát triển nghề nghiệp minh bạch và tạo dựng môi trường làm việc tích cực, hỗ trợ.</w:t>
      </w:r>
    </w:p>
    <w:p w14:paraId="0B5F663A" w14:textId="79F1752D" w:rsidR="007B4A6B" w:rsidRPr="007B4A6B" w:rsidRDefault="007B4A6B" w:rsidP="007B4A6B">
      <w:pPr>
        <w:spacing w:after="0" w:line="240" w:lineRule="auto"/>
        <w:ind w:firstLine="720"/>
        <w:jc w:val="both"/>
        <w:rPr>
          <w:rFonts w:ascii="Times New Roman" w:hAnsi="Times New Roman" w:cs="Times New Roman"/>
        </w:rPr>
      </w:pPr>
      <w:r w:rsidRPr="007B4A6B">
        <w:rPr>
          <w:rFonts w:ascii="Times New Roman" w:hAnsi="Times New Roman" w:cs="Times New Roman"/>
          <w:b/>
          <w:bCs/>
        </w:rPr>
        <w:t>Từ khóa:</w:t>
      </w:r>
      <w:r w:rsidRPr="007B4A6B">
        <w:rPr>
          <w:rFonts w:ascii="Times New Roman" w:hAnsi="Times New Roman" w:cs="Times New Roman"/>
        </w:rPr>
        <w:t xml:space="preserve"> sự gắn kết của nhân viên, quản trị nguồn nhân lực, ngành viễn thông, VNPT</w:t>
      </w:r>
      <w:r w:rsidR="005D46FD">
        <w:rPr>
          <w:rFonts w:ascii="Times New Roman" w:hAnsi="Times New Roman" w:cs="Times New Roman"/>
        </w:rPr>
        <w:t>.</w:t>
      </w:r>
    </w:p>
    <w:p w14:paraId="1A21CB68" w14:textId="77777777" w:rsidR="008414DC" w:rsidRDefault="008414DC" w:rsidP="007B4A6B">
      <w:pPr>
        <w:spacing w:after="0" w:line="240" w:lineRule="auto"/>
        <w:jc w:val="both"/>
        <w:rPr>
          <w:rFonts w:ascii="Times New Roman" w:hAnsi="Times New Roman" w:cs="Times New Roman"/>
        </w:rPr>
      </w:pPr>
    </w:p>
    <w:p w14:paraId="21F8AA41" w14:textId="77777777" w:rsidR="00C004DE" w:rsidRPr="007B4A6B" w:rsidRDefault="00C004DE" w:rsidP="007B4A6B">
      <w:pPr>
        <w:spacing w:after="0" w:line="240" w:lineRule="auto"/>
        <w:jc w:val="both"/>
        <w:rPr>
          <w:rFonts w:ascii="Times New Roman" w:hAnsi="Times New Roman" w:cs="Times New Roman"/>
        </w:rPr>
      </w:pPr>
    </w:p>
    <w:sectPr w:rsidR="00C004DE" w:rsidRPr="007B4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84"/>
    <w:rsid w:val="000F1C01"/>
    <w:rsid w:val="0011146C"/>
    <w:rsid w:val="0011500A"/>
    <w:rsid w:val="00122846"/>
    <w:rsid w:val="001F1280"/>
    <w:rsid w:val="002B1F30"/>
    <w:rsid w:val="00374964"/>
    <w:rsid w:val="00385ACF"/>
    <w:rsid w:val="003B144C"/>
    <w:rsid w:val="0042188D"/>
    <w:rsid w:val="005D25FC"/>
    <w:rsid w:val="005D46FD"/>
    <w:rsid w:val="006334FA"/>
    <w:rsid w:val="00703796"/>
    <w:rsid w:val="00733D02"/>
    <w:rsid w:val="007B4A6B"/>
    <w:rsid w:val="007E0088"/>
    <w:rsid w:val="008414DC"/>
    <w:rsid w:val="00862471"/>
    <w:rsid w:val="00874C40"/>
    <w:rsid w:val="008F3EE0"/>
    <w:rsid w:val="00976DC3"/>
    <w:rsid w:val="00A10B79"/>
    <w:rsid w:val="00A9086C"/>
    <w:rsid w:val="00B04892"/>
    <w:rsid w:val="00B725F3"/>
    <w:rsid w:val="00BE4AFF"/>
    <w:rsid w:val="00C004DE"/>
    <w:rsid w:val="00C54284"/>
    <w:rsid w:val="00E55DE6"/>
    <w:rsid w:val="00E9322D"/>
    <w:rsid w:val="00EA7812"/>
    <w:rsid w:val="00F9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0457"/>
  <w15:chartTrackingRefBased/>
  <w15:docId w15:val="{8CCDE674-998C-4E61-B045-27F7825E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2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42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42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42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42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4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RTICLETITLEJGIJC">
    <w:name w:val="00_ARTICLE TITLE_JGIJC"/>
    <w:qFormat/>
    <w:rsid w:val="0042188D"/>
    <w:pPr>
      <w:spacing w:before="440" w:after="0" w:line="240" w:lineRule="auto"/>
    </w:pPr>
    <w:rPr>
      <w:rFonts w:ascii="Segoe UI Semibold" w:hAnsi="Segoe UI Semibold" w:cs="Segoe UI Semibold"/>
      <w:kern w:val="0"/>
      <w:lang w:val="en-GB"/>
      <w14:ligatures w14:val="none"/>
    </w:rPr>
  </w:style>
  <w:style w:type="paragraph" w:customStyle="1" w:styleId="01AuthorsnameJGIJC">
    <w:name w:val="01_Authors name_JGIJC"/>
    <w:qFormat/>
    <w:rsid w:val="0042188D"/>
    <w:pPr>
      <w:spacing w:before="180" w:after="180" w:line="220" w:lineRule="exact"/>
    </w:pPr>
    <w:rPr>
      <w:rFonts w:ascii="Segoe UI Semibold" w:hAnsi="Segoe UI Semibold" w:cs="Segoe UI Semibold"/>
      <w:i/>
      <w:iCs/>
      <w:kern w:val="0"/>
      <w:sz w:val="16"/>
      <w:szCs w:val="18"/>
      <w:lang w:val="en-GB"/>
      <w14:ligatures w14:val="none"/>
    </w:rPr>
  </w:style>
  <w:style w:type="paragraph" w:customStyle="1" w:styleId="02AffiliationsJGIJC">
    <w:name w:val="02_Affiliations_JGIJC"/>
    <w:qFormat/>
    <w:rsid w:val="0042188D"/>
    <w:pPr>
      <w:spacing w:before="180" w:after="180" w:line="220" w:lineRule="exact"/>
    </w:pPr>
    <w:rPr>
      <w:rFonts w:ascii="Segoe UI Semibold" w:hAnsi="Segoe UI Semibold" w:cs="Segoe UI Semibold"/>
      <w:i/>
      <w:iCs/>
      <w:kern w:val="0"/>
      <w:sz w:val="16"/>
      <w:szCs w:val="18"/>
      <w:lang w:val="en-GB"/>
      <w14:ligatures w14:val="none"/>
    </w:rPr>
  </w:style>
  <w:style w:type="paragraph" w:customStyle="1" w:styleId="04AbstractJGIJC">
    <w:name w:val="04_Abstract_JGIJC"/>
    <w:qFormat/>
    <w:rsid w:val="0042188D"/>
    <w:pPr>
      <w:spacing w:before="180" w:after="0" w:line="240" w:lineRule="auto"/>
      <w:jc w:val="both"/>
    </w:pPr>
    <w:rPr>
      <w:rFonts w:ascii="Segoe UI Semibold" w:hAnsi="Segoe UI Semibold" w:cs="Segoe UI Semibold"/>
      <w:sz w:val="16"/>
    </w:rPr>
  </w:style>
  <w:style w:type="paragraph" w:customStyle="1" w:styleId="05KeywordsJGIJC">
    <w:name w:val="05_Keywords_JGIJC"/>
    <w:qFormat/>
    <w:rsid w:val="0042188D"/>
    <w:pPr>
      <w:spacing w:line="259" w:lineRule="auto"/>
      <w:jc w:val="both"/>
    </w:pPr>
    <w:rPr>
      <w:rFonts w:ascii="Segoe UI Semibold" w:hAnsi="Segoe UI Semibold" w:cs="Segoe UI Semibold"/>
      <w:b/>
      <w:bCs/>
      <w:kern w:val="0"/>
      <w:sz w:val="18"/>
      <w:szCs w:val="18"/>
      <w14:ligatures w14:val="none"/>
    </w:rPr>
  </w:style>
  <w:style w:type="paragraph" w:customStyle="1" w:styleId="08OpeningparagraphJGIJC">
    <w:name w:val="08_Opening paragraph_JGIJC"/>
    <w:qFormat/>
    <w:rsid w:val="0042188D"/>
    <w:pPr>
      <w:spacing w:before="180" w:after="40" w:line="220" w:lineRule="exact"/>
      <w:ind w:firstLine="284"/>
      <w:jc w:val="both"/>
    </w:pPr>
    <w:rPr>
      <w:rFonts w:ascii="Segoe UI Semibold" w:hAnsi="Segoe UI Semibold" w:cs="Segoe UI Semibold"/>
      <w:sz w:val="18"/>
      <w:szCs w:val="18"/>
    </w:rPr>
  </w:style>
  <w:style w:type="paragraph" w:customStyle="1" w:styleId="06Level1SectiontitleJGIJC">
    <w:name w:val="06_Level 1_Section title_JGIJC"/>
    <w:qFormat/>
    <w:rsid w:val="0042188D"/>
    <w:pPr>
      <w:spacing w:before="240" w:after="40" w:line="220" w:lineRule="exact"/>
      <w:jc w:val="both"/>
    </w:pPr>
    <w:rPr>
      <w:rFonts w:ascii="Segoe UI Semibold" w:hAnsi="Segoe UI Semibold" w:cs="Segoe UI Semibold"/>
      <w:sz w:val="20"/>
    </w:rPr>
  </w:style>
  <w:style w:type="paragraph" w:customStyle="1" w:styleId="07Level2SubsectiontitleJGIJC">
    <w:name w:val="07_Level 2_Subsection title_JGIJC"/>
    <w:qFormat/>
    <w:rsid w:val="0042188D"/>
    <w:pPr>
      <w:spacing w:before="240" w:after="40" w:line="220" w:lineRule="exact"/>
      <w:jc w:val="both"/>
    </w:pPr>
    <w:rPr>
      <w:rFonts w:ascii="Segoe UI Semibold" w:hAnsi="Segoe UI Semibold" w:cs="Segoe UI Semibold"/>
      <w:i/>
      <w:iCs/>
      <w:sz w:val="20"/>
      <w:szCs w:val="20"/>
    </w:rPr>
  </w:style>
  <w:style w:type="paragraph" w:customStyle="1" w:styleId="10CassificationLevel1JGIJC">
    <w:name w:val="10_Cassification_Level 1_JGIJC"/>
    <w:qFormat/>
    <w:rsid w:val="0042188D"/>
    <w:pPr>
      <w:ind w:firstLine="142"/>
    </w:pPr>
    <w:rPr>
      <w:rFonts w:ascii="Segoe UI Semibold" w:hAnsi="Segoe UI Semibold" w:cs="Segoe UI Semibold"/>
      <w:sz w:val="18"/>
      <w:szCs w:val="18"/>
    </w:rPr>
  </w:style>
  <w:style w:type="character" w:customStyle="1" w:styleId="Heading1Char">
    <w:name w:val="Heading 1 Char"/>
    <w:basedOn w:val="DefaultParagraphFont"/>
    <w:link w:val="Heading1"/>
    <w:uiPriority w:val="9"/>
    <w:rsid w:val="00C542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42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42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42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42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4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284"/>
    <w:rPr>
      <w:rFonts w:eastAsiaTheme="majorEastAsia" w:cstheme="majorBidi"/>
      <w:color w:val="272727" w:themeColor="text1" w:themeTint="D8"/>
    </w:rPr>
  </w:style>
  <w:style w:type="paragraph" w:styleId="Title">
    <w:name w:val="Title"/>
    <w:basedOn w:val="Normal"/>
    <w:next w:val="Normal"/>
    <w:link w:val="TitleChar"/>
    <w:uiPriority w:val="10"/>
    <w:qFormat/>
    <w:rsid w:val="00C54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284"/>
    <w:pPr>
      <w:spacing w:before="160"/>
      <w:jc w:val="center"/>
    </w:pPr>
    <w:rPr>
      <w:i/>
      <w:iCs/>
      <w:color w:val="404040" w:themeColor="text1" w:themeTint="BF"/>
    </w:rPr>
  </w:style>
  <w:style w:type="character" w:customStyle="1" w:styleId="QuoteChar">
    <w:name w:val="Quote Char"/>
    <w:basedOn w:val="DefaultParagraphFont"/>
    <w:link w:val="Quote"/>
    <w:uiPriority w:val="29"/>
    <w:rsid w:val="00C54284"/>
    <w:rPr>
      <w:i/>
      <w:iCs/>
      <w:color w:val="404040" w:themeColor="text1" w:themeTint="BF"/>
    </w:rPr>
  </w:style>
  <w:style w:type="paragraph" w:styleId="ListParagraph">
    <w:name w:val="List Paragraph"/>
    <w:basedOn w:val="Normal"/>
    <w:uiPriority w:val="34"/>
    <w:qFormat/>
    <w:rsid w:val="00C54284"/>
    <w:pPr>
      <w:ind w:left="720"/>
      <w:contextualSpacing/>
    </w:pPr>
  </w:style>
  <w:style w:type="character" w:styleId="IntenseEmphasis">
    <w:name w:val="Intense Emphasis"/>
    <w:basedOn w:val="DefaultParagraphFont"/>
    <w:uiPriority w:val="21"/>
    <w:qFormat/>
    <w:rsid w:val="00C54284"/>
    <w:rPr>
      <w:i/>
      <w:iCs/>
      <w:color w:val="2F5496" w:themeColor="accent1" w:themeShade="BF"/>
    </w:rPr>
  </w:style>
  <w:style w:type="paragraph" w:styleId="IntenseQuote">
    <w:name w:val="Intense Quote"/>
    <w:basedOn w:val="Normal"/>
    <w:next w:val="Normal"/>
    <w:link w:val="IntenseQuoteChar"/>
    <w:uiPriority w:val="30"/>
    <w:qFormat/>
    <w:rsid w:val="00C54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4284"/>
    <w:rPr>
      <w:i/>
      <w:iCs/>
      <w:color w:val="2F5496" w:themeColor="accent1" w:themeShade="BF"/>
    </w:rPr>
  </w:style>
  <w:style w:type="character" w:styleId="IntenseReference">
    <w:name w:val="Intense Reference"/>
    <w:basedOn w:val="DefaultParagraphFont"/>
    <w:uiPriority w:val="32"/>
    <w:qFormat/>
    <w:rsid w:val="00C54284"/>
    <w:rPr>
      <w:b/>
      <w:bCs/>
      <w:smallCaps/>
      <w:color w:val="2F5496" w:themeColor="accent1" w:themeShade="BF"/>
      <w:spacing w:val="5"/>
    </w:rPr>
  </w:style>
  <w:style w:type="character" w:styleId="Hyperlink">
    <w:name w:val="Hyperlink"/>
    <w:basedOn w:val="DefaultParagraphFont"/>
    <w:uiPriority w:val="99"/>
    <w:unhideWhenUsed/>
    <w:rsid w:val="00874C40"/>
    <w:rPr>
      <w:color w:val="0563C1" w:themeColor="hyperlink"/>
      <w:u w:val="single"/>
    </w:rPr>
  </w:style>
  <w:style w:type="character" w:styleId="UnresolvedMention">
    <w:name w:val="Unresolved Mention"/>
    <w:basedOn w:val="DefaultParagraphFont"/>
    <w:uiPriority w:val="99"/>
    <w:semiHidden/>
    <w:unhideWhenUsed/>
    <w:rsid w:val="00874C40"/>
    <w:rPr>
      <w:color w:val="605E5C"/>
      <w:shd w:val="clear" w:color="auto" w:fill="E1DFDD"/>
    </w:rPr>
  </w:style>
  <w:style w:type="paragraph" w:styleId="Revision">
    <w:name w:val="Revision"/>
    <w:hidden/>
    <w:uiPriority w:val="99"/>
    <w:semiHidden/>
    <w:rsid w:val="00862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llup.com/workplace/285674/improve-employee-engagement-workplace.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08/0142545071082614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1053-4822(91)90011-Z" TargetMode="External"/><Relationship Id="rId11" Type="http://schemas.openxmlformats.org/officeDocument/2006/relationships/hyperlink" Target="https://doi.org/10.3093-3870" TargetMode="External"/><Relationship Id="rId5" Type="http://schemas.openxmlformats.org/officeDocument/2006/relationships/image" Target="media/image2.png"/><Relationship Id="rId10" Type="http://schemas.openxmlformats.org/officeDocument/2006/relationships/hyperlink" Target="https://doi.org/10.5465/256287" TargetMode="External"/><Relationship Id="rId4" Type="http://schemas.openxmlformats.org/officeDocument/2006/relationships/image" Target="media/image1.png"/><Relationship Id="rId9" Type="http://schemas.openxmlformats.org/officeDocument/2006/relationships/hyperlink" Target="https://doi.org/10.1037/0021-9010.87.2.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25</cp:revision>
  <dcterms:created xsi:type="dcterms:W3CDTF">2026-04-02T06:56:00Z</dcterms:created>
  <dcterms:modified xsi:type="dcterms:W3CDTF">2026-04-22T02:50:00Z</dcterms:modified>
</cp:coreProperties>
</file>