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E47CAB" w14:textId="77777777" w:rsidR="005C0DAC" w:rsidRDefault="00C960B8" w:rsidP="00845015">
      <w:pPr>
        <w:pStyle w:val="Heading1"/>
        <w:spacing w:before="120" w:after="0"/>
        <w:ind w:left="-565" w:right="-420" w:firstLine="394"/>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Mô hình dạy học 3 chiều đối với môn phiên dịch trong kỷ nguyên trí tuệ nhân tạo</w:t>
      </w:r>
    </w:p>
    <w:p w14:paraId="0B8F89B6"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lang w:val="en-US"/>
        </w:rPr>
      </w:pPr>
      <w:r>
        <w:rPr>
          <w:rFonts w:ascii="Times New Roman" w:eastAsia="Times New Roman" w:hAnsi="Times New Roman" w:cs="Times New Roman"/>
          <w:b/>
          <w:bCs/>
          <w:color w:val="1F1F1F"/>
          <w:sz w:val="28"/>
          <w:szCs w:val="28"/>
        </w:rPr>
        <w:t xml:space="preserve">Lưu Cẩm Huệ </w:t>
      </w:r>
    </w:p>
    <w:p w14:paraId="73F7E92D" w14:textId="77777777" w:rsidR="00845015" w:rsidRPr="00845015" w:rsidRDefault="00845015"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lang w:val="en-US"/>
        </w:rPr>
      </w:pPr>
    </w:p>
    <w:p w14:paraId="1CA2B993"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lang w:val="en-US"/>
        </w:rPr>
      </w:pPr>
      <w:r>
        <w:rPr>
          <w:rFonts w:ascii="Times New Roman" w:eastAsia="Times New Roman" w:hAnsi="Times New Roman" w:cs="Times New Roman"/>
          <w:color w:val="1F1F1F"/>
          <w:sz w:val="28"/>
          <w:szCs w:val="28"/>
        </w:rPr>
        <w:t>Khoa Ngoại ngữ, Trường Đại học Ngoại ngữ - Tin học Thành phố Hồ Chí Minh</w:t>
      </w:r>
    </w:p>
    <w:p w14:paraId="4B2A0A2C" w14:textId="77777777" w:rsidR="00845015" w:rsidRPr="00845015" w:rsidRDefault="00845015"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lang w:val="en-US"/>
        </w:rPr>
      </w:pPr>
    </w:p>
    <w:p w14:paraId="29B6078F" w14:textId="77777777" w:rsidR="005C0DAC" w:rsidRDefault="00C960B8"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r>
        <w:rPr>
          <w:rFonts w:ascii="Times New Roman" w:eastAsia="Times New Roman" w:hAnsi="Times New Roman" w:cs="Times New Roman"/>
          <w:b/>
          <w:bCs/>
          <w:color w:val="1F1F1F"/>
          <w:sz w:val="28"/>
          <w:szCs w:val="28"/>
        </w:rPr>
        <w:t>Tóm tắt:</w:t>
      </w:r>
      <w:r>
        <w:rPr>
          <w:rFonts w:ascii="Times New Roman" w:eastAsia="Times New Roman" w:hAnsi="Times New Roman" w:cs="Times New Roman"/>
          <w:color w:val="1F1F1F"/>
          <w:sz w:val="28"/>
          <w:szCs w:val="28"/>
        </w:rPr>
        <w:t xml:space="preserve"> </w:t>
      </w:r>
    </w:p>
    <w:p w14:paraId="474CB38B" w14:textId="77777777" w:rsidR="005C0DAC" w:rsidRDefault="00C960B8"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Nghiên cứu nhằm thiết kế và đánh giá hiệu quả thực tiễn của mô hình dạy học 3</w:t>
      </w:r>
      <w:r>
        <w:rPr>
          <w:rFonts w:ascii="Times New Roman" w:eastAsia="Times New Roman" w:hAnsi="Times New Roman" w:cs="Times New Roman"/>
          <w:color w:val="1F1F1F"/>
          <w:sz w:val="28"/>
          <w:szCs w:val="28"/>
        </w:rPr>
        <w:t xml:space="preserve"> chiều "Giảng viên chủ đạo - AI hỗ trợ - Sinh viên tự chủ" trên mẫu 242 sinh viên năm thứ ba chuyên ngành tiếng Trung Quốc tại Trường Đại học Ngoại ngữ - Tin học Thành phố Hồ Chí Minh (HUFLIT). Bằng việc vận dụng các nền tảng lý thuyết về “gia tăng nhận th</w:t>
      </w:r>
      <w:r>
        <w:rPr>
          <w:rFonts w:ascii="Times New Roman" w:eastAsia="Times New Roman" w:hAnsi="Times New Roman" w:cs="Times New Roman"/>
          <w:color w:val="1F1F1F"/>
          <w:sz w:val="28"/>
          <w:szCs w:val="28"/>
        </w:rPr>
        <w:t>ức”, thuyết “khó khăn mong đợi” và phương pháp “tách biệt không gian số”, kết quả phân tích dữ liệu chỉ ra mô hình mang lại sự cải thiện đồng đều về điểm số cho toàn bộ khách thể nghiên cứu, đồng thời phát huy rõ nét vai trò "giàn giáo nhận thức" đối với n</w:t>
      </w:r>
      <w:r>
        <w:rPr>
          <w:rFonts w:ascii="Times New Roman" w:eastAsia="Times New Roman" w:hAnsi="Times New Roman" w:cs="Times New Roman"/>
          <w:color w:val="1F1F1F"/>
          <w:sz w:val="28"/>
          <w:szCs w:val="28"/>
        </w:rPr>
        <w:t>hóm sinh viên có nền tảng ban đầu chưa vững, làm cơ sở đề xuất ra một hệ sinh thái học tập cộng sinh bền vững.</w:t>
      </w:r>
    </w:p>
    <w:p w14:paraId="6490B6FB" w14:textId="77777777" w:rsidR="005C0DAC" w:rsidRDefault="00C960B8" w:rsidP="00845015">
      <w:pPr>
        <w:pBdr>
          <w:top w:val="nil"/>
          <w:left w:val="nil"/>
          <w:bottom w:val="nil"/>
          <w:right w:val="nil"/>
          <w:between w:val="nil"/>
        </w:pBdr>
        <w:spacing w:before="120"/>
        <w:ind w:left="1262" w:hanging="1262"/>
        <w:jc w:val="both"/>
        <w:rPr>
          <w:rFonts w:ascii="Times New Roman" w:eastAsia="Times New Roman" w:hAnsi="Times New Roman" w:cs="Times New Roman"/>
          <w:color w:val="1F1F1F"/>
          <w:sz w:val="28"/>
          <w:szCs w:val="28"/>
          <w:lang w:val="en-US"/>
        </w:rPr>
      </w:pPr>
      <w:r>
        <w:rPr>
          <w:rFonts w:ascii="Times New Roman" w:eastAsia="Times New Roman" w:hAnsi="Times New Roman" w:cs="Times New Roman"/>
          <w:b/>
          <w:bCs/>
          <w:color w:val="1F1F1F"/>
          <w:sz w:val="28"/>
          <w:szCs w:val="28"/>
        </w:rPr>
        <w:t>T</w:t>
      </w:r>
      <w:r>
        <w:rPr>
          <w:rFonts w:ascii="Times New Roman" w:eastAsia="Times New Roman" w:hAnsi="Times New Roman" w:cs="Times New Roman"/>
          <w:b/>
          <w:bCs/>
          <w:sz w:val="28"/>
          <w:szCs w:val="28"/>
        </w:rPr>
        <w:t xml:space="preserve">ừ khóa: </w:t>
      </w:r>
      <w:r>
        <w:rPr>
          <w:rFonts w:ascii="Times New Roman" w:eastAsia="Times New Roman" w:hAnsi="Times New Roman" w:cs="Times New Roman"/>
          <w:color w:val="1F1F1F"/>
          <w:sz w:val="28"/>
          <w:szCs w:val="28"/>
        </w:rPr>
        <w:t>trí tuệ nhân tạo, dạy học 3 chiều, phiên dịch Trung - Việt, gia tăng nhận thức, khó khăn mong đợi.</w:t>
      </w:r>
    </w:p>
    <w:p w14:paraId="7A3CE2FE" w14:textId="77777777" w:rsidR="00845015" w:rsidRPr="00903229" w:rsidRDefault="00845015" w:rsidP="00845015">
      <w:pPr>
        <w:pBdr>
          <w:top w:val="nil"/>
          <w:left w:val="nil"/>
          <w:bottom w:val="nil"/>
          <w:right w:val="nil"/>
          <w:between w:val="nil"/>
        </w:pBdr>
        <w:spacing w:before="120"/>
        <w:ind w:left="1262" w:hanging="1262"/>
        <w:jc w:val="both"/>
        <w:rPr>
          <w:rFonts w:ascii="Times New Roman" w:eastAsia="Times New Roman" w:hAnsi="Times New Roman" w:cs="Times New Roman"/>
          <w:color w:val="1F1F1F"/>
          <w:sz w:val="28"/>
          <w:szCs w:val="28"/>
          <w:lang w:val="en-US"/>
        </w:rPr>
      </w:pPr>
    </w:p>
    <w:p w14:paraId="1EC8B312" w14:textId="77777777" w:rsidR="005C0DAC" w:rsidRDefault="00C960B8" w:rsidP="00845015">
      <w:pPr>
        <w:pStyle w:val="Heading2"/>
        <w:numPr>
          <w:ilvl w:val="0"/>
          <w:numId w:val="2"/>
        </w:num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Đặt vấn đề</w:t>
      </w:r>
    </w:p>
    <w:p w14:paraId="148A84FF"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Trong bối cảnh toàn cầu </w:t>
      </w:r>
      <w:r>
        <w:rPr>
          <w:rFonts w:ascii="Times New Roman" w:eastAsia="Times New Roman" w:hAnsi="Times New Roman" w:cs="Times New Roman"/>
          <w:color w:val="1F1F1F"/>
          <w:sz w:val="28"/>
          <w:szCs w:val="28"/>
        </w:rPr>
        <w:t>hóa và sự đẩy mạnh của chiến lược "vành đai và con đường", nhu cầu giao thương kinh tế, thương mại và văn hóa giữa Việt Nam và Trung Quốc đang gia tăng với tốc độ nhanh chóng. Thực tiễn này đặt ra áp lực lớn đối với hệ thống giáo dục đại học trong việc cun</w:t>
      </w:r>
      <w:r>
        <w:rPr>
          <w:rFonts w:ascii="Times New Roman" w:eastAsia="Times New Roman" w:hAnsi="Times New Roman" w:cs="Times New Roman"/>
          <w:color w:val="1F1F1F"/>
          <w:sz w:val="28"/>
          <w:szCs w:val="28"/>
        </w:rPr>
        <w:t xml:space="preserve">g ứng nguồn nhân lực phiên dịch tiếng Trung Quốc không chỉ vững vàng về chuyên môn mà còn có khả năng thích ứng cao với sự thay đổi của môi trường công nghệ. Sự xuất hiện của các công cụ Trí tuệ nhân tạo tạo sinh (Generative AI) như ChatGPT, Google Gemini </w:t>
      </w:r>
      <w:r>
        <w:rPr>
          <w:rFonts w:ascii="Times New Roman" w:eastAsia="Times New Roman" w:hAnsi="Times New Roman" w:cs="Times New Roman"/>
          <w:color w:val="1F1F1F"/>
          <w:sz w:val="28"/>
          <w:szCs w:val="28"/>
        </w:rPr>
        <w:t>hay Doubao đã tạo ra một bước ngoặt chưa từng có. Theo đó, lĩnh vực nghiên cứu và đào tạo dịch thuật đang chứng kiến một sự dịch chuyển hệ hình học thuật sâu sắc, chuyển từ mô hình nhân văn học thuần túy sang mô hình nhân văn số ứng dụng có tính liên ngành</w:t>
      </w:r>
      <w:r>
        <w:rPr>
          <w:rFonts w:ascii="Times New Roman" w:eastAsia="Times New Roman" w:hAnsi="Times New Roman" w:cs="Times New Roman"/>
          <w:color w:val="1F1F1F"/>
          <w:sz w:val="28"/>
          <w:szCs w:val="28"/>
        </w:rPr>
        <w:t xml:space="preserve"> cao độ.</w:t>
      </w:r>
    </w:p>
    <w:p w14:paraId="211CDABE" w14:textId="5B283488"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Tuy nhiên, sự tiện lợi mà trí tuệ nhân tạo mang lại luôn song hành cùng một thách thức sư phạm phức tạp. Khi các công cụ công nghệ có khả năng đảm nhiệm gần như tức thời những tác vụ nhận thức như phân tích cú pháp, tra cứu thuật ngữ chuyên ngành </w:t>
      </w:r>
      <w:r>
        <w:rPr>
          <w:rFonts w:ascii="Times New Roman" w:eastAsia="Times New Roman" w:hAnsi="Times New Roman" w:cs="Times New Roman"/>
          <w:color w:val="1F1F1F"/>
          <w:sz w:val="28"/>
          <w:szCs w:val="28"/>
        </w:rPr>
        <w:t xml:space="preserve">và tái tạo văn phong, người học rất dễ rơi vào trạng thái phụ thuộc. Nếu tình trạng ủy thác nhận thức này kéo dài, </w:t>
      </w:r>
      <w:r>
        <w:rPr>
          <w:rFonts w:ascii="Times New Roman" w:eastAsia="Times New Roman" w:hAnsi="Times New Roman" w:cs="Times New Roman"/>
          <w:color w:val="1F1F1F"/>
          <w:sz w:val="28"/>
          <w:szCs w:val="28"/>
        </w:rPr>
        <w:t xml:space="preserve">có thể dẫn đến sự suy giảm nghiêm </w:t>
      </w:r>
      <w:r>
        <w:rPr>
          <w:rFonts w:ascii="Times New Roman" w:eastAsia="Times New Roman" w:hAnsi="Times New Roman" w:cs="Times New Roman"/>
          <w:color w:val="1F1F1F"/>
          <w:sz w:val="28"/>
          <w:szCs w:val="28"/>
        </w:rPr>
        <w:lastRenderedPageBreak/>
        <w:t>trọng về năng lực tư duy phản biện, khả năng tự chủ và đặc biệt là phản xạ ngôn ngữ tức thời - một kỹ nă</w:t>
      </w:r>
      <w:r>
        <w:rPr>
          <w:rFonts w:ascii="Times New Roman" w:eastAsia="Times New Roman" w:hAnsi="Times New Roman" w:cs="Times New Roman"/>
          <w:color w:val="1F1F1F"/>
          <w:sz w:val="28"/>
          <w:szCs w:val="28"/>
        </w:rPr>
        <w:t>ng mang tính sống còn đối với nghề phiên dịch.</w:t>
      </w:r>
    </w:p>
    <w:p w14:paraId="6B007606"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Đứng trước bối cảnh đó, diễn ngôn học thuật (tức các luồng quan điểm, nghiên cứu và thảo luận chính thức trong giới học giả) đương đại đang kêu gọi một sự chuyển dịch chiến lược: thay vì nhìn nhận AI đơn thuần</w:t>
      </w:r>
      <w:r>
        <w:rPr>
          <w:rFonts w:ascii="Times New Roman" w:eastAsia="Times New Roman" w:hAnsi="Times New Roman" w:cs="Times New Roman"/>
          <w:color w:val="1F1F1F"/>
          <w:sz w:val="28"/>
          <w:szCs w:val="28"/>
        </w:rPr>
        <w:t xml:space="preserve"> là một cỗ máy hỗ trợ dịch thuật thụ động, cần kiến tạo một hệ sinh thái cộng sinh nơi công nghệ đóng vai trò chất xúc tác nhằm giải phóng tiềm năng nhận thức của sinh viên. Mô hình dạy học liên kết 3 chiều dựa trên nguyên tắc “Giảng viên chủ đạo - AI hỗ t</w:t>
      </w:r>
      <w:r>
        <w:rPr>
          <w:rFonts w:ascii="Times New Roman" w:eastAsia="Times New Roman" w:hAnsi="Times New Roman" w:cs="Times New Roman"/>
          <w:color w:val="1F1F1F"/>
          <w:sz w:val="28"/>
          <w:szCs w:val="28"/>
        </w:rPr>
        <w:t xml:space="preserve">rợ - Sinh viên tự chủ” đã được thiết kế và đưa vào thử nghiệm nhằm đáp ứng yêu cầu khắt khe này. Báo cáo nghiên cứu này được thực hiện với mục đích phân tích một cách có hệ thống cấu trúc lý thuyết nền tảng, cơ chế vận hành của mô hình, đồng thời cung cấp </w:t>
      </w:r>
      <w:r>
        <w:rPr>
          <w:rFonts w:ascii="Times New Roman" w:eastAsia="Times New Roman" w:hAnsi="Times New Roman" w:cs="Times New Roman"/>
          <w:color w:val="1F1F1F"/>
          <w:sz w:val="28"/>
          <w:szCs w:val="28"/>
        </w:rPr>
        <w:t>các minh chứng thực nghiệm từ dữ liệu của 242 sinh viên. Qua đó, bài viết hướng đến việc đánh giá khách quan tính hiệu quả của mô hình và đề xuất các chiến lược tối ưu hóa công tác giảng dạy môn phiên dịch trong kỷ nguyên trí tuệ nhân tạo.</w:t>
      </w:r>
    </w:p>
    <w:p w14:paraId="0BBCBD91" w14:textId="77777777" w:rsidR="005C0DAC" w:rsidRDefault="00C960B8" w:rsidP="00845015">
      <w:pPr>
        <w:pStyle w:val="Heading2"/>
        <w:numPr>
          <w:ilvl w:val="0"/>
          <w:numId w:val="2"/>
        </w:num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sở lý luận</w:t>
      </w:r>
    </w:p>
    <w:p w14:paraId="62C1210A"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Để</w:t>
      </w:r>
      <w:r>
        <w:rPr>
          <w:rFonts w:ascii="Times New Roman" w:eastAsia="Times New Roman" w:hAnsi="Times New Roman" w:cs="Times New Roman"/>
          <w:color w:val="1F1F1F"/>
          <w:sz w:val="28"/>
          <w:szCs w:val="28"/>
        </w:rPr>
        <w:t xml:space="preserve"> minh chứng cho tính hợp lý và độ vững chắc của mô hình dạy học 3 chiều, việc đặt cấu trúc tương tác "Giảng viên - Trí tuệ nhân tạo - Sinh viên" dưới lăng kính của các lý thuyết khoa học nhận thức và phương pháp giáo dục hiện đại là điều kiện tiên quyết.</w:t>
      </w:r>
    </w:p>
    <w:p w14:paraId="261D73C5" w14:textId="77777777" w:rsidR="005C0DAC" w:rsidRPr="00903229" w:rsidRDefault="00C960B8" w:rsidP="00845015">
      <w:pPr>
        <w:pStyle w:val="Heading3"/>
        <w:spacing w:before="120" w:after="0"/>
        <w:jc w:val="both"/>
        <w:rPr>
          <w:rFonts w:ascii="Times New Roman" w:eastAsia="Times New Roman" w:hAnsi="Times New Roman" w:cs="Times New Roman"/>
          <w:i/>
          <w:iCs/>
          <w:color w:val="1F1F1F"/>
        </w:rPr>
      </w:pPr>
      <w:r w:rsidRPr="00903229">
        <w:rPr>
          <w:rFonts w:ascii="Times New Roman" w:eastAsia="Times New Roman" w:hAnsi="Times New Roman" w:cs="Times New Roman"/>
          <w:i/>
          <w:iCs/>
          <w:color w:val="1F1F1F"/>
        </w:rPr>
        <w:t>2</w:t>
      </w:r>
      <w:r w:rsidRPr="00903229">
        <w:rPr>
          <w:rFonts w:ascii="Times New Roman" w:eastAsia="Times New Roman" w:hAnsi="Times New Roman" w:cs="Times New Roman"/>
          <w:i/>
          <w:iCs/>
          <w:color w:val="1F1F1F"/>
        </w:rPr>
        <w:t>.1. Khung hợp tác 3 chiều và mô hình cộng sinh Người - Máy</w:t>
      </w:r>
    </w:p>
    <w:p w14:paraId="52EF1F10"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444746"/>
          <w:sz w:val="28"/>
          <w:szCs w:val="28"/>
          <w:vertAlign w:val="superscript"/>
        </w:rPr>
      </w:pPr>
      <w:r>
        <w:rPr>
          <w:rFonts w:ascii="Times New Roman" w:eastAsia="Times New Roman" w:hAnsi="Times New Roman" w:cs="Times New Roman"/>
          <w:color w:val="1F1F1F"/>
          <w:sz w:val="28"/>
          <w:szCs w:val="28"/>
        </w:rPr>
        <w:t xml:space="preserve">Sự can thiệp của trí tuệ nhân tạo đòi hỏi một sự tái định hình vai trò của các chủ thể trong không gian lớp học. Khái niệm "Khung hợp tác 3 chiều" (Triadic Human-AI Learner Framework) được Jing Yu </w:t>
      </w:r>
      <w:r>
        <w:rPr>
          <w:rFonts w:ascii="Times New Roman" w:eastAsia="Times New Roman" w:hAnsi="Times New Roman" w:cs="Times New Roman"/>
          <w:color w:val="1F1F1F"/>
          <w:sz w:val="28"/>
          <w:szCs w:val="28"/>
        </w:rPr>
        <w:t xml:space="preserve">và Kanglong Liu (2024) thảo luận sâu rộng nhằm nhấn mạnh vào việc thiết lập mối quan hệ cân bằng động giữa định hướng chuyên môn của người giảng viên, sự hỗ trợ kỹ thuật thích ứng của trí tuệ nhân tạo và tính tự chủ kiến tạo của người học. Trong khuôn khổ </w:t>
      </w:r>
      <w:r>
        <w:rPr>
          <w:rFonts w:ascii="Times New Roman" w:eastAsia="Times New Roman" w:hAnsi="Times New Roman" w:cs="Times New Roman"/>
          <w:color w:val="1F1F1F"/>
          <w:sz w:val="28"/>
          <w:szCs w:val="28"/>
        </w:rPr>
        <w:t>này, trí tuệ nhân tạo không tồn tại như một thực thể tĩnh, mà đảm nhận các vai trò đa nhiệm thay đổi liên tục tùy thuộc vào trạng thái nhận thức và nhu cầu của người học.</w:t>
      </w:r>
    </w:p>
    <w:p w14:paraId="3A878221"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Nhằm cụ thể hóa sự tương tác phức tạp trên, nghiên cứu áp dụng "Mô hình cộng sinh Ngư</w:t>
      </w:r>
      <w:r>
        <w:rPr>
          <w:rFonts w:ascii="Times New Roman" w:eastAsia="Times New Roman" w:hAnsi="Times New Roman" w:cs="Times New Roman"/>
          <w:color w:val="1F1F1F"/>
          <w:sz w:val="28"/>
          <w:szCs w:val="28"/>
        </w:rPr>
        <w:t>ời - Máy" (Human-AI Handshake Model) do Pyae (2024) đề xuất. Đây là một cơ chế tương tác 2 chiều thay thế hoàn toàn cho góc nhìn công cụ luận truyền thống vốn chỉ coi AI là chủ thể phục vụ thụ động. Cơ chế này được cấu thành từ các thuộc tính cốt lõi bao g</w:t>
      </w:r>
      <w:r>
        <w:rPr>
          <w:rFonts w:ascii="Times New Roman" w:eastAsia="Times New Roman" w:hAnsi="Times New Roman" w:cs="Times New Roman"/>
          <w:color w:val="1F1F1F"/>
          <w:sz w:val="28"/>
          <w:szCs w:val="28"/>
        </w:rPr>
        <w:t>ồm: sự trao đổi thông tin liên tục, quá trình học tập lẫn nhau, sự xác thực chéo các hệ quả đầu ra, và sự gia tăng năng lực tương hỗ. Trong bối cảnh lớp học phiên dịch, điều này hàm ý sinh viên không thể chỉ đơn thuần tiếp nhận bản dịch thô từ máy. Ngược l</w:t>
      </w:r>
      <w:r>
        <w:rPr>
          <w:rFonts w:ascii="Times New Roman" w:eastAsia="Times New Roman" w:hAnsi="Times New Roman" w:cs="Times New Roman"/>
          <w:color w:val="1F1F1F"/>
          <w:sz w:val="28"/>
          <w:szCs w:val="28"/>
        </w:rPr>
        <w:t xml:space="preserve">ại, họ phải chủ động cung cấp bối cảnh giao tiếp, tinh chỉnh các sắc thái văn hóa đặc thù và đánh giá lại chất lượng </w:t>
      </w:r>
      <w:r>
        <w:rPr>
          <w:rFonts w:ascii="Times New Roman" w:eastAsia="Times New Roman" w:hAnsi="Times New Roman" w:cs="Times New Roman"/>
          <w:color w:val="1F1F1F"/>
          <w:sz w:val="28"/>
          <w:szCs w:val="28"/>
        </w:rPr>
        <w:lastRenderedPageBreak/>
        <w:t>dữ liệu để thiết lập một chu trình học tập đồng tiến hóa cùng công cụ.</w:t>
      </w:r>
    </w:p>
    <w:p w14:paraId="7B97F33E" w14:textId="77777777" w:rsidR="005C0DAC" w:rsidRPr="00903229" w:rsidRDefault="00C960B8" w:rsidP="00845015">
      <w:pPr>
        <w:pStyle w:val="Heading3"/>
        <w:spacing w:before="120" w:after="0"/>
        <w:jc w:val="both"/>
        <w:rPr>
          <w:rFonts w:ascii="Times New Roman" w:eastAsia="Times New Roman" w:hAnsi="Times New Roman" w:cs="Times New Roman"/>
          <w:i/>
          <w:iCs/>
          <w:color w:val="1F1F1F"/>
        </w:rPr>
      </w:pPr>
      <w:r w:rsidRPr="00903229">
        <w:rPr>
          <w:rFonts w:ascii="Times New Roman" w:eastAsia="Times New Roman" w:hAnsi="Times New Roman" w:cs="Times New Roman"/>
          <w:i/>
          <w:iCs/>
          <w:color w:val="1F1F1F"/>
        </w:rPr>
        <w:t>2.2. Biện chứng giữa “Giảm tải nhận thức” và “Gia tăng nhận thức”</w:t>
      </w:r>
    </w:p>
    <w:p w14:paraId="0F5B87C3"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444746"/>
          <w:sz w:val="28"/>
          <w:szCs w:val="28"/>
          <w:vertAlign w:val="superscript"/>
        </w:rPr>
      </w:pPr>
      <w:r>
        <w:rPr>
          <w:rFonts w:ascii="Times New Roman" w:eastAsia="Times New Roman" w:hAnsi="Times New Roman" w:cs="Times New Roman"/>
          <w:color w:val="1F1F1F"/>
          <w:sz w:val="28"/>
          <w:szCs w:val="28"/>
        </w:rPr>
        <w:t>Một trong những luận điểm sư phạm quan trọng nhất ủng hộ việc duy trì vai trò kiểm soát của giảng viên chính là nguy cơ tiềm tàng của hiện tượng "Giảm tải nhận thức" (Cognitive Offloading). Theo Yiğit (2025), khi sinh viên liên tục và vô thức ủy thác các t</w:t>
      </w:r>
      <w:r>
        <w:rPr>
          <w:rFonts w:ascii="Times New Roman" w:eastAsia="Times New Roman" w:hAnsi="Times New Roman" w:cs="Times New Roman"/>
          <w:color w:val="1F1F1F"/>
          <w:sz w:val="28"/>
          <w:szCs w:val="28"/>
        </w:rPr>
        <w:t>ác vụ tư duy nền tảng cho hệ thống AI, họ có xu hướng rơi vào trạng thái "quán tính nhận thức", dần đánh mất đi khả năng tự suy luận và phán đoán độc lập. Hậu quả của quá trình này là hiện tượng bào mòn kỹ năng âm thầm (silent skill erosion), biến những ph</w:t>
      </w:r>
      <w:r>
        <w:rPr>
          <w:rFonts w:ascii="Times New Roman" w:eastAsia="Times New Roman" w:hAnsi="Times New Roman" w:cs="Times New Roman"/>
          <w:color w:val="1F1F1F"/>
          <w:sz w:val="28"/>
          <w:szCs w:val="28"/>
        </w:rPr>
        <w:t>iên dịch viên tương lai thành người chuyển tiếp thông tin thụ động.</w:t>
      </w:r>
    </w:p>
    <w:p w14:paraId="45740F98" w14:textId="3074252A"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444746"/>
          <w:sz w:val="28"/>
          <w:szCs w:val="28"/>
          <w:vertAlign w:val="superscript"/>
        </w:rPr>
      </w:pPr>
      <w:r>
        <w:rPr>
          <w:rFonts w:ascii="Times New Roman" w:eastAsia="Times New Roman" w:hAnsi="Times New Roman" w:cs="Times New Roman"/>
          <w:color w:val="1F1F1F"/>
          <w:sz w:val="28"/>
          <w:szCs w:val="28"/>
        </w:rPr>
        <w:t xml:space="preserve">Ngược lại với chiều hướng đó, mục tiêu của mô hình sư phạm 3 chiều là hướng tới trạng thái "Gia tăng nhận thức" (Cognitive Augmentation). Bằng sự phân công lao động nhận thức có chủ đích, </w:t>
      </w:r>
      <w:r>
        <w:rPr>
          <w:rFonts w:ascii="Times New Roman" w:eastAsia="Times New Roman" w:hAnsi="Times New Roman" w:cs="Times New Roman"/>
          <w:color w:val="1F1F1F"/>
          <w:sz w:val="28"/>
          <w:szCs w:val="28"/>
        </w:rPr>
        <w:t xml:space="preserve">AI được giao </w:t>
      </w:r>
      <w:r>
        <w:rPr>
          <w:rFonts w:ascii="Times New Roman" w:eastAsia="Times New Roman" w:hAnsi="Times New Roman" w:cs="Times New Roman"/>
          <w:color w:val="1F1F1F"/>
          <w:sz w:val="28"/>
          <w:szCs w:val="28"/>
        </w:rPr>
        <w:t>xử lý các tác vụ thuộc bậc thấp theo thang nhận thức Bloom, chẳng hạn như truy xuất dữ liệu tốc độ cao hay liệt kê cấu trúc đồng nghĩa. Sự chuyển giao này giúp giải phóng dung lượng của bộ nhớ làm việc (working memory), tạo điều kiện cho s</w:t>
      </w:r>
      <w:r>
        <w:rPr>
          <w:rFonts w:ascii="Times New Roman" w:eastAsia="Times New Roman" w:hAnsi="Times New Roman" w:cs="Times New Roman"/>
          <w:color w:val="1F1F1F"/>
          <w:sz w:val="28"/>
          <w:szCs w:val="28"/>
        </w:rPr>
        <w:t>inh viên tập trung toàn bộ nguồn lực trí tuệ vào các kỹ năng tư duy bậc cao vô cùng tinh tế như phân tích ngữ cảnh liên văn hóa, đánh giá độ chính xác về mặt dụng học và sáng tạo văn phong.</w:t>
      </w:r>
    </w:p>
    <w:p w14:paraId="10870633" w14:textId="77777777" w:rsidR="005C0DAC" w:rsidRPr="00903229" w:rsidRDefault="00C960B8" w:rsidP="00845015">
      <w:pPr>
        <w:pStyle w:val="Heading3"/>
        <w:spacing w:before="120" w:after="0"/>
        <w:jc w:val="both"/>
        <w:rPr>
          <w:rFonts w:ascii="Times New Roman" w:eastAsia="Times New Roman" w:hAnsi="Times New Roman" w:cs="Times New Roman"/>
          <w:i/>
          <w:iCs/>
          <w:color w:val="1F1F1F"/>
        </w:rPr>
      </w:pPr>
      <w:r w:rsidRPr="00903229">
        <w:rPr>
          <w:rFonts w:ascii="Times New Roman" w:eastAsia="Times New Roman" w:hAnsi="Times New Roman" w:cs="Times New Roman"/>
          <w:i/>
          <w:iCs/>
          <w:color w:val="1F1F1F"/>
        </w:rPr>
        <w:t>2.3. Thuyết “Khó khăn mong đợi” và phương pháp “Thất bại hiệu quả”</w:t>
      </w:r>
    </w:p>
    <w:p w14:paraId="27058D0C"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444746"/>
          <w:sz w:val="28"/>
          <w:szCs w:val="28"/>
          <w:vertAlign w:val="superscript"/>
        </w:rPr>
      </w:pPr>
      <w:r>
        <w:rPr>
          <w:rFonts w:ascii="Times New Roman" w:eastAsia="Times New Roman" w:hAnsi="Times New Roman" w:cs="Times New Roman"/>
          <w:color w:val="1F1F1F"/>
          <w:sz w:val="28"/>
          <w:szCs w:val="28"/>
        </w:rPr>
        <w:t xml:space="preserve">Sự hỗ trợ tức thời của trí tuệ nhân tạo thường tạo ra một ảo giác nhận thức nguy hiểm được gọi là "cạm bẫy trôi chảy" (Fluency Trap). Khi người học nhận được kết quả dịch thuật hoàn hảo chỉ trong vài giây, cảm giác trôi chảy này đánh lừa não bộ trong quá </w:t>
      </w:r>
      <w:r>
        <w:rPr>
          <w:rFonts w:ascii="Times New Roman" w:eastAsia="Times New Roman" w:hAnsi="Times New Roman" w:cs="Times New Roman"/>
          <w:color w:val="1F1F1F"/>
          <w:sz w:val="28"/>
          <w:szCs w:val="28"/>
        </w:rPr>
        <w:t>trình tiếp thu kiến thức đã thực sự diễn ra, mặc dù các liên kết thần kinh chưa hề được thiết lập vững chắc.</w:t>
      </w:r>
    </w:p>
    <w:p w14:paraId="1B00D9E2"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Để khắc phục hiện tượng này, mô hình giảng dạy đã tích hợp lý thuyết "khó khăn mong đợi" (Desirable Difficulties) do Bjork (1994) đề xướng. Lý thuy</w:t>
      </w:r>
      <w:r>
        <w:rPr>
          <w:rFonts w:ascii="Times New Roman" w:eastAsia="Times New Roman" w:hAnsi="Times New Roman" w:cs="Times New Roman"/>
          <w:color w:val="1F1F1F"/>
          <w:sz w:val="28"/>
          <w:szCs w:val="28"/>
        </w:rPr>
        <w:t>ết này khẳng định việc chủ đích tạo ra những trở ngại học tập có tính toán, buộc người học phải nỗ lực truy xuất kiến thức từ trí nhớ dài hạn, sẽ giúp kiến tạo mạng lưới tri thức bền vững hơn rất nhiều so với việc chỉ nhận diện thông tin có sẵn.</w:t>
      </w:r>
    </w:p>
    <w:p w14:paraId="0AB36263"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Bên cạnh đ</w:t>
      </w:r>
      <w:r>
        <w:rPr>
          <w:rFonts w:ascii="Times New Roman" w:eastAsia="Times New Roman" w:hAnsi="Times New Roman" w:cs="Times New Roman"/>
          <w:color w:val="1F1F1F"/>
          <w:sz w:val="28"/>
          <w:szCs w:val="28"/>
        </w:rPr>
        <w:t>ó, phương pháp "Thất bại hiệu quả" (Productive Failure) của Kapur (2008) cũng cung cấp nền tảng biện luận vững chắc. Phương pháp này chứng minh việc để sinh viên tự vật lộn với các vấn đề phức tạp và thậm chí mắc sai lầm trước khi nhận được sự hướng dẫn tr</w:t>
      </w:r>
      <w:r>
        <w:rPr>
          <w:rFonts w:ascii="Times New Roman" w:eastAsia="Times New Roman" w:hAnsi="Times New Roman" w:cs="Times New Roman"/>
          <w:color w:val="1F1F1F"/>
          <w:sz w:val="28"/>
          <w:szCs w:val="28"/>
        </w:rPr>
        <w:t>ực tiếp sẽ mang lại kết quả nhận thức sâu sắc hơn. Quá trình đấu tranh nhận thức này tạo ra sự "ma sát tri thức" (cognitive friction) cần thiết, chuẩn bị cho bộ não trạng thái sẵn sàng cao nhất để tiếp nhận kiến thức. Sự kết hợp của 2 lý thuyết này chính l</w:t>
      </w:r>
      <w:r>
        <w:rPr>
          <w:rFonts w:ascii="Times New Roman" w:eastAsia="Times New Roman" w:hAnsi="Times New Roman" w:cs="Times New Roman"/>
          <w:color w:val="1F1F1F"/>
          <w:sz w:val="28"/>
          <w:szCs w:val="28"/>
        </w:rPr>
        <w:t xml:space="preserve">à cơ sở khoa học để thiết lập quy định hạn chế sử dụng công nghệ tại không gian lớp học trực tiếp trong khuôn khổ nghiên </w:t>
      </w:r>
      <w:r>
        <w:rPr>
          <w:rFonts w:ascii="Times New Roman" w:eastAsia="Times New Roman" w:hAnsi="Times New Roman" w:cs="Times New Roman"/>
          <w:color w:val="1F1F1F"/>
          <w:sz w:val="28"/>
          <w:szCs w:val="28"/>
        </w:rPr>
        <w:lastRenderedPageBreak/>
        <w:t>cứu.</w:t>
      </w:r>
    </w:p>
    <w:p w14:paraId="1ED214AF" w14:textId="77777777" w:rsidR="005C0DAC" w:rsidRDefault="00C960B8" w:rsidP="00845015">
      <w:pPr>
        <w:pStyle w:val="Heading2"/>
        <w:numPr>
          <w:ilvl w:val="0"/>
          <w:numId w:val="2"/>
        </w:num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Phương pháp nghiên cứu</w:t>
      </w:r>
    </w:p>
    <w:p w14:paraId="7C703132" w14:textId="77777777" w:rsidR="005C0DAC" w:rsidRPr="00903229" w:rsidRDefault="00C960B8" w:rsidP="00845015">
      <w:pPr>
        <w:pStyle w:val="Heading3"/>
        <w:spacing w:before="120" w:after="0"/>
        <w:jc w:val="both"/>
        <w:rPr>
          <w:rFonts w:ascii="Times New Roman" w:eastAsia="Times New Roman" w:hAnsi="Times New Roman" w:cs="Times New Roman"/>
          <w:i/>
          <w:iCs/>
          <w:color w:val="1F1F1F"/>
        </w:rPr>
      </w:pPr>
      <w:r w:rsidRPr="00903229">
        <w:rPr>
          <w:rFonts w:ascii="Times New Roman" w:eastAsia="Times New Roman" w:hAnsi="Times New Roman" w:cs="Times New Roman"/>
          <w:i/>
          <w:iCs/>
          <w:color w:val="1F1F1F"/>
        </w:rPr>
        <w:t>3.1. Khách thể và bối cảnh nghiên cứu</w:t>
      </w:r>
    </w:p>
    <w:p w14:paraId="771C5122"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444746"/>
          <w:sz w:val="28"/>
          <w:szCs w:val="28"/>
          <w:vertAlign w:val="superscript"/>
        </w:rPr>
      </w:pPr>
      <w:r>
        <w:rPr>
          <w:rFonts w:ascii="Times New Roman" w:eastAsia="Times New Roman" w:hAnsi="Times New Roman" w:cs="Times New Roman"/>
          <w:color w:val="1F1F1F"/>
          <w:sz w:val="28"/>
          <w:szCs w:val="28"/>
        </w:rPr>
        <w:t xml:space="preserve">Nghiên cứu được triển khai thông qua phương pháp thực nghiệm sư phạm </w:t>
      </w:r>
      <w:r>
        <w:rPr>
          <w:rFonts w:ascii="Times New Roman" w:eastAsia="Times New Roman" w:hAnsi="Times New Roman" w:cs="Times New Roman"/>
          <w:color w:val="1F1F1F"/>
          <w:sz w:val="28"/>
          <w:szCs w:val="28"/>
        </w:rPr>
        <w:t>với thiết kế so sánh trước và sau tác động (Pre-Post Design). Khách thể nghiên cứu bao gồm 242 sinh viên năm thứ ba thuộc 6 lớp chuyên ngành tiếng Trung Quốc đang theo học môn Phiên dịch chuyên ngành Trung - Việt tại HUFLIT. Môn học kéo dài trong một học k</w:t>
      </w:r>
      <w:r>
        <w:rPr>
          <w:rFonts w:ascii="Times New Roman" w:eastAsia="Times New Roman" w:hAnsi="Times New Roman" w:cs="Times New Roman"/>
          <w:color w:val="1F1F1F"/>
          <w:sz w:val="28"/>
          <w:szCs w:val="28"/>
        </w:rPr>
        <w:t xml:space="preserve">ỳ với tổng thời lượng 45 tiết, tập trung vào các chủ đề mang tính ứng dụng thực tiễn cao như: thương mại, hợp đồng, marketing và đàm phán. Nhóm sinh viên này được chọn vì đã tích lũy nền tảng ngôn ngữ tương đương chuẩn HSK4, đảm bảo khả năng tham gia hiệu </w:t>
      </w:r>
      <w:r>
        <w:rPr>
          <w:rFonts w:ascii="Times New Roman" w:eastAsia="Times New Roman" w:hAnsi="Times New Roman" w:cs="Times New Roman"/>
          <w:color w:val="1F1F1F"/>
          <w:sz w:val="28"/>
          <w:szCs w:val="28"/>
        </w:rPr>
        <w:t>quả vào các hoạt động đối thoại chuyên sâu về dịch thuật. Mặc dù quy mô mẫu nằm ở mức trung bình trong nghiên cứu giáo dục, các thống kê phân tích từ thiết kế trước-sau cho phép xác định độ tin cậy của sự thay đổi nhận thức một cách rõ ràng.</w:t>
      </w:r>
    </w:p>
    <w:p w14:paraId="14617CDD" w14:textId="77777777" w:rsidR="005C0DAC" w:rsidRPr="00903229" w:rsidRDefault="00C960B8" w:rsidP="00845015">
      <w:pPr>
        <w:pStyle w:val="Heading3"/>
        <w:spacing w:before="120" w:after="0"/>
        <w:jc w:val="both"/>
        <w:rPr>
          <w:rFonts w:ascii="Times New Roman" w:eastAsia="Times New Roman" w:hAnsi="Times New Roman" w:cs="Times New Roman"/>
          <w:i/>
          <w:iCs/>
          <w:color w:val="1F1F1F"/>
        </w:rPr>
      </w:pPr>
      <w:r w:rsidRPr="00903229">
        <w:rPr>
          <w:rFonts w:ascii="Times New Roman" w:eastAsia="Times New Roman" w:hAnsi="Times New Roman" w:cs="Times New Roman"/>
          <w:i/>
          <w:iCs/>
          <w:color w:val="1F1F1F"/>
        </w:rPr>
        <w:t>3.2. Quy trình</w:t>
      </w:r>
      <w:r w:rsidRPr="00903229">
        <w:rPr>
          <w:rFonts w:ascii="Times New Roman" w:eastAsia="Times New Roman" w:hAnsi="Times New Roman" w:cs="Times New Roman"/>
          <w:i/>
          <w:iCs/>
          <w:color w:val="1F1F1F"/>
        </w:rPr>
        <w:t xml:space="preserve"> thực nghiệm: Chiến lược 3 giai đoạn</w:t>
      </w:r>
    </w:p>
    <w:p w14:paraId="7AFFF955"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Mô hình dạy học 3 chiều được thiết kế thành một chu trình khép kín, phân bổ vai trò của từng chủ thể qua 3 giai đoạn không gian và thời gian khác nhau:</w:t>
      </w:r>
    </w:p>
    <w:p w14:paraId="490D23EB" w14:textId="77777777" w:rsidR="005C0DAC" w:rsidRDefault="00C960B8" w:rsidP="00903229">
      <w:pPr>
        <w:pBdr>
          <w:top w:val="nil"/>
          <w:left w:val="nil"/>
          <w:bottom w:val="nil"/>
          <w:right w:val="nil"/>
          <w:between w:val="nil"/>
        </w:pBdr>
        <w:spacing w:before="120"/>
        <w:ind w:left="105"/>
        <w:jc w:val="both"/>
        <w:rPr>
          <w:rFonts w:ascii="Times New Roman" w:eastAsia="Times New Roman" w:hAnsi="Times New Roman" w:cs="Times New Roman"/>
          <w:sz w:val="28"/>
          <w:szCs w:val="28"/>
        </w:rPr>
      </w:pPr>
      <w:r w:rsidRPr="00903229">
        <w:rPr>
          <w:rFonts w:ascii="Times New Roman" w:eastAsia="Times New Roman" w:hAnsi="Times New Roman" w:cs="Times New Roman"/>
          <w:i/>
          <w:iCs/>
          <w:color w:val="1F1F1F"/>
          <w:sz w:val="28"/>
          <w:szCs w:val="28"/>
        </w:rPr>
        <w:t>Giai đoạn trước giờ học (Trao quyền bằng AI):</w:t>
      </w:r>
      <w:r>
        <w:rPr>
          <w:rFonts w:ascii="Times New Roman" w:eastAsia="Times New Roman" w:hAnsi="Times New Roman" w:cs="Times New Roman"/>
          <w:color w:val="1F1F1F"/>
          <w:sz w:val="28"/>
          <w:szCs w:val="28"/>
        </w:rPr>
        <w:t xml:space="preserve"> Hệ thống AI được sử d</w:t>
      </w:r>
      <w:r>
        <w:rPr>
          <w:rFonts w:ascii="Times New Roman" w:eastAsia="Times New Roman" w:hAnsi="Times New Roman" w:cs="Times New Roman"/>
          <w:color w:val="1F1F1F"/>
          <w:sz w:val="28"/>
          <w:szCs w:val="28"/>
        </w:rPr>
        <w:t xml:space="preserve">ụng như một nền tảng hỗ trợ học tập cá nhân hóa. Dưới sự định hướng của giảng viên, sinh viên sử dụng AI để mở rộng trường từ vựng, phân tích các biến thể ngữ nghĩa, rèn luyện nghe hiểu thông qua công nghệ tổng hợp giọng nói đa tốc độ và tìm hiểu bối cảnh </w:t>
      </w:r>
      <w:r>
        <w:rPr>
          <w:rFonts w:ascii="Times New Roman" w:eastAsia="Times New Roman" w:hAnsi="Times New Roman" w:cs="Times New Roman"/>
          <w:color w:val="1F1F1F"/>
          <w:sz w:val="28"/>
          <w:szCs w:val="28"/>
        </w:rPr>
        <w:t>văn hóa. Hoạt động này mô phỏng khái niệm "vùng phát triển gần" (Zone of Proximal Development), nơi AI đóng vai trò như một chiếc "giàn giáo" (scaffolding) giúp sinh viên vượt qua các rào cản nền tảng trước khi đến lớp.</w:t>
      </w:r>
    </w:p>
    <w:p w14:paraId="1827D9E5" w14:textId="77777777" w:rsidR="005C0DAC" w:rsidRDefault="00C960B8" w:rsidP="00903229">
      <w:pPr>
        <w:pBdr>
          <w:top w:val="nil"/>
          <w:left w:val="nil"/>
          <w:bottom w:val="nil"/>
          <w:right w:val="nil"/>
          <w:between w:val="nil"/>
        </w:pBdr>
        <w:spacing w:before="120"/>
        <w:ind w:left="105"/>
        <w:jc w:val="both"/>
        <w:rPr>
          <w:rFonts w:ascii="Times New Roman" w:eastAsia="Times New Roman" w:hAnsi="Times New Roman" w:cs="Times New Roman"/>
          <w:sz w:val="28"/>
          <w:szCs w:val="28"/>
        </w:rPr>
      </w:pPr>
      <w:r w:rsidRPr="00903229">
        <w:rPr>
          <w:rFonts w:ascii="Times New Roman" w:eastAsia="Times New Roman" w:hAnsi="Times New Roman" w:cs="Times New Roman"/>
          <w:i/>
          <w:iCs/>
          <w:color w:val="1F1F1F"/>
          <w:sz w:val="28"/>
          <w:szCs w:val="28"/>
        </w:rPr>
        <w:t>Giai đoạn trên lớp (Thiết lập vùng c</w:t>
      </w:r>
      <w:r w:rsidRPr="00903229">
        <w:rPr>
          <w:rFonts w:ascii="Times New Roman" w:eastAsia="Times New Roman" w:hAnsi="Times New Roman" w:cs="Times New Roman"/>
          <w:i/>
          <w:iCs/>
          <w:color w:val="1F1F1F"/>
          <w:sz w:val="28"/>
          <w:szCs w:val="28"/>
        </w:rPr>
        <w:t>ấm công nghệ):</w:t>
      </w:r>
      <w:r>
        <w:rPr>
          <w:rFonts w:ascii="Times New Roman" w:eastAsia="Times New Roman" w:hAnsi="Times New Roman" w:cs="Times New Roman"/>
          <w:color w:val="1F1F1F"/>
          <w:sz w:val="28"/>
          <w:szCs w:val="28"/>
        </w:rPr>
        <w:t xml:space="preserve"> Đây là khâu mang tính bản lề nhằm rèn luyện tư duy độc lập. Tại lớp, nguyên tắc "không sử dụng trí tuệ nhân tạo" (AI-Free Class Policy) được duy trì nghiêm ngặt. Việc tước bỏ các "nạng chống" công nghệ cưỡng ép não bộ phải tự truy xuất dữ li</w:t>
      </w:r>
      <w:r>
        <w:rPr>
          <w:rFonts w:ascii="Times New Roman" w:eastAsia="Times New Roman" w:hAnsi="Times New Roman" w:cs="Times New Roman"/>
          <w:color w:val="1F1F1F"/>
          <w:sz w:val="28"/>
          <w:szCs w:val="28"/>
        </w:rPr>
        <w:t>ệu và bồi đắp phản xạ tức thì. Giảng viên đóng vai trò tổ chức các phiên "chẩn đoán bệnh án bản dịch", yêu cầu sinh viên mổ xẻ các lỗi ngầm ẩn về logic, văn phong hoặc văn hóa trong các bản dịch do AI tạo ra từ trước, qua đó nâng cao năng lực phản biện.</w:t>
      </w:r>
    </w:p>
    <w:p w14:paraId="4BDEF2C5" w14:textId="2ECE45B4" w:rsidR="005C0DAC" w:rsidRDefault="00C960B8" w:rsidP="00903229">
      <w:pPr>
        <w:pBdr>
          <w:top w:val="nil"/>
          <w:left w:val="nil"/>
          <w:bottom w:val="nil"/>
          <w:right w:val="nil"/>
          <w:between w:val="nil"/>
        </w:pBdr>
        <w:spacing w:before="120"/>
        <w:ind w:left="105"/>
        <w:jc w:val="both"/>
        <w:rPr>
          <w:rFonts w:ascii="Times New Roman" w:eastAsia="Times New Roman" w:hAnsi="Times New Roman" w:cs="Times New Roman"/>
          <w:sz w:val="28"/>
          <w:szCs w:val="28"/>
        </w:rPr>
      </w:pPr>
      <w:r w:rsidRPr="00903229">
        <w:rPr>
          <w:rFonts w:ascii="Times New Roman" w:eastAsia="Times New Roman" w:hAnsi="Times New Roman" w:cs="Times New Roman"/>
          <w:i/>
          <w:iCs/>
          <w:color w:val="1F1F1F"/>
          <w:sz w:val="28"/>
          <w:szCs w:val="28"/>
        </w:rPr>
        <w:t>Giai đoạn sau giờ học (Phản tư và tái kiến tạo):</w:t>
      </w:r>
      <w:r>
        <w:rPr>
          <w:rFonts w:ascii="Times New Roman" w:eastAsia="Times New Roman" w:hAnsi="Times New Roman" w:cs="Times New Roman"/>
          <w:color w:val="1F1F1F"/>
          <w:sz w:val="28"/>
          <w:szCs w:val="28"/>
        </w:rPr>
        <w:t xml:space="preserve"> Sinh viên quay trở lại sử dụng AI để thực hiện các bài tập mô phỏng đàm phán với độ khó đa dạng. Quan trọng hơn, sinh viên phải yêu cầu AI giải thích về các phương án dịch thuật, từ đó tự xây dựng hồ sơ phân</w:t>
      </w:r>
      <w:r>
        <w:rPr>
          <w:rFonts w:ascii="Times New Roman" w:eastAsia="Times New Roman" w:hAnsi="Times New Roman" w:cs="Times New Roman"/>
          <w:color w:val="1F1F1F"/>
          <w:sz w:val="28"/>
          <w:szCs w:val="28"/>
        </w:rPr>
        <w:t xml:space="preserve"> tích lỗi và viết </w:t>
      </w:r>
      <w:r w:rsidR="00845015" w:rsidRPr="00845015">
        <w:rPr>
          <w:rFonts w:ascii="Times New Roman" w:eastAsia="Times New Roman" w:hAnsi="Times New Roman" w:cs="Times New Roman"/>
          <w:color w:val="1F1F1F"/>
          <w:sz w:val="28"/>
          <w:szCs w:val="28"/>
          <w:lang w:val="en-US"/>
        </w:rPr>
        <w:t xml:space="preserve">lại suy nghĩ của mình </w:t>
      </w:r>
      <w:r>
        <w:rPr>
          <w:rFonts w:ascii="Times New Roman" w:eastAsia="Times New Roman" w:hAnsi="Times New Roman" w:cs="Times New Roman"/>
          <w:color w:val="1F1F1F"/>
          <w:sz w:val="28"/>
          <w:szCs w:val="28"/>
        </w:rPr>
        <w:t>nhằm điều chỉnh phương pháp học tập cá nhân.</w:t>
      </w:r>
    </w:p>
    <w:p w14:paraId="43143B78" w14:textId="77777777" w:rsidR="005C0DAC" w:rsidRPr="00903229" w:rsidRDefault="00C960B8" w:rsidP="00845015">
      <w:pPr>
        <w:pStyle w:val="Heading3"/>
        <w:spacing w:before="120" w:after="0"/>
        <w:jc w:val="both"/>
        <w:rPr>
          <w:rFonts w:ascii="Times New Roman" w:eastAsia="Times New Roman" w:hAnsi="Times New Roman" w:cs="Times New Roman"/>
          <w:i/>
          <w:iCs/>
          <w:color w:val="1F1F1F"/>
        </w:rPr>
      </w:pPr>
      <w:r w:rsidRPr="00903229">
        <w:rPr>
          <w:rFonts w:ascii="Times New Roman" w:eastAsia="Times New Roman" w:hAnsi="Times New Roman" w:cs="Times New Roman"/>
          <w:i/>
          <w:iCs/>
          <w:color w:val="1F1F1F"/>
        </w:rPr>
        <w:lastRenderedPageBreak/>
        <w:t>3.3. Phương pháp thu thập và phân tích dữ liệu</w:t>
      </w:r>
    </w:p>
    <w:p w14:paraId="7A3A4481"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Sự thay đổi về năng lực của sinh viên được đo lường thông qua kết quả bài thi giữa kỳ (trước khi áp dụng mô hình chuyên sâu) và bài thi cuối kỳ (sau quá trình can thiệp). Bài kiểm tra được thiết kế đồng nhất về độ khó, đánh giá trên 3 tiêu chí: độ chính xá</w:t>
      </w:r>
      <w:r>
        <w:rPr>
          <w:rFonts w:ascii="Times New Roman" w:eastAsia="Times New Roman" w:hAnsi="Times New Roman" w:cs="Times New Roman"/>
          <w:color w:val="1F1F1F"/>
          <w:sz w:val="28"/>
          <w:szCs w:val="28"/>
        </w:rPr>
        <w:t>c ngữ nghĩa, tính lưu loát trong cấu trúc diễn đạt và mức độ phù hợp về phương diện văn hóa. Dữ liệu sau đó được phân tách, mã hóa và xử lý thống kê phân tầng theo nhóm năng lực đầu vào để làm rõ cơ chế tác động của mô hình đối với các dải học lực khác nha</w:t>
      </w:r>
      <w:r>
        <w:rPr>
          <w:rFonts w:ascii="Times New Roman" w:eastAsia="Times New Roman" w:hAnsi="Times New Roman" w:cs="Times New Roman"/>
          <w:color w:val="1F1F1F"/>
          <w:sz w:val="28"/>
          <w:szCs w:val="28"/>
        </w:rPr>
        <w:t>u.</w:t>
      </w:r>
    </w:p>
    <w:p w14:paraId="286307DE" w14:textId="77777777" w:rsidR="005C0DAC" w:rsidRDefault="00C960B8" w:rsidP="00845015">
      <w:pPr>
        <w:pStyle w:val="Heading2"/>
        <w:numPr>
          <w:ilvl w:val="0"/>
          <w:numId w:val="2"/>
        </w:numPr>
        <w:spacing w:before="120"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Kết quả nghiên cứu và thảo luận</w:t>
      </w:r>
    </w:p>
    <w:p w14:paraId="68A0740F" w14:textId="2DBE5550" w:rsidR="004B2BD4" w:rsidRPr="00903229" w:rsidRDefault="004B2BD4" w:rsidP="00903229">
      <w:pPr>
        <w:rPr>
          <w:i/>
          <w:iCs/>
          <w:lang w:val="en-US"/>
        </w:rPr>
      </w:pPr>
      <w:r w:rsidRPr="00903229">
        <w:rPr>
          <w:i/>
          <w:iCs/>
          <w:lang w:val="en-US"/>
        </w:rPr>
        <w:t>4.1. Kết quả nghiên cứu</w:t>
      </w:r>
    </w:p>
    <w:p w14:paraId="7A31A4FD" w14:textId="3A54CFDA" w:rsidR="005C0DAC" w:rsidRPr="00903229" w:rsidRDefault="00C960B8" w:rsidP="00845015">
      <w:pPr>
        <w:pStyle w:val="Heading3"/>
        <w:spacing w:before="120" w:after="0"/>
        <w:jc w:val="both"/>
        <w:rPr>
          <w:rFonts w:ascii="Times New Roman" w:eastAsia="Times New Roman" w:hAnsi="Times New Roman" w:cs="Times New Roman"/>
          <w:b w:val="0"/>
          <w:bCs w:val="0"/>
          <w:i/>
          <w:iCs/>
          <w:color w:val="1F1F1F"/>
        </w:rPr>
      </w:pPr>
      <w:r w:rsidRPr="00903229">
        <w:rPr>
          <w:rFonts w:ascii="Times New Roman" w:eastAsia="Times New Roman" w:hAnsi="Times New Roman" w:cs="Times New Roman"/>
          <w:b w:val="0"/>
          <w:bCs w:val="0"/>
          <w:i/>
          <w:iCs/>
          <w:color w:val="1F1F1F"/>
        </w:rPr>
        <w:t>4.1.</w:t>
      </w:r>
      <w:r w:rsidR="004B2BD4">
        <w:rPr>
          <w:rFonts w:ascii="Times New Roman" w:eastAsia="Times New Roman" w:hAnsi="Times New Roman" w:cs="Times New Roman"/>
          <w:b w:val="0"/>
          <w:bCs w:val="0"/>
          <w:i/>
          <w:iCs/>
          <w:color w:val="1F1F1F"/>
          <w:lang w:val="en-US"/>
        </w:rPr>
        <w:t>1.</w:t>
      </w:r>
      <w:r w:rsidRPr="00903229">
        <w:rPr>
          <w:rFonts w:ascii="Times New Roman" w:eastAsia="Times New Roman" w:hAnsi="Times New Roman" w:cs="Times New Roman"/>
          <w:b w:val="0"/>
          <w:bCs w:val="0"/>
          <w:i/>
          <w:iCs/>
          <w:color w:val="1F1F1F"/>
        </w:rPr>
        <w:t xml:space="preserve"> </w:t>
      </w:r>
      <w:r w:rsidR="00845015">
        <w:rPr>
          <w:rFonts w:ascii="Times New Roman" w:eastAsia="Times New Roman" w:hAnsi="Times New Roman" w:cs="Times New Roman"/>
          <w:b w:val="0"/>
          <w:bCs w:val="0"/>
          <w:i/>
          <w:iCs/>
          <w:color w:val="1F1F1F"/>
          <w:lang w:val="en-US"/>
        </w:rPr>
        <w:t>S</w:t>
      </w:r>
      <w:r w:rsidRPr="00903229">
        <w:rPr>
          <w:rFonts w:ascii="Times New Roman" w:eastAsia="Times New Roman" w:hAnsi="Times New Roman" w:cs="Times New Roman"/>
          <w:b w:val="0"/>
          <w:bCs w:val="0"/>
          <w:i/>
          <w:iCs/>
          <w:color w:val="1F1F1F"/>
        </w:rPr>
        <w:t>ự thay đổi kết quả học tập</w:t>
      </w:r>
    </w:p>
    <w:p w14:paraId="5D9379D7"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Quá trình phân tích dữ liệu chỉ ra một xu hướng thay đổi mang tính phổ quát tích cực sau quá trình thực nghiệm. Toàn bộ 242 sinh viên đều </w:t>
      </w:r>
      <w:r>
        <w:rPr>
          <w:rFonts w:ascii="Times New Roman" w:eastAsia="Times New Roman" w:hAnsi="Times New Roman" w:cs="Times New Roman"/>
          <w:color w:val="1F1F1F"/>
          <w:sz w:val="28"/>
          <w:szCs w:val="28"/>
        </w:rPr>
        <w:t xml:space="preserve">ghi nhận sự cải thiện về mặt điểm số ở các mức độ khác nhau. Dữ liệu tổng hợp cho thấy, điểm trung bình toàn khóa học của cả 6 lớp đã tăng từ 5,34 điểm ở kỳ thi giữa kỳ lên 6,63 điểm ở kỳ thi cuối kỳ, tương đương với mức gia tăng 1,29 điểm (đạt tỷ lệ tăng </w:t>
      </w:r>
      <w:r>
        <w:rPr>
          <w:rFonts w:ascii="Times New Roman" w:eastAsia="Times New Roman" w:hAnsi="Times New Roman" w:cs="Times New Roman"/>
          <w:color w:val="1F1F1F"/>
          <w:sz w:val="28"/>
          <w:szCs w:val="28"/>
        </w:rPr>
        <w:t>24,2%). Chi tiết sự biến động phân rã theo quy mô lớp học được trình bày trong Bảng 1.</w:t>
      </w:r>
    </w:p>
    <w:p w14:paraId="7DB617BA"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i/>
          <w:iCs/>
          <w:color w:val="1F1F1F"/>
          <w:sz w:val="28"/>
          <w:szCs w:val="28"/>
        </w:rPr>
      </w:pPr>
      <w:r>
        <w:br w:type="column"/>
      </w:r>
      <w:r>
        <w:rPr>
          <w:rFonts w:ascii="Times New Roman" w:eastAsia="Times New Roman" w:hAnsi="Times New Roman" w:cs="Times New Roman"/>
          <w:b/>
          <w:bCs/>
          <w:i/>
          <w:iCs/>
          <w:color w:val="1F1F1F"/>
          <w:sz w:val="28"/>
          <w:szCs w:val="28"/>
        </w:rPr>
        <w:lastRenderedPageBreak/>
        <w:t xml:space="preserve">Bảng 1. </w:t>
      </w:r>
      <w:r>
        <w:rPr>
          <w:rFonts w:ascii="Times New Roman" w:eastAsia="Times New Roman" w:hAnsi="Times New Roman" w:cs="Times New Roman"/>
          <w:i/>
          <w:iCs/>
          <w:color w:val="1F1F1F"/>
          <w:sz w:val="28"/>
          <w:szCs w:val="28"/>
        </w:rPr>
        <w:t>Thống kê điểm trung bình giữa kỳ và cuối kỳ của 6 lớp</w:t>
      </w:r>
    </w:p>
    <w:tbl>
      <w:tblPr>
        <w:tblStyle w:val="a1"/>
        <w:tblW w:w="9360" w:type="dxa"/>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60"/>
        <w:gridCol w:w="1560"/>
        <w:gridCol w:w="1560"/>
        <w:gridCol w:w="1560"/>
        <w:gridCol w:w="1560"/>
        <w:gridCol w:w="1560"/>
      </w:tblGrid>
      <w:tr w:rsidR="005C0DAC" w14:paraId="3DCDABBD" w14:textId="77777777">
        <w:tc>
          <w:tcPr>
            <w:tcW w:w="1560" w:type="dxa"/>
            <w:tcBorders>
              <w:top w:val="single" w:sz="6" w:space="0" w:color="000000"/>
              <w:left w:val="single" w:sz="6" w:space="0" w:color="000000"/>
              <w:bottom w:val="single" w:sz="6" w:space="0" w:color="000000"/>
              <w:right w:val="single" w:sz="6" w:space="0" w:color="000000"/>
            </w:tcBorders>
            <w:shd w:val="clear" w:color="auto" w:fill="FDEADA"/>
            <w:tcMar>
              <w:top w:w="120" w:type="dxa"/>
              <w:left w:w="180" w:type="dxa"/>
              <w:bottom w:w="120" w:type="dxa"/>
              <w:right w:w="180" w:type="dxa"/>
            </w:tcMar>
          </w:tcPr>
          <w:p w14:paraId="4DB9269E"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Đơn vị</w:t>
            </w:r>
          </w:p>
        </w:tc>
        <w:tc>
          <w:tcPr>
            <w:tcW w:w="1560" w:type="dxa"/>
            <w:tcBorders>
              <w:top w:val="single" w:sz="6" w:space="0" w:color="000000"/>
              <w:left w:val="single" w:sz="6" w:space="0" w:color="000000"/>
              <w:bottom w:val="single" w:sz="6" w:space="0" w:color="000000"/>
              <w:right w:val="single" w:sz="6" w:space="0" w:color="000000"/>
            </w:tcBorders>
            <w:shd w:val="clear" w:color="auto" w:fill="FDEADA"/>
            <w:tcMar>
              <w:top w:w="120" w:type="dxa"/>
              <w:left w:w="180" w:type="dxa"/>
              <w:bottom w:w="120" w:type="dxa"/>
              <w:right w:w="180" w:type="dxa"/>
            </w:tcMar>
          </w:tcPr>
          <w:p w14:paraId="530B528A"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Số lượng (Sinh viên)</w:t>
            </w:r>
          </w:p>
        </w:tc>
        <w:tc>
          <w:tcPr>
            <w:tcW w:w="1560" w:type="dxa"/>
            <w:tcBorders>
              <w:top w:val="single" w:sz="6" w:space="0" w:color="000000"/>
              <w:left w:val="single" w:sz="6" w:space="0" w:color="000000"/>
              <w:bottom w:val="single" w:sz="6" w:space="0" w:color="000000"/>
              <w:right w:val="single" w:sz="6" w:space="0" w:color="000000"/>
            </w:tcBorders>
            <w:shd w:val="clear" w:color="auto" w:fill="FDEADA"/>
            <w:tcMar>
              <w:top w:w="120" w:type="dxa"/>
              <w:left w:w="180" w:type="dxa"/>
              <w:bottom w:w="120" w:type="dxa"/>
              <w:right w:w="180" w:type="dxa"/>
            </w:tcMar>
          </w:tcPr>
          <w:p w14:paraId="746A5B7C"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Điểm TB Giữa kỳ</w:t>
            </w:r>
          </w:p>
        </w:tc>
        <w:tc>
          <w:tcPr>
            <w:tcW w:w="1560" w:type="dxa"/>
            <w:tcBorders>
              <w:top w:val="single" w:sz="6" w:space="0" w:color="000000"/>
              <w:left w:val="single" w:sz="6" w:space="0" w:color="000000"/>
              <w:bottom w:val="single" w:sz="6" w:space="0" w:color="000000"/>
              <w:right w:val="single" w:sz="6" w:space="0" w:color="000000"/>
            </w:tcBorders>
            <w:shd w:val="clear" w:color="auto" w:fill="FDEADA"/>
            <w:tcMar>
              <w:top w:w="120" w:type="dxa"/>
              <w:left w:w="180" w:type="dxa"/>
              <w:bottom w:w="120" w:type="dxa"/>
              <w:right w:w="180" w:type="dxa"/>
            </w:tcMar>
          </w:tcPr>
          <w:p w14:paraId="2F449EB5"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Điểm TB Cuối kỳ</w:t>
            </w:r>
          </w:p>
        </w:tc>
        <w:tc>
          <w:tcPr>
            <w:tcW w:w="1560" w:type="dxa"/>
            <w:tcBorders>
              <w:top w:val="single" w:sz="6" w:space="0" w:color="000000"/>
              <w:left w:val="single" w:sz="6" w:space="0" w:color="000000"/>
              <w:bottom w:val="single" w:sz="6" w:space="0" w:color="000000"/>
              <w:right w:val="single" w:sz="6" w:space="0" w:color="000000"/>
            </w:tcBorders>
            <w:shd w:val="clear" w:color="auto" w:fill="FDEADA"/>
            <w:tcMar>
              <w:top w:w="120" w:type="dxa"/>
              <w:left w:w="180" w:type="dxa"/>
              <w:bottom w:w="120" w:type="dxa"/>
              <w:right w:w="180" w:type="dxa"/>
            </w:tcMar>
          </w:tcPr>
          <w:p w14:paraId="76894690"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Mức tăng (Điểm)</w:t>
            </w:r>
          </w:p>
        </w:tc>
        <w:tc>
          <w:tcPr>
            <w:tcW w:w="1560" w:type="dxa"/>
            <w:tcBorders>
              <w:top w:val="single" w:sz="6" w:space="0" w:color="000000"/>
              <w:left w:val="single" w:sz="6" w:space="0" w:color="000000"/>
              <w:bottom w:val="single" w:sz="6" w:space="0" w:color="000000"/>
              <w:right w:val="single" w:sz="6" w:space="0" w:color="000000"/>
            </w:tcBorders>
            <w:shd w:val="clear" w:color="auto" w:fill="FDEADA"/>
            <w:tcMar>
              <w:top w:w="120" w:type="dxa"/>
              <w:left w:w="180" w:type="dxa"/>
              <w:bottom w:w="120" w:type="dxa"/>
              <w:right w:w="180" w:type="dxa"/>
            </w:tcMar>
          </w:tcPr>
          <w:p w14:paraId="0B650717"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Tỷ lệ tăng (%)</w:t>
            </w:r>
          </w:p>
        </w:tc>
      </w:tr>
      <w:tr w:rsidR="005C0DAC" w14:paraId="7CB77B1B" w14:textId="77777777">
        <w:tc>
          <w:tcPr>
            <w:tcW w:w="1560" w:type="dxa"/>
            <w:tcBorders>
              <w:top w:val="single" w:sz="6" w:space="0" w:color="000000"/>
              <w:left w:val="single" w:sz="6" w:space="0" w:color="000000"/>
              <w:bottom w:val="single" w:sz="6" w:space="0" w:color="000000"/>
              <w:right w:val="single" w:sz="6" w:space="0" w:color="000000"/>
            </w:tcBorders>
            <w:shd w:val="clear" w:color="auto" w:fill="EBF1DD"/>
            <w:tcMar>
              <w:top w:w="120" w:type="dxa"/>
              <w:left w:w="180" w:type="dxa"/>
              <w:bottom w:w="120" w:type="dxa"/>
              <w:right w:w="180" w:type="dxa"/>
            </w:tcMar>
          </w:tcPr>
          <w:p w14:paraId="164235D9"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Lớp 1</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18848D"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39</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A1C9FA"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5,33</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CE2A81"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7,02</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41508F"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1,68</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BC528B"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31,6%</w:t>
            </w:r>
          </w:p>
        </w:tc>
      </w:tr>
      <w:tr w:rsidR="005C0DAC" w14:paraId="45C9D786" w14:textId="77777777">
        <w:tc>
          <w:tcPr>
            <w:tcW w:w="1560" w:type="dxa"/>
            <w:tcBorders>
              <w:top w:val="single" w:sz="6" w:space="0" w:color="000000"/>
              <w:left w:val="single" w:sz="6" w:space="0" w:color="000000"/>
              <w:bottom w:val="single" w:sz="6" w:space="0" w:color="000000"/>
              <w:right w:val="single" w:sz="6" w:space="0" w:color="000000"/>
            </w:tcBorders>
            <w:shd w:val="clear" w:color="auto" w:fill="EBF1DD"/>
            <w:tcMar>
              <w:top w:w="120" w:type="dxa"/>
              <w:left w:w="180" w:type="dxa"/>
              <w:bottom w:w="120" w:type="dxa"/>
              <w:right w:w="180" w:type="dxa"/>
            </w:tcMar>
          </w:tcPr>
          <w:p w14:paraId="25FAA822"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Lớp 2</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10D46E"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40</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B23CA7"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4,81</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CDB173"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6,06</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1D805D"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1,25</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D245BA"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25,9%</w:t>
            </w:r>
          </w:p>
        </w:tc>
      </w:tr>
      <w:tr w:rsidR="005C0DAC" w14:paraId="2E2B6490" w14:textId="77777777">
        <w:tc>
          <w:tcPr>
            <w:tcW w:w="1560" w:type="dxa"/>
            <w:tcBorders>
              <w:top w:val="single" w:sz="6" w:space="0" w:color="000000"/>
              <w:left w:val="single" w:sz="6" w:space="0" w:color="000000"/>
              <w:bottom w:val="single" w:sz="6" w:space="0" w:color="000000"/>
              <w:right w:val="single" w:sz="6" w:space="0" w:color="000000"/>
            </w:tcBorders>
            <w:shd w:val="clear" w:color="auto" w:fill="EBF1DD"/>
            <w:tcMar>
              <w:top w:w="120" w:type="dxa"/>
              <w:left w:w="180" w:type="dxa"/>
              <w:bottom w:w="120" w:type="dxa"/>
              <w:right w:w="180" w:type="dxa"/>
            </w:tcMar>
          </w:tcPr>
          <w:p w14:paraId="6B5DF92F"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Lớp 3</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2D612F"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41</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F60B22"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5,64</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1606FF"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6,79</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1730D6"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1,15</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B97787"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20,4%</w:t>
            </w:r>
          </w:p>
        </w:tc>
      </w:tr>
      <w:tr w:rsidR="005C0DAC" w14:paraId="110AF33A" w14:textId="77777777">
        <w:tc>
          <w:tcPr>
            <w:tcW w:w="1560" w:type="dxa"/>
            <w:tcBorders>
              <w:top w:val="single" w:sz="6" w:space="0" w:color="000000"/>
              <w:left w:val="single" w:sz="6" w:space="0" w:color="000000"/>
              <w:bottom w:val="single" w:sz="6" w:space="0" w:color="000000"/>
              <w:right w:val="single" w:sz="6" w:space="0" w:color="000000"/>
            </w:tcBorders>
            <w:shd w:val="clear" w:color="auto" w:fill="EBF1DD"/>
            <w:tcMar>
              <w:top w:w="120" w:type="dxa"/>
              <w:left w:w="180" w:type="dxa"/>
              <w:bottom w:w="120" w:type="dxa"/>
              <w:right w:w="180" w:type="dxa"/>
            </w:tcMar>
          </w:tcPr>
          <w:p w14:paraId="51BDBF14"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Lớp 4</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584924"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40</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FAD2FB"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5,45</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7CA60D"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6,68</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FB0369"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1,23</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BE9FF3"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22,6%</w:t>
            </w:r>
          </w:p>
        </w:tc>
      </w:tr>
      <w:tr w:rsidR="005C0DAC" w14:paraId="6E989977" w14:textId="77777777">
        <w:trPr>
          <w:trHeight w:val="17"/>
        </w:trPr>
        <w:tc>
          <w:tcPr>
            <w:tcW w:w="1560" w:type="dxa"/>
            <w:tcBorders>
              <w:top w:val="single" w:sz="6" w:space="0" w:color="000000"/>
              <w:left w:val="single" w:sz="6" w:space="0" w:color="000000"/>
              <w:bottom w:val="single" w:sz="6" w:space="0" w:color="000000"/>
              <w:right w:val="single" w:sz="6" w:space="0" w:color="000000"/>
            </w:tcBorders>
            <w:shd w:val="clear" w:color="auto" w:fill="EBF1DD"/>
            <w:tcMar>
              <w:top w:w="120" w:type="dxa"/>
              <w:left w:w="180" w:type="dxa"/>
              <w:bottom w:w="120" w:type="dxa"/>
              <w:right w:w="180" w:type="dxa"/>
            </w:tcMar>
          </w:tcPr>
          <w:p w14:paraId="6C21ADE7"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Lớp 5</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197775"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42</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08A163"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5,42</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2443A8"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6,64</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446510"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1,23</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E5F946"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22,6%</w:t>
            </w:r>
          </w:p>
        </w:tc>
      </w:tr>
      <w:tr w:rsidR="005C0DAC" w14:paraId="192796C2" w14:textId="77777777">
        <w:tc>
          <w:tcPr>
            <w:tcW w:w="1560" w:type="dxa"/>
            <w:tcBorders>
              <w:top w:val="single" w:sz="6" w:space="0" w:color="000000"/>
              <w:left w:val="single" w:sz="6" w:space="0" w:color="000000"/>
              <w:bottom w:val="single" w:sz="6" w:space="0" w:color="000000"/>
              <w:right w:val="single" w:sz="6" w:space="0" w:color="000000"/>
            </w:tcBorders>
            <w:shd w:val="clear" w:color="auto" w:fill="EBF1DD"/>
            <w:tcMar>
              <w:top w:w="120" w:type="dxa"/>
              <w:left w:w="180" w:type="dxa"/>
              <w:bottom w:w="120" w:type="dxa"/>
              <w:right w:w="180" w:type="dxa"/>
            </w:tcMar>
          </w:tcPr>
          <w:p w14:paraId="6F445C6C"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Lớp 6</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9A8542"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40</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F70FB7"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5,38</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22B80C"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6,61</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FB72A8"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1,23</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6A901E"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22,8%</w:t>
            </w:r>
          </w:p>
        </w:tc>
      </w:tr>
      <w:tr w:rsidR="005C0DAC" w14:paraId="6C113A5D" w14:textId="77777777">
        <w:tc>
          <w:tcPr>
            <w:tcW w:w="1560"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1ECF4B5F"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Tổng</w:t>
            </w:r>
          </w:p>
        </w:tc>
        <w:tc>
          <w:tcPr>
            <w:tcW w:w="1560"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118B4C83"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242</w:t>
            </w:r>
          </w:p>
        </w:tc>
        <w:tc>
          <w:tcPr>
            <w:tcW w:w="1560"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2802FEA1"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5,34</w:t>
            </w:r>
          </w:p>
        </w:tc>
        <w:tc>
          <w:tcPr>
            <w:tcW w:w="1560"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15EF3371"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6,63</w:t>
            </w:r>
          </w:p>
        </w:tc>
        <w:tc>
          <w:tcPr>
            <w:tcW w:w="1560"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14953E6F"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1,29</w:t>
            </w:r>
          </w:p>
        </w:tc>
        <w:tc>
          <w:tcPr>
            <w:tcW w:w="1560"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3C88EDA2"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24,2%</w:t>
            </w:r>
          </w:p>
        </w:tc>
      </w:tr>
    </w:tbl>
    <w:p w14:paraId="6BF8EBCE" w14:textId="77777777" w:rsidR="005C0DAC" w:rsidRDefault="005C0DAC"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p>
    <w:p w14:paraId="477B3EF0"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Số liệu từ Bảng 1 phản ánh mức tăng trưởng duy trì </w:t>
      </w:r>
      <w:r>
        <w:rPr>
          <w:rFonts w:ascii="Times New Roman" w:eastAsia="Times New Roman" w:hAnsi="Times New Roman" w:cs="Times New Roman"/>
          <w:color w:val="1F1F1F"/>
          <w:sz w:val="28"/>
          <w:szCs w:val="28"/>
        </w:rPr>
        <w:t>sự ổn định tương đối cao, dao động trong một biên độ hẹp từ 1,15 điểm đến 1,68 điểm giữa 6 tập thể lớp hoàn toàn độc lập. Sự đồng nhất trong phương sai này cung cấp một cơ sở thống kê cho thấy hiệu ứng gia tăng (gain effect) của mô hình không phụ thuộc vào</w:t>
      </w:r>
      <w:r>
        <w:rPr>
          <w:rFonts w:ascii="Times New Roman" w:eastAsia="Times New Roman" w:hAnsi="Times New Roman" w:cs="Times New Roman"/>
          <w:color w:val="1F1F1F"/>
          <w:sz w:val="28"/>
          <w:szCs w:val="28"/>
        </w:rPr>
        <w:t xml:space="preserve"> yếu tố ngẫu nhiên của một tập thể đơn lẻ, mà bản thân cơ chế kiến trúc "Giảng viên - AI - Sinh viên" đã phát huy tác dụng ở cấp độ hệ thống.</w:t>
      </w:r>
    </w:p>
    <w:p w14:paraId="5E2A55D3" w14:textId="38F78559" w:rsidR="005C0DAC" w:rsidRPr="00903229" w:rsidRDefault="00C960B8" w:rsidP="00845015">
      <w:pPr>
        <w:pStyle w:val="Heading3"/>
        <w:spacing w:before="120" w:after="0"/>
        <w:jc w:val="both"/>
        <w:rPr>
          <w:rFonts w:ascii="Times New Roman" w:eastAsia="Times New Roman" w:hAnsi="Times New Roman" w:cs="Times New Roman"/>
          <w:b w:val="0"/>
          <w:bCs w:val="0"/>
          <w:i/>
          <w:iCs/>
          <w:color w:val="1F1F1F"/>
        </w:rPr>
      </w:pPr>
      <w:r w:rsidRPr="00903229">
        <w:rPr>
          <w:rFonts w:ascii="Times New Roman" w:eastAsia="Times New Roman" w:hAnsi="Times New Roman" w:cs="Times New Roman"/>
          <w:b w:val="0"/>
          <w:bCs w:val="0"/>
          <w:i/>
          <w:iCs/>
          <w:color w:val="1F1F1F"/>
        </w:rPr>
        <w:t>4.</w:t>
      </w:r>
      <w:r w:rsidR="004B2BD4">
        <w:rPr>
          <w:rFonts w:ascii="Times New Roman" w:eastAsia="Times New Roman" w:hAnsi="Times New Roman" w:cs="Times New Roman"/>
          <w:b w:val="0"/>
          <w:bCs w:val="0"/>
          <w:i/>
          <w:iCs/>
          <w:color w:val="1F1F1F"/>
          <w:lang w:val="en-US"/>
        </w:rPr>
        <w:t>1.</w:t>
      </w:r>
      <w:r w:rsidRPr="00903229">
        <w:rPr>
          <w:rFonts w:ascii="Times New Roman" w:eastAsia="Times New Roman" w:hAnsi="Times New Roman" w:cs="Times New Roman"/>
          <w:b w:val="0"/>
          <w:bCs w:val="0"/>
          <w:i/>
          <w:iCs/>
          <w:color w:val="1F1F1F"/>
        </w:rPr>
        <w:t>2. Khám phá phân tầng năng lực: Tác động của AI đối với từng nhóm đối tượng</w:t>
      </w:r>
    </w:p>
    <w:p w14:paraId="192B7B49"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Để đánh giá chiều sâu tác động sư </w:t>
      </w:r>
      <w:r>
        <w:rPr>
          <w:rFonts w:ascii="Times New Roman" w:eastAsia="Times New Roman" w:hAnsi="Times New Roman" w:cs="Times New Roman"/>
          <w:color w:val="1F1F1F"/>
          <w:sz w:val="28"/>
          <w:szCs w:val="28"/>
        </w:rPr>
        <w:t>phạm, dữ liệu tiếp tục được phân tầng thành 3 nhóm dựa trên năng lực xuất phát điểm: Nhóm cần hỗ trợ (điểm &lt; 5), Nhóm Đạt (điểm từ 5 đến 7,9) và Nhóm Khá giỏi (điểm ≥ 8).</w:t>
      </w:r>
    </w:p>
    <w:p w14:paraId="34256E1F" w14:textId="77777777" w:rsidR="005C0DAC" w:rsidRDefault="00C960B8" w:rsidP="00845015">
      <w:pPr>
        <w:pBdr>
          <w:top w:val="nil"/>
          <w:left w:val="nil"/>
          <w:bottom w:val="nil"/>
          <w:right w:val="nil"/>
          <w:between w:val="nil"/>
        </w:pBdr>
        <w:spacing w:before="120"/>
        <w:jc w:val="both"/>
        <w:rPr>
          <w:rFonts w:ascii="Times New Roman" w:eastAsia="Times New Roman" w:hAnsi="Times New Roman" w:cs="Times New Roman"/>
          <w:i/>
          <w:iCs/>
          <w:color w:val="1F1F1F"/>
          <w:sz w:val="28"/>
          <w:szCs w:val="28"/>
        </w:rPr>
      </w:pPr>
      <w:r>
        <w:br w:type="column"/>
      </w:r>
      <w:r>
        <w:rPr>
          <w:rFonts w:ascii="Times New Roman" w:eastAsia="Times New Roman" w:hAnsi="Times New Roman" w:cs="Times New Roman"/>
          <w:b/>
          <w:bCs/>
          <w:i/>
          <w:iCs/>
          <w:color w:val="1F1F1F"/>
          <w:sz w:val="28"/>
          <w:szCs w:val="28"/>
        </w:rPr>
        <w:lastRenderedPageBreak/>
        <w:t xml:space="preserve">Bảng 2. </w:t>
      </w:r>
      <w:r>
        <w:rPr>
          <w:rFonts w:ascii="Times New Roman" w:eastAsia="Times New Roman" w:hAnsi="Times New Roman" w:cs="Times New Roman"/>
          <w:i/>
          <w:iCs/>
          <w:color w:val="1F1F1F"/>
          <w:sz w:val="28"/>
          <w:szCs w:val="28"/>
        </w:rPr>
        <w:t>Phân tích biến động điểm số theo phân tầng năng lực đầu vào</w:t>
      </w:r>
    </w:p>
    <w:tbl>
      <w:tblPr>
        <w:tblStyle w:val="a2"/>
        <w:tblW w:w="9360" w:type="dxa"/>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27"/>
        <w:gridCol w:w="1276"/>
        <w:gridCol w:w="1418"/>
        <w:gridCol w:w="1417"/>
        <w:gridCol w:w="1276"/>
        <w:gridCol w:w="1146"/>
      </w:tblGrid>
      <w:tr w:rsidR="005C0DAC" w14:paraId="2047337D" w14:textId="77777777">
        <w:tc>
          <w:tcPr>
            <w:tcW w:w="2827" w:type="dxa"/>
            <w:tcBorders>
              <w:top w:val="single" w:sz="6" w:space="0" w:color="000000"/>
              <w:left w:val="single" w:sz="6" w:space="0" w:color="000000"/>
              <w:bottom w:val="single" w:sz="6" w:space="0" w:color="000000"/>
              <w:right w:val="single" w:sz="6" w:space="0" w:color="000000"/>
            </w:tcBorders>
            <w:shd w:val="clear" w:color="auto" w:fill="FDEADA"/>
            <w:tcMar>
              <w:top w:w="120" w:type="dxa"/>
              <w:left w:w="180" w:type="dxa"/>
              <w:bottom w:w="120" w:type="dxa"/>
              <w:right w:w="180" w:type="dxa"/>
            </w:tcMar>
            <w:vAlign w:val="center"/>
          </w:tcPr>
          <w:p w14:paraId="1AFE637F"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Nhóm Năng lực</w:t>
            </w:r>
          </w:p>
        </w:tc>
        <w:tc>
          <w:tcPr>
            <w:tcW w:w="1276" w:type="dxa"/>
            <w:tcBorders>
              <w:top w:val="single" w:sz="6" w:space="0" w:color="000000"/>
              <w:left w:val="single" w:sz="6" w:space="0" w:color="000000"/>
              <w:bottom w:val="single" w:sz="6" w:space="0" w:color="000000"/>
              <w:right w:val="single" w:sz="6" w:space="0" w:color="000000"/>
            </w:tcBorders>
            <w:shd w:val="clear" w:color="auto" w:fill="FDEADA"/>
            <w:tcMar>
              <w:top w:w="120" w:type="dxa"/>
              <w:left w:w="180" w:type="dxa"/>
              <w:bottom w:w="120" w:type="dxa"/>
              <w:right w:w="180" w:type="dxa"/>
            </w:tcMar>
            <w:vAlign w:val="center"/>
          </w:tcPr>
          <w:p w14:paraId="2C3BB683"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Số</w:t>
            </w:r>
            <w:r>
              <w:rPr>
                <w:rFonts w:ascii="Times New Roman" w:eastAsia="Times New Roman" w:hAnsi="Times New Roman" w:cs="Times New Roman"/>
                <w:b/>
                <w:bCs/>
                <w:color w:val="1F1F1F"/>
                <w:sz w:val="28"/>
                <w:szCs w:val="28"/>
              </w:rPr>
              <w:t xml:space="preserve"> lượng (Sinh viên)</w:t>
            </w:r>
          </w:p>
        </w:tc>
        <w:tc>
          <w:tcPr>
            <w:tcW w:w="1418" w:type="dxa"/>
            <w:tcBorders>
              <w:top w:val="single" w:sz="6" w:space="0" w:color="000000"/>
              <w:left w:val="single" w:sz="6" w:space="0" w:color="000000"/>
              <w:bottom w:val="single" w:sz="6" w:space="0" w:color="000000"/>
              <w:right w:val="single" w:sz="6" w:space="0" w:color="000000"/>
            </w:tcBorders>
            <w:shd w:val="clear" w:color="auto" w:fill="FDEADA"/>
            <w:tcMar>
              <w:top w:w="120" w:type="dxa"/>
              <w:left w:w="180" w:type="dxa"/>
              <w:bottom w:w="120" w:type="dxa"/>
              <w:right w:w="180" w:type="dxa"/>
            </w:tcMar>
            <w:vAlign w:val="center"/>
          </w:tcPr>
          <w:p w14:paraId="09D57BFC"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Điểm TB Giữa kỳ</w:t>
            </w:r>
          </w:p>
        </w:tc>
        <w:tc>
          <w:tcPr>
            <w:tcW w:w="1417" w:type="dxa"/>
            <w:tcBorders>
              <w:top w:val="single" w:sz="6" w:space="0" w:color="000000"/>
              <w:left w:val="single" w:sz="6" w:space="0" w:color="000000"/>
              <w:bottom w:val="single" w:sz="6" w:space="0" w:color="000000"/>
              <w:right w:val="single" w:sz="6" w:space="0" w:color="000000"/>
            </w:tcBorders>
            <w:shd w:val="clear" w:color="auto" w:fill="FDEADA"/>
            <w:tcMar>
              <w:top w:w="120" w:type="dxa"/>
              <w:left w:w="180" w:type="dxa"/>
              <w:bottom w:w="120" w:type="dxa"/>
              <w:right w:w="180" w:type="dxa"/>
            </w:tcMar>
            <w:vAlign w:val="center"/>
          </w:tcPr>
          <w:p w14:paraId="5E023575"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Điểm TB Cuối kỳ</w:t>
            </w:r>
          </w:p>
        </w:tc>
        <w:tc>
          <w:tcPr>
            <w:tcW w:w="1276" w:type="dxa"/>
            <w:tcBorders>
              <w:top w:val="single" w:sz="6" w:space="0" w:color="000000"/>
              <w:left w:val="single" w:sz="6" w:space="0" w:color="000000"/>
              <w:bottom w:val="single" w:sz="6" w:space="0" w:color="000000"/>
              <w:right w:val="single" w:sz="6" w:space="0" w:color="000000"/>
            </w:tcBorders>
            <w:shd w:val="clear" w:color="auto" w:fill="FDEADA"/>
            <w:tcMar>
              <w:top w:w="120" w:type="dxa"/>
              <w:left w:w="180" w:type="dxa"/>
              <w:bottom w:w="120" w:type="dxa"/>
              <w:right w:w="180" w:type="dxa"/>
            </w:tcMar>
            <w:vAlign w:val="center"/>
          </w:tcPr>
          <w:p w14:paraId="15C9AB37"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Mức tăng (Điểm)</w:t>
            </w:r>
          </w:p>
        </w:tc>
        <w:tc>
          <w:tcPr>
            <w:tcW w:w="1146" w:type="dxa"/>
            <w:tcBorders>
              <w:top w:val="single" w:sz="6" w:space="0" w:color="000000"/>
              <w:left w:val="single" w:sz="6" w:space="0" w:color="000000"/>
              <w:bottom w:val="single" w:sz="6" w:space="0" w:color="000000"/>
              <w:right w:val="single" w:sz="6" w:space="0" w:color="000000"/>
            </w:tcBorders>
            <w:shd w:val="clear" w:color="auto" w:fill="FDEADA"/>
            <w:tcMar>
              <w:top w:w="120" w:type="dxa"/>
              <w:left w:w="180" w:type="dxa"/>
              <w:bottom w:w="120" w:type="dxa"/>
              <w:right w:w="180" w:type="dxa"/>
            </w:tcMar>
            <w:vAlign w:val="center"/>
          </w:tcPr>
          <w:p w14:paraId="74BA0B0F"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Tỷ lệ tăng (%)</w:t>
            </w:r>
          </w:p>
        </w:tc>
      </w:tr>
      <w:tr w:rsidR="005C0DAC" w14:paraId="54A7B505" w14:textId="77777777">
        <w:tc>
          <w:tcPr>
            <w:tcW w:w="2827" w:type="dxa"/>
            <w:tcBorders>
              <w:top w:val="single" w:sz="6" w:space="0" w:color="000000"/>
              <w:left w:val="single" w:sz="6" w:space="0" w:color="000000"/>
              <w:bottom w:val="single" w:sz="6" w:space="0" w:color="000000"/>
              <w:right w:val="single" w:sz="6" w:space="0" w:color="000000"/>
            </w:tcBorders>
            <w:shd w:val="clear" w:color="auto" w:fill="EBF1DD"/>
            <w:tcMar>
              <w:top w:w="120" w:type="dxa"/>
              <w:left w:w="180" w:type="dxa"/>
              <w:bottom w:w="120" w:type="dxa"/>
              <w:right w:w="180" w:type="dxa"/>
            </w:tcMar>
          </w:tcPr>
          <w:p w14:paraId="668F11C2" w14:textId="77777777" w:rsidR="005C0DAC" w:rsidRDefault="00C960B8"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Nhóm cần hỗ trợ (&lt;5)</w:t>
            </w:r>
          </w:p>
        </w:tc>
        <w:tc>
          <w:tcPr>
            <w:tcW w:w="127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A92708"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98</w:t>
            </w:r>
          </w:p>
        </w:tc>
        <w:tc>
          <w:tcPr>
            <w:tcW w:w="14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4B126F"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3,7</w:t>
            </w:r>
          </w:p>
        </w:tc>
        <w:tc>
          <w:tcPr>
            <w:tcW w:w="141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0EEC77"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5,3</w:t>
            </w:r>
          </w:p>
        </w:tc>
        <w:tc>
          <w:tcPr>
            <w:tcW w:w="127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925749"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1,6</w:t>
            </w:r>
          </w:p>
        </w:tc>
        <w:tc>
          <w:tcPr>
            <w:tcW w:w="1146"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442B855A"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43,8%</w:t>
            </w:r>
          </w:p>
        </w:tc>
      </w:tr>
      <w:tr w:rsidR="005C0DAC" w14:paraId="04E9C8E2" w14:textId="77777777">
        <w:tc>
          <w:tcPr>
            <w:tcW w:w="2827" w:type="dxa"/>
            <w:tcBorders>
              <w:top w:val="single" w:sz="6" w:space="0" w:color="000000"/>
              <w:left w:val="single" w:sz="6" w:space="0" w:color="000000"/>
              <w:bottom w:val="single" w:sz="6" w:space="0" w:color="000000"/>
              <w:right w:val="single" w:sz="6" w:space="0" w:color="000000"/>
            </w:tcBorders>
            <w:shd w:val="clear" w:color="auto" w:fill="EBF1DD"/>
            <w:tcMar>
              <w:top w:w="120" w:type="dxa"/>
              <w:left w:w="180" w:type="dxa"/>
              <w:bottom w:w="120" w:type="dxa"/>
              <w:right w:w="180" w:type="dxa"/>
            </w:tcMar>
          </w:tcPr>
          <w:p w14:paraId="40D86D2A" w14:textId="77777777" w:rsidR="005C0DAC" w:rsidRDefault="00C960B8"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Nhóm Đạt (5 - 7,9)</w:t>
            </w:r>
          </w:p>
        </w:tc>
        <w:tc>
          <w:tcPr>
            <w:tcW w:w="127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E0B0C2"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125</w:t>
            </w:r>
          </w:p>
        </w:tc>
        <w:tc>
          <w:tcPr>
            <w:tcW w:w="14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E9EDC6"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6,1</w:t>
            </w:r>
          </w:p>
        </w:tc>
        <w:tc>
          <w:tcPr>
            <w:tcW w:w="141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53A2F6"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7,3</w:t>
            </w:r>
          </w:p>
        </w:tc>
        <w:tc>
          <w:tcPr>
            <w:tcW w:w="127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9FB5FE"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1,1</w:t>
            </w:r>
          </w:p>
        </w:tc>
        <w:tc>
          <w:tcPr>
            <w:tcW w:w="1146"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6915D06D"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18,5%</w:t>
            </w:r>
          </w:p>
        </w:tc>
      </w:tr>
      <w:tr w:rsidR="005C0DAC" w14:paraId="7CE78DE7" w14:textId="77777777">
        <w:tc>
          <w:tcPr>
            <w:tcW w:w="2827" w:type="dxa"/>
            <w:tcBorders>
              <w:top w:val="single" w:sz="6" w:space="0" w:color="000000"/>
              <w:left w:val="single" w:sz="6" w:space="0" w:color="000000"/>
              <w:bottom w:val="single" w:sz="6" w:space="0" w:color="000000"/>
              <w:right w:val="single" w:sz="6" w:space="0" w:color="000000"/>
            </w:tcBorders>
            <w:shd w:val="clear" w:color="auto" w:fill="EBF1DD"/>
            <w:tcMar>
              <w:top w:w="120" w:type="dxa"/>
              <w:left w:w="180" w:type="dxa"/>
              <w:bottom w:w="120" w:type="dxa"/>
              <w:right w:w="180" w:type="dxa"/>
            </w:tcMar>
          </w:tcPr>
          <w:p w14:paraId="17CC2D11" w14:textId="77777777" w:rsidR="005C0DAC" w:rsidRDefault="00C960B8"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sdt>
              <w:sdtPr>
                <w:tag w:val="goog_rdk_0"/>
                <w:id w:val="803558460"/>
              </w:sdtPr>
              <w:sdtEndPr/>
              <w:sdtContent>
                <w:r>
                  <w:rPr>
                    <w:rFonts w:ascii="Caudex" w:eastAsia="Caudex" w:hAnsi="Caudex" w:cs="Caudex"/>
                    <w:color w:val="1F1F1F"/>
                    <w:sz w:val="28"/>
                    <w:szCs w:val="28"/>
                  </w:rPr>
                  <w:t>Nhóm Khá gi</w:t>
                </w:r>
                <w:r>
                  <w:rPr>
                    <w:rFonts w:ascii="Caudex" w:eastAsia="Caudex" w:hAnsi="Caudex" w:cs="Caudex"/>
                    <w:color w:val="1F1F1F"/>
                    <w:sz w:val="28"/>
                    <w:szCs w:val="28"/>
                  </w:rPr>
                  <w:t>ỏ</w:t>
                </w:r>
                <w:r>
                  <w:rPr>
                    <w:rFonts w:ascii="Caudex" w:eastAsia="Caudex" w:hAnsi="Caudex" w:cs="Caudex"/>
                    <w:color w:val="1F1F1F"/>
                    <w:sz w:val="28"/>
                    <w:szCs w:val="28"/>
                  </w:rPr>
                  <w:t>i (≥8)</w:t>
                </w:r>
              </w:sdtContent>
            </w:sdt>
          </w:p>
        </w:tc>
        <w:tc>
          <w:tcPr>
            <w:tcW w:w="127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E9AA0A"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19</w:t>
            </w:r>
          </w:p>
        </w:tc>
        <w:tc>
          <w:tcPr>
            <w:tcW w:w="14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2CF256"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8,6</w:t>
            </w:r>
          </w:p>
        </w:tc>
        <w:tc>
          <w:tcPr>
            <w:tcW w:w="141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59A9A2"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9,3</w:t>
            </w:r>
          </w:p>
        </w:tc>
        <w:tc>
          <w:tcPr>
            <w:tcW w:w="127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CD5DE7"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0,7</w:t>
            </w:r>
          </w:p>
        </w:tc>
        <w:tc>
          <w:tcPr>
            <w:tcW w:w="1146"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5B984DA5"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7,7%</w:t>
            </w:r>
          </w:p>
        </w:tc>
      </w:tr>
    </w:tbl>
    <w:p w14:paraId="5A3BC463" w14:textId="77777777" w:rsidR="005C0DAC" w:rsidRDefault="005C0DAC" w:rsidP="00845015">
      <w:pPr>
        <w:pStyle w:val="Heading4"/>
        <w:spacing w:before="120" w:after="0"/>
        <w:rPr>
          <w:rFonts w:ascii="Times New Roman" w:eastAsia="Times New Roman" w:hAnsi="Times New Roman" w:cs="Times New Roman"/>
          <w:sz w:val="28"/>
          <w:szCs w:val="28"/>
        </w:rPr>
      </w:pPr>
    </w:p>
    <w:p w14:paraId="41E9F257" w14:textId="132FCBF1" w:rsidR="005C0DAC" w:rsidRPr="00903229" w:rsidRDefault="00C960B8" w:rsidP="00845015">
      <w:pPr>
        <w:pStyle w:val="Heading4"/>
        <w:spacing w:before="120" w:after="0"/>
        <w:rPr>
          <w:rFonts w:ascii="Times New Roman" w:eastAsia="Times New Roman" w:hAnsi="Times New Roman" w:cs="Times New Roman"/>
          <w:b w:val="0"/>
          <w:bCs w:val="0"/>
          <w:i/>
          <w:iCs/>
          <w:sz w:val="28"/>
          <w:szCs w:val="28"/>
          <w:lang w:val="en-US"/>
        </w:rPr>
      </w:pPr>
      <w:r w:rsidRPr="00903229">
        <w:rPr>
          <w:rFonts w:ascii="Times New Roman" w:eastAsia="Times New Roman" w:hAnsi="Times New Roman" w:cs="Times New Roman"/>
          <w:b w:val="0"/>
          <w:bCs w:val="0"/>
          <w:i/>
          <w:iCs/>
          <w:sz w:val="28"/>
          <w:szCs w:val="28"/>
        </w:rPr>
        <w:t>4.</w:t>
      </w:r>
      <w:r w:rsidRPr="00903229">
        <w:rPr>
          <w:rFonts w:ascii="Times New Roman" w:eastAsia="Times New Roman" w:hAnsi="Times New Roman" w:cs="Times New Roman"/>
          <w:b w:val="0"/>
          <w:bCs w:val="0"/>
          <w:i/>
          <w:iCs/>
          <w:sz w:val="28"/>
          <w:szCs w:val="28"/>
        </w:rPr>
        <w:t>1.</w:t>
      </w:r>
      <w:r w:rsidR="004B2BD4">
        <w:rPr>
          <w:rFonts w:ascii="Times New Roman" w:eastAsia="Times New Roman" w:hAnsi="Times New Roman" w:cs="Times New Roman"/>
          <w:b w:val="0"/>
          <w:bCs w:val="0"/>
          <w:i/>
          <w:iCs/>
          <w:sz w:val="28"/>
          <w:szCs w:val="28"/>
          <w:lang w:val="en-US"/>
        </w:rPr>
        <w:t>3.</w:t>
      </w:r>
      <w:r w:rsidRPr="00903229">
        <w:rPr>
          <w:rFonts w:ascii="Times New Roman" w:eastAsia="Times New Roman" w:hAnsi="Times New Roman" w:cs="Times New Roman"/>
          <w:b w:val="0"/>
          <w:bCs w:val="0"/>
          <w:i/>
          <w:iCs/>
          <w:sz w:val="28"/>
          <w:szCs w:val="28"/>
        </w:rPr>
        <w:t xml:space="preserve"> Hiện tượng bù đắp nhận thức ở nhóm nền tảng chưa vững</w:t>
      </w:r>
    </w:p>
    <w:p w14:paraId="4702CE6B"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Phân tích hồi quy trên bộ dữ liệu chỉ ra một sự tương quan rõ nét giữa điểm xuất phát của sinh viên và biên độ cải thiện phần trăm. Nhóm sinh viên "Cần hỗ trợ" ghi nhận mức gia tăng điểm tuyệt đối mạ</w:t>
      </w:r>
      <w:r>
        <w:rPr>
          <w:rFonts w:ascii="Times New Roman" w:eastAsia="Times New Roman" w:hAnsi="Times New Roman" w:cs="Times New Roman"/>
          <w:color w:val="1F1F1F"/>
          <w:sz w:val="28"/>
          <w:szCs w:val="28"/>
        </w:rPr>
        <w:t>nh mẽ nhất, từ trung bình 3,7 điểm lên 5,3 điểm. Đáng chú ý, có những cá nhân dịch chuyển từ mức điểm rất thấp (0,5 điểm) lên mức 3,0 điểm. Dưới góc độ phương pháp luận, sự thay đổi này không nên bị nhìn nhận đơn thuần qua lăng kính xếp loại học lực, mà cầ</w:t>
      </w:r>
      <w:r>
        <w:rPr>
          <w:rFonts w:ascii="Times New Roman" w:eastAsia="Times New Roman" w:hAnsi="Times New Roman" w:cs="Times New Roman"/>
          <w:color w:val="1F1F1F"/>
          <w:sz w:val="28"/>
          <w:szCs w:val="28"/>
        </w:rPr>
        <w:t xml:space="preserve">n được đánh giá như một cột mốc quan trọng về mặt tâm lý học giáo dục. Trong giai đoạn chuẩn bị bài, sự hỗ trợ cá nhân hóa không mệt mỏi của trí tuệ nhân tạo đã hoạt động như một cơ chế vá lỗi kiến thức nền tảng hiệu quả. Những sinh viên vốn thường bị tụt </w:t>
      </w:r>
      <w:r>
        <w:rPr>
          <w:rFonts w:ascii="Times New Roman" w:eastAsia="Times New Roman" w:hAnsi="Times New Roman" w:cs="Times New Roman"/>
          <w:color w:val="1F1F1F"/>
          <w:sz w:val="28"/>
          <w:szCs w:val="28"/>
        </w:rPr>
        <w:t>lại do rào cản tâm lý e ngại cầu cứu giảng viên nay có thể sử dụng AI để tra cứu từ vựng và củng cố ngữ pháp cơ bản một cách ẩn danh. Sự tự tin được phục hồi âm thầm này đã giúp họ có thể tham gia tương tác tích cực hơn vào giai đoạn thực hành không công n</w:t>
      </w:r>
      <w:r>
        <w:rPr>
          <w:rFonts w:ascii="Times New Roman" w:eastAsia="Times New Roman" w:hAnsi="Times New Roman" w:cs="Times New Roman"/>
          <w:color w:val="1F1F1F"/>
          <w:sz w:val="28"/>
          <w:szCs w:val="28"/>
        </w:rPr>
        <w:t>ghệ trên lớp.</w:t>
      </w:r>
    </w:p>
    <w:p w14:paraId="51B5BE67" w14:textId="64017D12" w:rsidR="005C0DAC" w:rsidRPr="00903229" w:rsidRDefault="00C960B8" w:rsidP="00845015">
      <w:pPr>
        <w:pStyle w:val="Heading4"/>
        <w:spacing w:before="120" w:after="0"/>
        <w:rPr>
          <w:rFonts w:ascii="Times New Roman" w:eastAsia="Times New Roman" w:hAnsi="Times New Roman" w:cs="Times New Roman"/>
          <w:b w:val="0"/>
          <w:bCs w:val="0"/>
          <w:i/>
          <w:iCs/>
          <w:sz w:val="28"/>
          <w:szCs w:val="28"/>
          <w:lang w:val="en-US"/>
        </w:rPr>
      </w:pPr>
      <w:r w:rsidRPr="00903229">
        <w:rPr>
          <w:rFonts w:ascii="Times New Roman" w:eastAsia="Times New Roman" w:hAnsi="Times New Roman" w:cs="Times New Roman"/>
          <w:b w:val="0"/>
          <w:bCs w:val="0"/>
          <w:i/>
          <w:iCs/>
          <w:sz w:val="28"/>
          <w:szCs w:val="28"/>
        </w:rPr>
        <w:t>4.</w:t>
      </w:r>
      <w:r w:rsidR="004B2BD4">
        <w:rPr>
          <w:rFonts w:ascii="Times New Roman" w:eastAsia="Times New Roman" w:hAnsi="Times New Roman" w:cs="Times New Roman"/>
          <w:b w:val="0"/>
          <w:bCs w:val="0"/>
          <w:i/>
          <w:iCs/>
          <w:sz w:val="28"/>
          <w:szCs w:val="28"/>
          <w:lang w:val="en-US"/>
        </w:rPr>
        <w:t>1</w:t>
      </w:r>
      <w:r w:rsidRPr="00903229">
        <w:rPr>
          <w:rFonts w:ascii="Times New Roman" w:eastAsia="Times New Roman" w:hAnsi="Times New Roman" w:cs="Times New Roman"/>
          <w:b w:val="0"/>
          <w:bCs w:val="0"/>
          <w:i/>
          <w:iCs/>
          <w:sz w:val="28"/>
          <w:szCs w:val="28"/>
        </w:rPr>
        <w:t>.</w:t>
      </w:r>
      <w:r w:rsidR="004B2BD4">
        <w:rPr>
          <w:rFonts w:ascii="Times New Roman" w:eastAsia="Times New Roman" w:hAnsi="Times New Roman" w:cs="Times New Roman"/>
          <w:b w:val="0"/>
          <w:bCs w:val="0"/>
          <w:i/>
          <w:iCs/>
          <w:sz w:val="28"/>
          <w:szCs w:val="28"/>
          <w:lang w:val="en-US"/>
        </w:rPr>
        <w:t>4</w:t>
      </w:r>
      <w:r w:rsidRPr="00903229">
        <w:rPr>
          <w:rFonts w:ascii="Times New Roman" w:eastAsia="Times New Roman" w:hAnsi="Times New Roman" w:cs="Times New Roman"/>
          <w:b w:val="0"/>
          <w:bCs w:val="0"/>
          <w:i/>
          <w:iCs/>
          <w:sz w:val="28"/>
          <w:szCs w:val="28"/>
        </w:rPr>
        <w:t>. Sự tối ưu hóa chiến lược ở nhóm cận khá và khá</w:t>
      </w:r>
    </w:p>
    <w:p w14:paraId="445665F6"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Nhóm sinh viên "Đạt", chiếm số lượng đông đảo nhất (125 sinh viên), cho thấy sự tiến bộ ổn định với mức tăng trung bình 1,1 điểm. Sự cải thiện của dải năng lực này chủ yếu đến từ sự trư</w:t>
      </w:r>
      <w:r>
        <w:rPr>
          <w:rFonts w:ascii="Times New Roman" w:eastAsia="Times New Roman" w:hAnsi="Times New Roman" w:cs="Times New Roman"/>
          <w:color w:val="1F1F1F"/>
          <w:sz w:val="28"/>
          <w:szCs w:val="28"/>
        </w:rPr>
        <w:t>ởng thành về mặt tư duy phản biện. Dưới tác động kết hợp của việc phân tích lỗi AI trên lớp và sự đào sâu phản tư ở nhà, nhóm sinh viên này đã biết cách nhận diện các cấu trúc dịch thuật tối ưu hơn, dần thoát khỏi lối dịch sát mặt chữ (word-by-word) vốn là</w:t>
      </w:r>
      <w:r>
        <w:rPr>
          <w:rFonts w:ascii="Times New Roman" w:eastAsia="Times New Roman" w:hAnsi="Times New Roman" w:cs="Times New Roman"/>
          <w:color w:val="1F1F1F"/>
          <w:sz w:val="28"/>
          <w:szCs w:val="28"/>
        </w:rPr>
        <w:t xml:space="preserve"> rào cản ngăn họ vươn lên các mức điểm cao hơn.</w:t>
      </w:r>
    </w:p>
    <w:p w14:paraId="41926177" w14:textId="58CEEC85" w:rsidR="005C0DAC" w:rsidRPr="00903229" w:rsidRDefault="00C960B8" w:rsidP="00845015">
      <w:pPr>
        <w:pStyle w:val="Heading4"/>
        <w:spacing w:before="120" w:after="0"/>
        <w:rPr>
          <w:rFonts w:ascii="Times New Roman" w:eastAsia="Times New Roman" w:hAnsi="Times New Roman" w:cs="Times New Roman"/>
          <w:b w:val="0"/>
          <w:bCs w:val="0"/>
          <w:i/>
          <w:iCs/>
          <w:sz w:val="28"/>
          <w:szCs w:val="28"/>
          <w:lang w:val="en-US"/>
        </w:rPr>
      </w:pPr>
      <w:r w:rsidRPr="00903229">
        <w:rPr>
          <w:rFonts w:ascii="Times New Roman" w:eastAsia="Times New Roman" w:hAnsi="Times New Roman" w:cs="Times New Roman"/>
          <w:b w:val="0"/>
          <w:bCs w:val="0"/>
          <w:i/>
          <w:iCs/>
          <w:sz w:val="28"/>
          <w:szCs w:val="28"/>
        </w:rPr>
        <w:lastRenderedPageBreak/>
        <w:t>4.</w:t>
      </w:r>
      <w:r w:rsidR="004B2BD4">
        <w:rPr>
          <w:rFonts w:ascii="Times New Roman" w:eastAsia="Times New Roman" w:hAnsi="Times New Roman" w:cs="Times New Roman"/>
          <w:b w:val="0"/>
          <w:bCs w:val="0"/>
          <w:i/>
          <w:iCs/>
          <w:sz w:val="28"/>
          <w:szCs w:val="28"/>
          <w:lang w:val="en-US"/>
        </w:rPr>
        <w:t>1</w:t>
      </w:r>
      <w:r w:rsidRPr="00903229">
        <w:rPr>
          <w:rFonts w:ascii="Times New Roman" w:eastAsia="Times New Roman" w:hAnsi="Times New Roman" w:cs="Times New Roman"/>
          <w:b w:val="0"/>
          <w:bCs w:val="0"/>
          <w:i/>
          <w:iCs/>
          <w:sz w:val="28"/>
          <w:szCs w:val="28"/>
        </w:rPr>
        <w:t>.</w:t>
      </w:r>
      <w:r w:rsidR="004B2BD4">
        <w:rPr>
          <w:rFonts w:ascii="Times New Roman" w:eastAsia="Times New Roman" w:hAnsi="Times New Roman" w:cs="Times New Roman"/>
          <w:b w:val="0"/>
          <w:bCs w:val="0"/>
          <w:i/>
          <w:iCs/>
          <w:sz w:val="28"/>
          <w:szCs w:val="28"/>
          <w:lang w:val="en-US"/>
        </w:rPr>
        <w:t>5</w:t>
      </w:r>
      <w:r w:rsidRPr="00903229">
        <w:rPr>
          <w:rFonts w:ascii="Times New Roman" w:eastAsia="Times New Roman" w:hAnsi="Times New Roman" w:cs="Times New Roman"/>
          <w:b w:val="0"/>
          <w:bCs w:val="0"/>
          <w:i/>
          <w:iCs/>
          <w:sz w:val="28"/>
          <w:szCs w:val="28"/>
        </w:rPr>
        <w:t>. Vượt qua hiệu ứng trần ở nhóm xuất sắc</w:t>
      </w:r>
    </w:p>
    <w:p w14:paraId="27B1D691" w14:textId="15548C2D"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Thống kê đối với nhóm "Khá giỏi" cho thấy</w:t>
      </w:r>
      <w:r w:rsidR="004B2BD4">
        <w:rPr>
          <w:rFonts w:ascii="Times New Roman" w:eastAsia="Times New Roman" w:hAnsi="Times New Roman" w:cs="Times New Roman"/>
          <w:color w:val="1F1F1F"/>
          <w:sz w:val="28"/>
          <w:szCs w:val="28"/>
          <w:lang w:val="en-US"/>
        </w:rPr>
        <w:t>,</w:t>
      </w:r>
      <w:r>
        <w:rPr>
          <w:rFonts w:ascii="Times New Roman" w:eastAsia="Times New Roman" w:hAnsi="Times New Roman" w:cs="Times New Roman"/>
          <w:color w:val="1F1F1F"/>
          <w:sz w:val="28"/>
          <w:szCs w:val="28"/>
        </w:rPr>
        <w:t xml:space="preserve"> mức tăng khiêm tốn 0,7 điểm tuyệt đối. Dưới góc độ thống kê học, đây là hiện tượng "hiệu ứng trần" (Ceiling Effect)</w:t>
      </w:r>
      <w:r>
        <w:rPr>
          <w:rFonts w:ascii="Times New Roman" w:eastAsia="Times New Roman" w:hAnsi="Times New Roman" w:cs="Times New Roman"/>
          <w:color w:val="1F1F1F"/>
          <w:sz w:val="28"/>
          <w:szCs w:val="28"/>
        </w:rPr>
        <w:t xml:space="preserve"> tự nhiên, bởi khi người học đã tiến quá sát với giới hạn tối đa của thang đo (ví dụ từ 8,5 vươn lên 9,2 hoặc 9,7), không gian để tăng trưởng về mặt lượng sẽ thu hẹp lại.</w:t>
      </w:r>
      <w:r>
        <w:rPr>
          <w:rFonts w:ascii="Times New Roman" w:eastAsia="Times New Roman" w:hAnsi="Times New Roman" w:cs="Times New Roman"/>
          <w:color w:val="1F1F1F"/>
          <w:sz w:val="28"/>
          <w:szCs w:val="28"/>
        </w:rPr>
        <w:t xml:space="preserve"> Tuy nhiên, chất lượng của sự thay đổi lại rất sâu sắc. Ở dải điểm này, mô hình hỗ t</w:t>
      </w:r>
      <w:r>
        <w:rPr>
          <w:rFonts w:ascii="Times New Roman" w:eastAsia="Times New Roman" w:hAnsi="Times New Roman" w:cs="Times New Roman"/>
          <w:color w:val="1F1F1F"/>
          <w:sz w:val="28"/>
          <w:szCs w:val="28"/>
        </w:rPr>
        <w:t>rợ sinh viên thoát khỏi các lỗi từ vựng cơ bản để tập trung tinh chỉnh độ sắc bén về dụng học văn hóa, nâng cao mức độ lưu loát nghệ thuật và phòng tránh lối hành văn thô cứng do ảnh hưởng vô thức từ ngôn ngữ máy tính.</w:t>
      </w:r>
    </w:p>
    <w:p w14:paraId="6C814553" w14:textId="75F09613" w:rsidR="005C0DAC" w:rsidRPr="00903229" w:rsidRDefault="00C960B8" w:rsidP="00845015">
      <w:pPr>
        <w:pStyle w:val="Heading3"/>
        <w:spacing w:before="120" w:after="0"/>
        <w:jc w:val="both"/>
        <w:rPr>
          <w:rFonts w:ascii="Times New Roman" w:eastAsia="Times New Roman" w:hAnsi="Times New Roman" w:cs="Times New Roman"/>
          <w:i/>
          <w:iCs/>
          <w:color w:val="1F1F1F"/>
        </w:rPr>
      </w:pPr>
      <w:r w:rsidRPr="00903229">
        <w:rPr>
          <w:rFonts w:ascii="Times New Roman" w:eastAsia="Times New Roman" w:hAnsi="Times New Roman" w:cs="Times New Roman"/>
          <w:i/>
          <w:iCs/>
          <w:color w:val="1F1F1F"/>
        </w:rPr>
        <w:t>4.</w:t>
      </w:r>
      <w:r w:rsidR="004B2BD4">
        <w:rPr>
          <w:rFonts w:ascii="Times New Roman" w:eastAsia="Times New Roman" w:hAnsi="Times New Roman" w:cs="Times New Roman"/>
          <w:i/>
          <w:iCs/>
          <w:color w:val="1F1F1F"/>
          <w:lang w:val="en-US"/>
        </w:rPr>
        <w:t>2</w:t>
      </w:r>
      <w:r w:rsidRPr="00903229">
        <w:rPr>
          <w:rFonts w:ascii="Times New Roman" w:eastAsia="Times New Roman" w:hAnsi="Times New Roman" w:cs="Times New Roman"/>
          <w:i/>
          <w:iCs/>
          <w:color w:val="1F1F1F"/>
        </w:rPr>
        <w:t>. Thảo luận</w:t>
      </w:r>
      <w:r w:rsidR="004B2BD4">
        <w:rPr>
          <w:rFonts w:ascii="Times New Roman" w:eastAsia="Times New Roman" w:hAnsi="Times New Roman" w:cs="Times New Roman"/>
          <w:i/>
          <w:iCs/>
          <w:color w:val="1F1F1F"/>
          <w:lang w:val="en-US"/>
        </w:rPr>
        <w:t xml:space="preserve"> kết quả</w:t>
      </w:r>
    </w:p>
    <w:p w14:paraId="364D7A63"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444746"/>
          <w:sz w:val="28"/>
          <w:szCs w:val="28"/>
          <w:vertAlign w:val="superscript"/>
        </w:rPr>
      </w:pPr>
      <w:r>
        <w:rPr>
          <w:rFonts w:ascii="Times New Roman" w:eastAsia="Times New Roman" w:hAnsi="Times New Roman" w:cs="Times New Roman"/>
          <w:color w:val="1F1F1F"/>
          <w:sz w:val="28"/>
          <w:szCs w:val="28"/>
        </w:rPr>
        <w:t xml:space="preserve">Bên cạnh sự cải thiện về mặt điểm số, quá trình nghiên cứu còn bộc lộ những hàm ý sư phạm quan trọng về cách thức sinh viên tương tác với công nghệ. Các công trình nghiên cứu hiện đại về "Năng lực tư duy AI" của sinh </w:t>
      </w:r>
      <w:r>
        <w:rPr>
          <w:rFonts w:ascii="Times New Roman" w:eastAsia="Times New Roman" w:hAnsi="Times New Roman" w:cs="Times New Roman"/>
          <w:color w:val="1F1F1F"/>
          <w:sz w:val="28"/>
          <w:szCs w:val="28"/>
        </w:rPr>
        <w:t>viên biên phiên dịch chỉ ra một thực trạng đáng lưu tâm: dù sinh viên sử dụng công nghệ rất thường xuyên, nhưng sự hiểu biết của họ về bản chất vận hành của hệ thống này vẫn còn nhiều hạn chế.</w:t>
      </w:r>
    </w:p>
    <w:p w14:paraId="555CFDE8"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444746"/>
          <w:sz w:val="28"/>
          <w:szCs w:val="28"/>
          <w:vertAlign w:val="superscript"/>
        </w:rPr>
      </w:pPr>
      <w:r>
        <w:rPr>
          <w:rFonts w:ascii="Times New Roman" w:eastAsia="Times New Roman" w:hAnsi="Times New Roman" w:cs="Times New Roman"/>
          <w:color w:val="1F1F1F"/>
          <w:sz w:val="28"/>
          <w:szCs w:val="28"/>
        </w:rPr>
        <w:t>Theo Zhang và Doherty (2025), phần lớn sinh viên có xu hướng sử</w:t>
      </w:r>
      <w:r>
        <w:rPr>
          <w:rFonts w:ascii="Times New Roman" w:eastAsia="Times New Roman" w:hAnsi="Times New Roman" w:cs="Times New Roman"/>
          <w:color w:val="1F1F1F"/>
          <w:sz w:val="28"/>
          <w:szCs w:val="28"/>
        </w:rPr>
        <w:t xml:space="preserve"> dụng AI chủ yếu cho mục đích dịch thô nhằm nắm bắt ý chính (gisting) đối với các văn bản dài, đồng thời coi công cụ này như một phương pháp làm giảm áp lực nhận thức.</w:t>
      </w:r>
      <w:r>
        <w:rPr>
          <w:rFonts w:ascii="Times New Roman" w:eastAsia="Times New Roman" w:hAnsi="Times New Roman" w:cs="Times New Roman"/>
          <w:color w:val="444746"/>
          <w:sz w:val="28"/>
          <w:szCs w:val="28"/>
          <w:vertAlign w:val="superscript"/>
        </w:rPr>
        <w:t xml:space="preserve"> </w:t>
      </w:r>
      <w:r>
        <w:rPr>
          <w:rFonts w:ascii="Times New Roman" w:eastAsia="Times New Roman" w:hAnsi="Times New Roman" w:cs="Times New Roman"/>
          <w:color w:val="1F1F1F"/>
          <w:sz w:val="28"/>
          <w:szCs w:val="28"/>
        </w:rPr>
        <w:t xml:space="preserve">Tuy nhiên, sự tiện lợi này thường chuyển hóa thành sự tự tin thái quá (overconfidence). </w:t>
      </w:r>
      <w:r>
        <w:rPr>
          <w:rFonts w:ascii="Times New Roman" w:eastAsia="Times New Roman" w:hAnsi="Times New Roman" w:cs="Times New Roman"/>
          <w:color w:val="1F1F1F"/>
          <w:sz w:val="28"/>
          <w:szCs w:val="28"/>
        </w:rPr>
        <w:t>Sinh viên hoàn toàn có đủ năng lực để phát hiện và sửa chữa các lỗi do thuật toán tạo ra. Thế nhưng trên thực tế, họ thường chỉ nhận diện được các lỗi cú pháp bề mặt mà bỏ qua những lỗi ngầm ẩn (covert errors) tinh vi liên quan đến sắc thái văn hóa hoặc sự</w:t>
      </w:r>
      <w:r>
        <w:rPr>
          <w:rFonts w:ascii="Times New Roman" w:eastAsia="Times New Roman" w:hAnsi="Times New Roman" w:cs="Times New Roman"/>
          <w:color w:val="1F1F1F"/>
          <w:sz w:val="28"/>
          <w:szCs w:val="28"/>
        </w:rPr>
        <w:t xml:space="preserve"> thiếu logic cục bộ. Nguy hiểm hơn, việc tiếp xúc liên tục với các cấu trúc dịch máy chưa qua chọn lọc có thể khiến sinh viên dần phát triển thói quen hành văn theo lối "machine translationese" - một văn phong cứng nhắc, thiếu vắng sự nhạy cảm ngôn ngữ tự </w:t>
      </w:r>
      <w:r>
        <w:rPr>
          <w:rFonts w:ascii="Times New Roman" w:eastAsia="Times New Roman" w:hAnsi="Times New Roman" w:cs="Times New Roman"/>
          <w:color w:val="1F1F1F"/>
          <w:sz w:val="28"/>
          <w:szCs w:val="28"/>
        </w:rPr>
        <w:t>nhiên.</w:t>
      </w:r>
    </w:p>
    <w:p w14:paraId="6B85943B" w14:textId="29BA4FEA"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Do đó, sự hiện diện và vai trò định hướng của giảng viên trong mô hình 3 chiều mang ý nghĩa vô cùng thiết yếu. Giảng viên không chỉ là người truyền đạt kỹ năng chuyên môn, mà còn phải gánh vác trách nhiệm tích hợp việc giáo dục Năng lực AI ngay từ n</w:t>
      </w:r>
      <w:r>
        <w:rPr>
          <w:rFonts w:ascii="Times New Roman" w:eastAsia="Times New Roman" w:hAnsi="Times New Roman" w:cs="Times New Roman"/>
          <w:color w:val="1F1F1F"/>
          <w:sz w:val="28"/>
          <w:szCs w:val="28"/>
        </w:rPr>
        <w:t>hững giai đoạn đầu của chương trình học. Sinh viên cần được trang bị kỹ năng thiết kế câu lệnh (prompt engineering) bài bản, hiểu rõ cơ chế xác minh chéo thông tin, và đặc biệt là nhận thức được những rủi ro đạo đức cũng như các lỗ hổng văn hóa của trí tuệ</w:t>
      </w:r>
      <w:r>
        <w:rPr>
          <w:rFonts w:ascii="Times New Roman" w:eastAsia="Times New Roman" w:hAnsi="Times New Roman" w:cs="Times New Roman"/>
          <w:color w:val="1F1F1F"/>
          <w:sz w:val="28"/>
          <w:szCs w:val="28"/>
        </w:rPr>
        <w:t xml:space="preserve"> nhân tạo. Việc thiết lập kỷ luật "Non-AI" tại lớp học chính là môi trường </w:t>
      </w:r>
      <w:r>
        <w:rPr>
          <w:rFonts w:ascii="Times New Roman" w:eastAsia="Times New Roman" w:hAnsi="Times New Roman" w:cs="Times New Roman"/>
          <w:color w:val="1F1F1F"/>
          <w:sz w:val="28"/>
          <w:szCs w:val="28"/>
        </w:rPr>
        <w:t>cần thiết, giúp sinh viên khôi phục lăng kính phản biện độc lập trước khi quay lại sử dụng AI ở cấp độ của một chuyên gia thực thụ.</w:t>
      </w:r>
    </w:p>
    <w:p w14:paraId="7E948B4C" w14:textId="77777777" w:rsidR="005C0DAC" w:rsidRDefault="00C960B8" w:rsidP="00845015">
      <w:pPr>
        <w:pStyle w:val="Heading2"/>
        <w:numPr>
          <w:ilvl w:val="0"/>
          <w:numId w:val="2"/>
        </w:num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Kết luận và kiến nghị</w:t>
      </w:r>
    </w:p>
    <w:p w14:paraId="23B0EA28" w14:textId="7E3E990A"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lastRenderedPageBreak/>
        <w:t>Báo cá</w:t>
      </w:r>
      <w:r>
        <w:rPr>
          <w:rFonts w:ascii="Times New Roman" w:eastAsia="Times New Roman" w:hAnsi="Times New Roman" w:cs="Times New Roman"/>
          <w:color w:val="1F1F1F"/>
          <w:sz w:val="28"/>
          <w:szCs w:val="28"/>
        </w:rPr>
        <w:t xml:space="preserve">o nghiên cứu này đã tiến hành đánh giá toàn diện cơ sở lý thuyết và cơ chế vận hành sư phạm của mô hình dạy học 3 chiều "Giảng viên chủ đạo - AI hỗ trợ - Sinh viên tự chủ" trong công tác đào tạo môn phiên dịch. Phân tích định lượng từ 242 mẫu sinh viên đã </w:t>
      </w:r>
      <w:r>
        <w:rPr>
          <w:rFonts w:ascii="Times New Roman" w:eastAsia="Times New Roman" w:hAnsi="Times New Roman" w:cs="Times New Roman"/>
          <w:color w:val="1F1F1F"/>
          <w:sz w:val="28"/>
          <w:szCs w:val="28"/>
        </w:rPr>
        <w:t>cung cấp các bằng chứng thực chứng cho thấy</w:t>
      </w:r>
      <w:r w:rsidR="004B2BD4">
        <w:rPr>
          <w:rFonts w:ascii="Times New Roman" w:eastAsia="Times New Roman" w:hAnsi="Times New Roman" w:cs="Times New Roman"/>
          <w:color w:val="1F1F1F"/>
          <w:sz w:val="28"/>
          <w:szCs w:val="28"/>
          <w:lang w:val="en-US"/>
        </w:rPr>
        <w:t>,</w:t>
      </w:r>
      <w:r>
        <w:rPr>
          <w:rFonts w:ascii="Times New Roman" w:eastAsia="Times New Roman" w:hAnsi="Times New Roman" w:cs="Times New Roman"/>
          <w:color w:val="1F1F1F"/>
          <w:sz w:val="28"/>
          <w:szCs w:val="28"/>
        </w:rPr>
        <w:t xml:space="preserve"> mô hình không chỉ thúc đẩy hiệu quả học tập một cách đồng đều, mà còn thể hiện giá trị sư phạm sâu sắc thông qua việc hoạt động như một cơ chế bù đắp kiến thức nền tảng vô cùng hữu hiệu đối với nhóm sinh viên yế</w:t>
      </w:r>
      <w:r>
        <w:rPr>
          <w:rFonts w:ascii="Times New Roman" w:eastAsia="Times New Roman" w:hAnsi="Times New Roman" w:cs="Times New Roman"/>
          <w:color w:val="1F1F1F"/>
          <w:sz w:val="28"/>
          <w:szCs w:val="28"/>
        </w:rPr>
        <w:t xml:space="preserve">u. Bằng việc khéo léo kết hợp nguyên lý "gia tăng nhận thức" và chủ ý tạo ra các "khó khăn mong đợi" thông qua vùng cấm công nghệ tại lớp học, phương pháp này đã giải quyết thành công bài toán tận dụng trí tuệ nhân tạo mà vẫn bảo vệ được cốt lõi tư duy và </w:t>
      </w:r>
      <w:r>
        <w:rPr>
          <w:rFonts w:ascii="Times New Roman" w:eastAsia="Times New Roman" w:hAnsi="Times New Roman" w:cs="Times New Roman"/>
          <w:color w:val="1F1F1F"/>
          <w:sz w:val="28"/>
          <w:szCs w:val="28"/>
        </w:rPr>
        <w:t>phản xạ độc lập của người học.</w:t>
      </w:r>
    </w:p>
    <w:p w14:paraId="5513CAA2"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Từ những đúc kết trên, nghiên cứu đề xuất một số định hướng mang tính chiến lược:</w:t>
      </w:r>
    </w:p>
    <w:p w14:paraId="73519B57"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Thứ nhất, các cơ sở giáo dục đại học cần cân nhắc việc thể chế hóa nguyên tắc "Trì hoãn sự thỏa mãn công nghệ" bằng cách quy định rõ các không </w:t>
      </w:r>
      <w:r>
        <w:rPr>
          <w:rFonts w:ascii="Times New Roman" w:eastAsia="Times New Roman" w:hAnsi="Times New Roman" w:cs="Times New Roman"/>
          <w:color w:val="1F1F1F"/>
          <w:sz w:val="28"/>
          <w:szCs w:val="28"/>
        </w:rPr>
        <w:t>gian thực hành không thiết bị số (AI-Free Zones) đối với những học phần đòi hỏi phản xạ nhận thức theo thời gian thực.</w:t>
      </w:r>
    </w:p>
    <w:p w14:paraId="1CC1476D"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Thứ hai, để tối ưu hóa việc học tập sau giờ lên lớp, cần thúc đẩy việc áp dụng các hệ thống phân tích dữ liệu học tập (Learning Analytics</w:t>
      </w:r>
      <w:r>
        <w:rPr>
          <w:rFonts w:ascii="Times New Roman" w:eastAsia="Times New Roman" w:hAnsi="Times New Roman" w:cs="Times New Roman"/>
          <w:color w:val="1F1F1F"/>
          <w:sz w:val="28"/>
          <w:szCs w:val="28"/>
        </w:rPr>
        <w:t>) nhằm theo dõi, mã hóa và chẩn đoán thói quen sử dụng câu lệnh (prompt) cũng như các lỗi sai đặc thù của sinh viên, từ đó giúp giảng viên điều chỉnh giáo án một cách chính xác.</w:t>
      </w:r>
    </w:p>
    <w:p w14:paraId="3DDDECF3" w14:textId="77777777" w:rsidR="005C0DAC" w:rsidRDefault="00C960B8"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Thứ ba, mô hình cần tiếp tục được nghiên cứu đối chứng mở rộng trên nhiều hệ t</w:t>
      </w:r>
      <w:r>
        <w:rPr>
          <w:rFonts w:ascii="Times New Roman" w:eastAsia="Times New Roman" w:hAnsi="Times New Roman" w:cs="Times New Roman"/>
          <w:color w:val="1F1F1F"/>
          <w:sz w:val="28"/>
          <w:szCs w:val="28"/>
        </w:rPr>
        <w:t>hống ngôn ngữ khác nhau, đi kèm với các khảo sát chuyên sâu về sự bản địa hóa và quy tắc đạo đức khi sử dụng công cụ tạo sinh trong môi trường học thuật.</w:t>
      </w:r>
    </w:p>
    <w:p w14:paraId="05D803A4" w14:textId="77777777" w:rsidR="005C0DAC" w:rsidRDefault="005C0DAC"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p>
    <w:p w14:paraId="4B106A7E" w14:textId="77777777" w:rsidR="005C0DAC" w:rsidRDefault="005C0DAC" w:rsidP="00845015">
      <w:pPr>
        <w:pBdr>
          <w:top w:val="nil"/>
          <w:left w:val="nil"/>
          <w:bottom w:val="nil"/>
          <w:right w:val="nil"/>
          <w:between w:val="nil"/>
        </w:pBdr>
        <w:spacing w:before="120"/>
        <w:ind w:firstLine="361"/>
        <w:jc w:val="both"/>
        <w:rPr>
          <w:rFonts w:ascii="Times New Roman" w:eastAsia="Times New Roman" w:hAnsi="Times New Roman" w:cs="Times New Roman"/>
          <w:color w:val="1F1F1F"/>
          <w:sz w:val="28"/>
          <w:szCs w:val="28"/>
        </w:rPr>
      </w:pPr>
    </w:p>
    <w:p w14:paraId="4FD23B4A" w14:textId="77777777" w:rsidR="005C0DAC" w:rsidRDefault="00C960B8" w:rsidP="00845015">
      <w:pPr>
        <w:pStyle w:val="Heading2"/>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Tài liệu tham khảo:</w:t>
      </w:r>
    </w:p>
    <w:p w14:paraId="4F3965B7" w14:textId="77777777" w:rsidR="005C0DAC" w:rsidRDefault="00C960B8"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bookmarkStart w:id="0" w:name="_GoBack"/>
      <w:r>
        <w:rPr>
          <w:rFonts w:ascii="Times New Roman" w:eastAsia="Times New Roman" w:hAnsi="Times New Roman" w:cs="Times New Roman"/>
          <w:color w:val="1F1F1F"/>
          <w:sz w:val="28"/>
          <w:szCs w:val="28"/>
        </w:rPr>
        <w:t xml:space="preserve">Bjork R. A. (1994). Memory and metamemory considerations in the training of </w:t>
      </w:r>
      <w:r>
        <w:rPr>
          <w:rFonts w:ascii="Times New Roman" w:eastAsia="Times New Roman" w:hAnsi="Times New Roman" w:cs="Times New Roman"/>
          <w:color w:val="1F1F1F"/>
          <w:sz w:val="28"/>
          <w:szCs w:val="28"/>
        </w:rPr>
        <w:t>human beings. Metacognition: Knowing about knowing, MIT Press, Cambridge, MA, 185-205.</w:t>
      </w:r>
    </w:p>
    <w:p w14:paraId="68000388" w14:textId="77777777" w:rsidR="005C0DAC" w:rsidRDefault="00C960B8"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Kapu  M. (2008). Productive failure. Cognition and Instruction, 26(3), 379-424.</w:t>
      </w:r>
    </w:p>
    <w:p w14:paraId="63946161" w14:textId="77777777" w:rsidR="005C0DAC" w:rsidRDefault="00C960B8"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Pyae A. (2024). The Human-AI Handshake Framework: A Bidirectional Approach to Human-AI Co</w:t>
      </w:r>
      <w:r>
        <w:rPr>
          <w:rFonts w:ascii="Times New Roman" w:eastAsia="Times New Roman" w:hAnsi="Times New Roman" w:cs="Times New Roman"/>
          <w:color w:val="1F1F1F"/>
          <w:sz w:val="28"/>
          <w:szCs w:val="28"/>
        </w:rPr>
        <w:t>llaboration. Proceedings of the Forty-Fifth International Conference on Information Systems (ICIS 2024), Bangkok, Thailand.</w:t>
      </w:r>
    </w:p>
    <w:p w14:paraId="4E68B26F" w14:textId="77777777" w:rsidR="005C0DAC" w:rsidRDefault="00C960B8"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Varghese N. N., Jose B., Bindhumol T., Cleetus A., &amp; Nair S. B. (2025). The power duo: Unleashing cognitive potential through human-</w:t>
      </w:r>
      <w:r>
        <w:rPr>
          <w:rFonts w:ascii="Times New Roman" w:eastAsia="Times New Roman" w:hAnsi="Times New Roman" w:cs="Times New Roman"/>
          <w:color w:val="1F1F1F"/>
          <w:sz w:val="28"/>
          <w:szCs w:val="28"/>
        </w:rPr>
        <w:t xml:space="preserve">AI synergy in STEM </w:t>
      </w:r>
      <w:r>
        <w:rPr>
          <w:rFonts w:ascii="Times New Roman" w:eastAsia="Times New Roman" w:hAnsi="Times New Roman" w:cs="Times New Roman"/>
          <w:color w:val="1F1F1F"/>
          <w:sz w:val="28"/>
          <w:szCs w:val="28"/>
        </w:rPr>
        <w:lastRenderedPageBreak/>
        <w:t>and non-STEM education. Frontiers in Education, 10, 1534582.</w:t>
      </w:r>
    </w:p>
    <w:p w14:paraId="21923141" w14:textId="77777777" w:rsidR="005C0DAC" w:rsidRDefault="00C960B8"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Yiğit M. F. (2025). The silent skill erosion: Cognitive offloading in the age of educational AI. Theoretical and Applied Research in Educational Sciences, Duvar, İzmir, 32-43.</w:t>
      </w:r>
    </w:p>
    <w:p w14:paraId="007857CB" w14:textId="77777777" w:rsidR="005C0DAC" w:rsidRDefault="00C960B8"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Yu J., &amp; Liu K. (2024).Reshaping Translation Studies: Paradigm Shifts and Future Directions in the Age of AI Technology. Journal of Foreign Languages, 47(4), 72-81.</w:t>
      </w:r>
    </w:p>
    <w:p w14:paraId="23CCBDAC" w14:textId="77777777" w:rsidR="005C0DAC" w:rsidRDefault="00C960B8"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Zhang J., &amp; Doherty S. (2025). Investigating novice translation students’ AI literacy in tr</w:t>
      </w:r>
      <w:r>
        <w:rPr>
          <w:rFonts w:ascii="Times New Roman" w:eastAsia="Times New Roman" w:hAnsi="Times New Roman" w:cs="Times New Roman"/>
          <w:color w:val="1F1F1F"/>
          <w:sz w:val="28"/>
          <w:szCs w:val="28"/>
        </w:rPr>
        <w:t>anslation education. Interpreter and Translator Trainer, 19(3-4), 234-253.</w:t>
      </w:r>
    </w:p>
    <w:bookmarkEnd w:id="0"/>
    <w:p w14:paraId="0095286F" w14:textId="77777777" w:rsidR="005C0DAC" w:rsidRDefault="005C0DAC"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lang w:val="en-US"/>
        </w:rPr>
      </w:pPr>
    </w:p>
    <w:p w14:paraId="4877AD6D" w14:textId="77777777" w:rsidR="004B2BD4" w:rsidRPr="004B2BD4" w:rsidRDefault="004B2BD4" w:rsidP="004B2BD4">
      <w:pPr>
        <w:pBdr>
          <w:top w:val="nil"/>
          <w:left w:val="nil"/>
          <w:bottom w:val="nil"/>
          <w:right w:val="nil"/>
          <w:between w:val="nil"/>
        </w:pBdr>
        <w:spacing w:before="120"/>
        <w:jc w:val="both"/>
        <w:rPr>
          <w:rFonts w:ascii="Times New Roman" w:eastAsia="Times New Roman" w:hAnsi="Times New Roman" w:cs="Times New Roman"/>
          <w:color w:val="1F1F1F"/>
          <w:sz w:val="28"/>
          <w:szCs w:val="28"/>
          <w:lang w:val="en-US"/>
        </w:rPr>
      </w:pPr>
      <w:r w:rsidRPr="004B2BD4">
        <w:rPr>
          <w:rFonts w:ascii="Times New Roman" w:eastAsia="Times New Roman" w:hAnsi="Times New Roman" w:cs="Times New Roman"/>
          <w:color w:val="1F1F1F"/>
          <w:sz w:val="28"/>
          <w:szCs w:val="28"/>
          <w:lang w:val="en-US"/>
        </w:rPr>
        <w:t>Ngày nhận bài: 10/01/2026</w:t>
      </w:r>
    </w:p>
    <w:p w14:paraId="324508DA" w14:textId="77777777" w:rsidR="004B2BD4" w:rsidRPr="004B2BD4" w:rsidRDefault="004B2BD4" w:rsidP="004B2BD4">
      <w:pPr>
        <w:pBdr>
          <w:top w:val="nil"/>
          <w:left w:val="nil"/>
          <w:bottom w:val="nil"/>
          <w:right w:val="nil"/>
          <w:between w:val="nil"/>
        </w:pBdr>
        <w:spacing w:before="120"/>
        <w:jc w:val="both"/>
        <w:rPr>
          <w:rFonts w:ascii="Times New Roman" w:eastAsia="Times New Roman" w:hAnsi="Times New Roman" w:cs="Times New Roman"/>
          <w:color w:val="1F1F1F"/>
          <w:sz w:val="28"/>
          <w:szCs w:val="28"/>
          <w:lang w:val="en-US"/>
        </w:rPr>
      </w:pPr>
      <w:r w:rsidRPr="004B2BD4">
        <w:rPr>
          <w:rFonts w:ascii="Times New Roman" w:eastAsia="Times New Roman" w:hAnsi="Times New Roman" w:cs="Times New Roman"/>
          <w:color w:val="1F1F1F"/>
          <w:sz w:val="28"/>
          <w:szCs w:val="28"/>
          <w:lang w:val="en-US"/>
        </w:rPr>
        <w:t>Ngày phản biện đánh giá và sửa chữa: 25/01/2026</w:t>
      </w:r>
    </w:p>
    <w:p w14:paraId="11A40E33" w14:textId="1D7151B0" w:rsidR="004B2BD4" w:rsidRPr="00903229" w:rsidRDefault="004B2BD4" w:rsidP="004B2BD4">
      <w:pPr>
        <w:pBdr>
          <w:top w:val="nil"/>
          <w:left w:val="nil"/>
          <w:bottom w:val="nil"/>
          <w:right w:val="nil"/>
          <w:between w:val="nil"/>
        </w:pBdr>
        <w:spacing w:before="120"/>
        <w:jc w:val="both"/>
        <w:rPr>
          <w:rFonts w:ascii="Times New Roman" w:eastAsia="Times New Roman" w:hAnsi="Times New Roman" w:cs="Times New Roman"/>
          <w:color w:val="1F1F1F"/>
          <w:sz w:val="28"/>
          <w:szCs w:val="28"/>
          <w:lang w:val="en-US"/>
        </w:rPr>
      </w:pPr>
      <w:r w:rsidRPr="004B2BD4">
        <w:rPr>
          <w:rFonts w:ascii="Times New Roman" w:eastAsia="Times New Roman" w:hAnsi="Times New Roman" w:cs="Times New Roman"/>
          <w:color w:val="1F1F1F"/>
          <w:sz w:val="28"/>
          <w:szCs w:val="28"/>
          <w:lang w:val="en-US"/>
        </w:rPr>
        <w:t>Ngày chấp nhận đăng bài: 10/02/2026</w:t>
      </w:r>
    </w:p>
    <w:p w14:paraId="753CEB19" w14:textId="77777777" w:rsidR="005C0DAC" w:rsidRDefault="005C0DAC"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bookmarkStart w:id="1" w:name="_heading=h.s2zrhcr9gnw1" w:colFirst="0" w:colLast="0"/>
      <w:bookmarkEnd w:id="1"/>
    </w:p>
    <w:p w14:paraId="52671A2A" w14:textId="77777777" w:rsidR="005C0DAC" w:rsidRDefault="005C0DAC"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p>
    <w:p w14:paraId="5863A302" w14:textId="77777777" w:rsidR="005C0DAC" w:rsidRDefault="005C0DAC"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p>
    <w:p w14:paraId="01717732" w14:textId="23050149" w:rsidR="005C0DAC" w:rsidRDefault="00800695" w:rsidP="00845015">
      <w:pPr>
        <w:pStyle w:val="Heading1"/>
        <w:spacing w:before="120" w:after="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lang w:val="en-US"/>
        </w:rPr>
        <w:t>A</w:t>
      </w:r>
      <w:r>
        <w:rPr>
          <w:rFonts w:ascii="Times New Roman" w:eastAsia="Times New Roman" w:hAnsi="Times New Roman" w:cs="Times New Roman"/>
          <w:color w:val="1F1F1F"/>
          <w:sz w:val="28"/>
          <w:szCs w:val="28"/>
        </w:rPr>
        <w:t xml:space="preserve"> triadic teaching and learning model for interpretation in the era of artificial intelligence</w:t>
      </w:r>
    </w:p>
    <w:p w14:paraId="78F6691D" w14:textId="77777777" w:rsidR="005C0DAC" w:rsidRDefault="00C960B8" w:rsidP="00845015">
      <w:pPr>
        <w:pBdr>
          <w:top w:val="nil"/>
          <w:left w:val="nil"/>
          <w:bottom w:val="nil"/>
          <w:right w:val="nil"/>
          <w:between w:val="nil"/>
        </w:pBdr>
        <w:spacing w:before="12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Luu Cam Hue</w:t>
      </w:r>
    </w:p>
    <w:p w14:paraId="202B8755" w14:textId="120F0E1C" w:rsidR="005C0DAC" w:rsidRDefault="00037C10" w:rsidP="00845015">
      <w:pPr>
        <w:pBdr>
          <w:top w:val="nil"/>
          <w:left w:val="nil"/>
          <w:bottom w:val="nil"/>
          <w:right w:val="nil"/>
          <w:between w:val="nil"/>
        </w:pBdr>
        <w:spacing w:before="120"/>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lang w:val="en-US"/>
        </w:rPr>
        <w:t xml:space="preserve">Faculty of </w:t>
      </w:r>
      <w:r>
        <w:rPr>
          <w:rFonts w:ascii="Times New Roman" w:eastAsia="Times New Roman" w:hAnsi="Times New Roman" w:cs="Times New Roman"/>
          <w:color w:val="1F1F1F"/>
          <w:sz w:val="28"/>
          <w:szCs w:val="28"/>
        </w:rPr>
        <w:t>Foreign Languages</w:t>
      </w:r>
      <w:r>
        <w:rPr>
          <w:rFonts w:ascii="Times New Roman" w:eastAsia="Times New Roman" w:hAnsi="Times New Roman" w:cs="Times New Roman"/>
          <w:color w:val="1F1F1F"/>
          <w:sz w:val="28"/>
          <w:szCs w:val="28"/>
          <w:lang w:val="en-US"/>
        </w:rPr>
        <w:t xml:space="preserve">, </w:t>
      </w:r>
      <w:r>
        <w:rPr>
          <w:rFonts w:ascii="Times New Roman" w:eastAsia="Times New Roman" w:hAnsi="Times New Roman" w:cs="Times New Roman"/>
          <w:color w:val="1F1F1F"/>
          <w:sz w:val="28"/>
          <w:szCs w:val="28"/>
        </w:rPr>
        <w:t xml:space="preserve">Ho Chi Minh City University of Foreign Languages - Information Technology </w:t>
      </w:r>
    </w:p>
    <w:p w14:paraId="40F38864" w14:textId="77777777" w:rsidR="005C0DAC" w:rsidRDefault="00C960B8" w:rsidP="00845015">
      <w:pPr>
        <w:pBdr>
          <w:top w:val="nil"/>
          <w:left w:val="nil"/>
          <w:bottom w:val="nil"/>
          <w:right w:val="nil"/>
          <w:between w:val="nil"/>
        </w:pBdr>
        <w:spacing w:before="12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 xml:space="preserve">Abstract: </w:t>
      </w:r>
    </w:p>
    <w:p w14:paraId="399ED20B" w14:textId="669D11AD" w:rsidR="007B0F12" w:rsidRDefault="007B0F12"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lang w:val="en-US"/>
        </w:rPr>
      </w:pPr>
      <w:r w:rsidRPr="007B0F12">
        <w:rPr>
          <w:rFonts w:ascii="Times New Roman" w:eastAsia="Times New Roman" w:hAnsi="Times New Roman" w:cs="Times New Roman"/>
          <w:color w:val="1F1F1F"/>
          <w:sz w:val="28"/>
          <w:szCs w:val="28"/>
          <w:lang w:val="en-US"/>
        </w:rPr>
        <w:t xml:space="preserve">This study develops and empirically evaluates the effectiveness of a </w:t>
      </w:r>
      <w:r>
        <w:rPr>
          <w:rFonts w:ascii="Times New Roman" w:eastAsia="Times New Roman" w:hAnsi="Times New Roman" w:cs="Times New Roman"/>
          <w:color w:val="1F1F1F"/>
          <w:sz w:val="28"/>
          <w:szCs w:val="28"/>
        </w:rPr>
        <w:t>triadic teaching model</w:t>
      </w:r>
      <w:r>
        <w:rPr>
          <w:rFonts w:ascii="Times New Roman" w:eastAsia="Times New Roman" w:hAnsi="Times New Roman" w:cs="Times New Roman"/>
          <w:color w:val="1F1F1F"/>
          <w:sz w:val="28"/>
          <w:szCs w:val="28"/>
          <w:lang w:val="en-US"/>
        </w:rPr>
        <w:t xml:space="preserve"> -</w:t>
      </w:r>
      <w:r w:rsidRPr="007B0F12">
        <w:rPr>
          <w:rFonts w:ascii="Times New Roman" w:eastAsia="Times New Roman" w:hAnsi="Times New Roman" w:cs="Times New Roman"/>
          <w:color w:val="1F1F1F"/>
          <w:sz w:val="28"/>
          <w:szCs w:val="28"/>
          <w:lang w:val="en-US"/>
        </w:rPr>
        <w:t xml:space="preserve"> </w:t>
      </w:r>
      <w:r>
        <w:rPr>
          <w:rFonts w:ascii="Times New Roman" w:eastAsia="Times New Roman" w:hAnsi="Times New Roman" w:cs="Times New Roman"/>
          <w:color w:val="1F1F1F"/>
          <w:sz w:val="28"/>
          <w:szCs w:val="28"/>
          <w:lang w:val="en-US"/>
        </w:rPr>
        <w:t>“</w:t>
      </w:r>
      <w:r>
        <w:rPr>
          <w:rFonts w:ascii="Times New Roman" w:eastAsia="Times New Roman" w:hAnsi="Times New Roman" w:cs="Times New Roman"/>
          <w:color w:val="1F1F1F"/>
          <w:sz w:val="28"/>
          <w:szCs w:val="28"/>
        </w:rPr>
        <w:t>Instructor-led, AI-supported, Student-autonomous</w:t>
      </w:r>
      <w:r w:rsidRPr="007B0F12">
        <w:rPr>
          <w:rFonts w:ascii="Times New Roman" w:eastAsia="Times New Roman" w:hAnsi="Times New Roman" w:cs="Times New Roman"/>
          <w:color w:val="1F1F1F"/>
          <w:sz w:val="28"/>
          <w:szCs w:val="28"/>
          <w:lang w:val="en-US"/>
        </w:rPr>
        <w:t>”</w:t>
      </w:r>
      <w:r>
        <w:rPr>
          <w:rFonts w:ascii="Times New Roman" w:eastAsia="Times New Roman" w:hAnsi="Times New Roman" w:cs="Times New Roman"/>
          <w:color w:val="1F1F1F"/>
          <w:sz w:val="28"/>
          <w:szCs w:val="28"/>
          <w:lang w:val="en-US"/>
        </w:rPr>
        <w:t xml:space="preserve"> - </w:t>
      </w:r>
      <w:r w:rsidRPr="007B0F12">
        <w:rPr>
          <w:rFonts w:ascii="Times New Roman" w:eastAsia="Times New Roman" w:hAnsi="Times New Roman" w:cs="Times New Roman"/>
          <w:color w:val="1F1F1F"/>
          <w:sz w:val="28"/>
          <w:szCs w:val="28"/>
          <w:lang w:val="en-US"/>
        </w:rPr>
        <w:t>implemented with a sample of 242 third-year Chinese language students at Ho Chi Minh City University of Foreign Languages</w:t>
      </w:r>
      <w:r>
        <w:rPr>
          <w:rFonts w:ascii="Times New Roman" w:eastAsia="Times New Roman" w:hAnsi="Times New Roman" w:cs="Times New Roman"/>
          <w:color w:val="1F1F1F"/>
          <w:sz w:val="28"/>
          <w:szCs w:val="28"/>
          <w:lang w:val="en-US"/>
        </w:rPr>
        <w:t xml:space="preserve"> - </w:t>
      </w:r>
      <w:r w:rsidRPr="007B0F12">
        <w:rPr>
          <w:rFonts w:ascii="Times New Roman" w:eastAsia="Times New Roman" w:hAnsi="Times New Roman" w:cs="Times New Roman"/>
          <w:color w:val="1F1F1F"/>
          <w:sz w:val="28"/>
          <w:szCs w:val="28"/>
          <w:lang w:val="en-US"/>
        </w:rPr>
        <w:t>Information Technology (HUFLIT). Grounded in the theoretical frameworks of cognitive enhancement, desirable difficulty, and digital space separation, the analysis demonstrates that the model yields consistent improvements in academic performance across all participants. Moreover, it functions as an effective cognitive scaffold for students with weaker initial proficiency, supporting differentiated learning outcomes and highlighting its potential to underpin a sustainable, symbiotic learning ecosystem.</w:t>
      </w:r>
    </w:p>
    <w:p w14:paraId="5AD38F4C" w14:textId="04BAF3DB" w:rsidR="005C0DAC" w:rsidRDefault="00C960B8" w:rsidP="00845015">
      <w:pPr>
        <w:pBdr>
          <w:top w:val="nil"/>
          <w:left w:val="nil"/>
          <w:bottom w:val="nil"/>
          <w:right w:val="nil"/>
          <w:between w:val="nil"/>
        </w:pBdr>
        <w:spacing w:before="120"/>
        <w:ind w:left="1335" w:hanging="1335"/>
        <w:jc w:val="both"/>
        <w:rPr>
          <w:rFonts w:ascii="Times New Roman" w:eastAsia="Times New Roman" w:hAnsi="Times New Roman" w:cs="Times New Roman"/>
          <w:color w:val="1F1F1F"/>
          <w:sz w:val="28"/>
          <w:szCs w:val="28"/>
          <w:lang w:val="en-US"/>
        </w:rPr>
      </w:pPr>
      <w:r>
        <w:rPr>
          <w:rFonts w:ascii="Times New Roman" w:eastAsia="Times New Roman" w:hAnsi="Times New Roman" w:cs="Times New Roman"/>
          <w:b/>
          <w:bCs/>
          <w:color w:val="1F1F1F"/>
          <w:sz w:val="28"/>
          <w:szCs w:val="28"/>
        </w:rPr>
        <w:t xml:space="preserve">Keywords: </w:t>
      </w:r>
      <w:r>
        <w:rPr>
          <w:rFonts w:ascii="Times New Roman" w:eastAsia="Times New Roman" w:hAnsi="Times New Roman" w:cs="Times New Roman"/>
          <w:color w:val="1F1F1F"/>
          <w:sz w:val="28"/>
          <w:szCs w:val="28"/>
        </w:rPr>
        <w:t xml:space="preserve">artificial intelligence, triadic teaching model, </w:t>
      </w:r>
      <w:r w:rsidR="00412A19">
        <w:rPr>
          <w:rFonts w:ascii="Times New Roman" w:eastAsia="Times New Roman" w:hAnsi="Times New Roman" w:cs="Times New Roman"/>
          <w:color w:val="1F1F1F"/>
          <w:sz w:val="28"/>
          <w:szCs w:val="28"/>
          <w:lang w:val="en-US"/>
        </w:rPr>
        <w:t xml:space="preserve">Chinese - Vietnamese </w:t>
      </w:r>
      <w:r>
        <w:rPr>
          <w:rFonts w:ascii="Times New Roman" w:eastAsia="Times New Roman" w:hAnsi="Times New Roman" w:cs="Times New Roman"/>
          <w:color w:val="1F1F1F"/>
          <w:sz w:val="28"/>
          <w:szCs w:val="28"/>
        </w:rPr>
        <w:lastRenderedPageBreak/>
        <w:t>interpretation, cognitive augmentation, desirable difficulties.</w:t>
      </w:r>
    </w:p>
    <w:p w14:paraId="3C3EE782" w14:textId="77777777" w:rsidR="00412A19" w:rsidRDefault="00412A19" w:rsidP="00845015">
      <w:pPr>
        <w:pBdr>
          <w:top w:val="nil"/>
          <w:left w:val="nil"/>
          <w:bottom w:val="nil"/>
          <w:right w:val="nil"/>
          <w:between w:val="nil"/>
        </w:pBdr>
        <w:spacing w:before="120"/>
        <w:ind w:left="1335" w:hanging="1335"/>
        <w:jc w:val="both"/>
        <w:rPr>
          <w:rFonts w:ascii="Times New Roman" w:eastAsia="Times New Roman" w:hAnsi="Times New Roman" w:cs="Times New Roman"/>
          <w:color w:val="1F1F1F"/>
          <w:sz w:val="28"/>
          <w:szCs w:val="28"/>
          <w:lang w:val="en-US"/>
        </w:rPr>
      </w:pPr>
    </w:p>
    <w:p w14:paraId="59633D75" w14:textId="77777777" w:rsidR="00412A19" w:rsidRDefault="00412A19" w:rsidP="00845015">
      <w:pPr>
        <w:pBdr>
          <w:top w:val="nil"/>
          <w:left w:val="nil"/>
          <w:bottom w:val="nil"/>
          <w:right w:val="nil"/>
          <w:between w:val="nil"/>
        </w:pBdr>
        <w:spacing w:before="120"/>
        <w:ind w:left="1335" w:hanging="1335"/>
        <w:jc w:val="both"/>
        <w:rPr>
          <w:rFonts w:ascii="Times New Roman" w:eastAsia="Times New Roman" w:hAnsi="Times New Roman" w:cs="Times New Roman"/>
          <w:color w:val="1F1F1F"/>
          <w:sz w:val="28"/>
          <w:szCs w:val="28"/>
          <w:lang w:val="en-US"/>
        </w:rPr>
      </w:pPr>
    </w:p>
    <w:p w14:paraId="012D3FAA" w14:textId="77777777" w:rsidR="005C0DAC" w:rsidRDefault="005C0DAC" w:rsidP="00845015">
      <w:pPr>
        <w:pBdr>
          <w:top w:val="nil"/>
          <w:left w:val="nil"/>
          <w:bottom w:val="nil"/>
          <w:right w:val="nil"/>
          <w:between w:val="nil"/>
        </w:pBdr>
        <w:spacing w:before="120"/>
        <w:jc w:val="both"/>
        <w:rPr>
          <w:rFonts w:ascii="Times New Roman" w:eastAsia="Times New Roman" w:hAnsi="Times New Roman" w:cs="Times New Roman"/>
          <w:color w:val="1F1F1F"/>
          <w:sz w:val="28"/>
          <w:szCs w:val="28"/>
        </w:rPr>
      </w:pPr>
    </w:p>
    <w:sectPr w:rsidR="005C0DAC">
      <w:footerReference w:type="first" r:id="rId9"/>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47128" w14:textId="77777777" w:rsidR="00C960B8" w:rsidRDefault="00C960B8">
      <w:r>
        <w:separator/>
      </w:r>
    </w:p>
  </w:endnote>
  <w:endnote w:type="continuationSeparator" w:id="0">
    <w:p w14:paraId="7B0462C4" w14:textId="77777777" w:rsidR="00C960B8" w:rsidRDefault="00C96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1" w:fontKey="{82193101-3D92-4109-B582-39FBD248545F}"/>
  </w:font>
  <w:font w:name="Tahoma">
    <w:panose1 w:val="020B0604030504040204"/>
    <w:charset w:val="00"/>
    <w:family w:val="swiss"/>
    <w:pitch w:val="variable"/>
    <w:sig w:usb0="E1002EFF" w:usb1="C000605B" w:usb2="00000029" w:usb3="00000000" w:csb0="000101FF" w:csb1="00000000"/>
    <w:embedRegular r:id="rId2" w:fontKey="{F755AF95-5334-40AF-8E3A-C94DB161E787}"/>
  </w:font>
  <w:font w:name="Caudex">
    <w:charset w:val="00"/>
    <w:family w:val="auto"/>
    <w:pitch w:val="default"/>
    <w:embedRegular r:id="rId3" w:fontKey="{39A8EDA8-FA76-4106-97BC-C16E1F7B0B20}"/>
  </w:font>
  <w:font w:name="Calibri">
    <w:panose1 w:val="020F0502020204030204"/>
    <w:charset w:val="00"/>
    <w:family w:val="swiss"/>
    <w:pitch w:val="variable"/>
    <w:sig w:usb0="E10002FF" w:usb1="4000ACFF" w:usb2="00000009" w:usb3="00000000" w:csb0="0000019F" w:csb1="00000000"/>
    <w:embedRegular r:id="rId4" w:fontKey="{734110D0-67EE-4D3E-8FD8-FC1A5F2A61DA}"/>
  </w:font>
  <w:font w:name="Cambria">
    <w:panose1 w:val="02040503050406030204"/>
    <w:charset w:val="00"/>
    <w:family w:val="roman"/>
    <w:pitch w:val="variable"/>
    <w:sig w:usb0="E00002FF" w:usb1="400004FF" w:usb2="00000000" w:usb3="00000000" w:csb0="0000019F" w:csb1="00000000"/>
    <w:embedRegular r:id="rId5" w:fontKey="{4B70C6A7-816D-445F-B2C1-A3F6E28B04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7407D" w14:textId="77777777" w:rsidR="005C0DAC" w:rsidRDefault="005C0DAC">
    <w:pPr>
      <w:widowControl/>
      <w:pBdr>
        <w:top w:val="nil"/>
        <w:left w:val="nil"/>
        <w:bottom w:val="nil"/>
        <w:right w:val="nil"/>
        <w:between w:val="nil"/>
      </w:pBdr>
      <w:tabs>
        <w:tab w:val="left" w:pos="3261"/>
      </w:tabs>
      <w:spacing w:before="120" w:after="280" w:line="288" w:lineRule="auto"/>
      <w:jc w:val="both"/>
      <w:rPr>
        <w:rFonts w:ascii="Times New Roman" w:eastAsia="Times New Roman" w:hAnsi="Times New Roman" w:cs="Times New Roman"/>
        <w:color w:val="000000"/>
      </w:rPr>
    </w:pPr>
  </w:p>
  <w:p w14:paraId="67C1BF71" w14:textId="77777777" w:rsidR="005C0DAC" w:rsidRDefault="005C0DAC">
    <w:pPr>
      <w:pBdr>
        <w:top w:val="nil"/>
        <w:left w:val="nil"/>
        <w:bottom w:val="nil"/>
        <w:right w:val="nil"/>
        <w:between w:val="nil"/>
      </w:pBdr>
      <w:tabs>
        <w:tab w:val="center" w:pos="4153"/>
        <w:tab w:val="right" w:pos="8306"/>
      </w:tabs>
      <w:rPr>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E30D5" w14:textId="77777777" w:rsidR="00C960B8" w:rsidRDefault="00C960B8">
      <w:r>
        <w:separator/>
      </w:r>
    </w:p>
  </w:footnote>
  <w:footnote w:type="continuationSeparator" w:id="0">
    <w:p w14:paraId="002B03F4" w14:textId="77777777" w:rsidR="00C960B8" w:rsidRDefault="00C960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A44564"/>
    <w:multiLevelType w:val="multilevel"/>
    <w:tmpl w:val="0F7690A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nsid w:val="7F385053"/>
    <w:multiLevelType w:val="multilevel"/>
    <w:tmpl w:val="686EB270"/>
    <w:lvl w:ilvl="0">
      <w:start w:val="1"/>
      <w:numFmt w:val="decimal"/>
      <w:lvlText w:val="%1."/>
      <w:lvlJc w:val="left"/>
      <w:pPr>
        <w:ind w:left="360" w:hanging="36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oNotDisplayPageBoundaries/>
  <w:embedTrueTypeFonts/>
  <w:trackRevisio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DAC"/>
    <w:rsid w:val="00037C10"/>
    <w:rsid w:val="002D2113"/>
    <w:rsid w:val="00367123"/>
    <w:rsid w:val="00412A19"/>
    <w:rsid w:val="004B2BD4"/>
    <w:rsid w:val="00517C2E"/>
    <w:rsid w:val="005C0DAC"/>
    <w:rsid w:val="007B0F12"/>
    <w:rsid w:val="00800695"/>
    <w:rsid w:val="00845015"/>
    <w:rsid w:val="00903229"/>
    <w:rsid w:val="00A37639"/>
    <w:rsid w:val="00AB461A"/>
    <w:rsid w:val="00B22884"/>
    <w:rsid w:val="00BB5113"/>
    <w:rsid w:val="00C960B8"/>
    <w:rsid w:val="00E82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B5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link w:val="Heading2Char"/>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character" w:customStyle="1" w:styleId="Heading2Char">
    <w:name w:val="Heading 2 Char"/>
    <w:basedOn w:val="DefaultParagraphFont"/>
    <w:link w:val="Heading2"/>
    <w:uiPriority w:val="9"/>
    <w:rsid w:val="007E70FF"/>
    <w:rPr>
      <w:b/>
      <w:bCs/>
      <w:sz w:val="36"/>
      <w:szCs w:val="36"/>
    </w:rPr>
  </w:style>
  <w:style w:type="paragraph" w:customStyle="1" w:styleId="p1">
    <w:name w:val="p1"/>
    <w:basedOn w:val="Normal"/>
    <w:rsid w:val="000F0D38"/>
    <w:pPr>
      <w:widowControl/>
    </w:pPr>
    <w:rPr>
      <w:rFonts w:ascii="Times New Roman" w:eastAsia="SimSun" w:hAnsi="Times New Roman" w:cs="Times New Roman"/>
      <w:color w:val="000000"/>
      <w:sz w:val="18"/>
      <w:szCs w:val="18"/>
    </w:rPr>
  </w:style>
  <w:style w:type="character" w:customStyle="1" w:styleId="apple-converted-space">
    <w:name w:val="apple-converted-space"/>
    <w:basedOn w:val="DefaultParagraphFont"/>
    <w:rsid w:val="000F0D38"/>
  </w:style>
  <w:style w:type="paragraph" w:styleId="Header">
    <w:name w:val="header"/>
    <w:basedOn w:val="Normal"/>
    <w:link w:val="HeaderChar"/>
    <w:uiPriority w:val="99"/>
    <w:unhideWhenUsed/>
    <w:rsid w:val="00A8469D"/>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8469D"/>
    <w:rPr>
      <w:sz w:val="18"/>
      <w:szCs w:val="18"/>
    </w:rPr>
  </w:style>
  <w:style w:type="paragraph" w:styleId="Footer">
    <w:name w:val="footer"/>
    <w:basedOn w:val="Normal"/>
    <w:link w:val="FooterChar"/>
    <w:uiPriority w:val="99"/>
    <w:unhideWhenUsed/>
    <w:rsid w:val="00A8469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8469D"/>
    <w:rPr>
      <w:sz w:val="18"/>
      <w:szCs w:val="18"/>
    </w:rPr>
  </w:style>
  <w:style w:type="character" w:styleId="FootnoteReference">
    <w:name w:val="footnote reference"/>
    <w:basedOn w:val="DefaultParagraphFont"/>
    <w:uiPriority w:val="99"/>
    <w:semiHidden/>
    <w:unhideWhenUsed/>
    <w:rsid w:val="004C150E"/>
    <w:rPr>
      <w:vertAlign w:val="superscript"/>
    </w:rPr>
  </w:style>
  <w:style w:type="paragraph" w:customStyle="1" w:styleId="footnote">
    <w:name w:val="footnote"/>
    <w:basedOn w:val="FootnoteText"/>
    <w:link w:val="footnoteChar"/>
    <w:qFormat/>
    <w:rsid w:val="004C150E"/>
    <w:pPr>
      <w:widowControl/>
      <w:snapToGrid/>
      <w:spacing w:before="120" w:after="120" w:line="288" w:lineRule="auto"/>
      <w:jc w:val="both"/>
    </w:pPr>
    <w:rPr>
      <w:rFonts w:ascii="Times New Roman" w:eastAsia="SimSun" w:hAnsi="Times New Roman" w:cstheme="minorBidi"/>
      <w:szCs w:val="24"/>
    </w:rPr>
  </w:style>
  <w:style w:type="character" w:customStyle="1" w:styleId="footnoteChar">
    <w:name w:val="footnote Char"/>
    <w:basedOn w:val="FootnoteTextChar"/>
    <w:link w:val="footnote"/>
    <w:rsid w:val="004C150E"/>
    <w:rPr>
      <w:rFonts w:ascii="Times New Roman" w:eastAsia="SimSun" w:hAnsi="Times New Roman" w:cstheme="minorBidi"/>
      <w:sz w:val="18"/>
      <w:szCs w:val="24"/>
    </w:rPr>
  </w:style>
  <w:style w:type="paragraph" w:styleId="FootnoteText">
    <w:name w:val="footnote text"/>
    <w:basedOn w:val="Normal"/>
    <w:link w:val="FootnoteTextChar"/>
    <w:uiPriority w:val="99"/>
    <w:semiHidden/>
    <w:unhideWhenUsed/>
    <w:rsid w:val="004C150E"/>
    <w:pPr>
      <w:snapToGrid w:val="0"/>
    </w:pPr>
    <w:rPr>
      <w:sz w:val="18"/>
      <w:szCs w:val="18"/>
    </w:rPr>
  </w:style>
  <w:style w:type="character" w:customStyle="1" w:styleId="FootnoteTextChar">
    <w:name w:val="Footnote Text Char"/>
    <w:basedOn w:val="DefaultParagraphFont"/>
    <w:link w:val="FootnoteText"/>
    <w:uiPriority w:val="99"/>
    <w:semiHidden/>
    <w:rsid w:val="004C150E"/>
    <w:rPr>
      <w:sz w:val="18"/>
      <w:szCs w:val="18"/>
    </w:rPr>
  </w:style>
  <w:style w:type="character" w:styleId="Hyperlink">
    <w:name w:val="Hyperlink"/>
    <w:basedOn w:val="DefaultParagraphFont"/>
    <w:uiPriority w:val="99"/>
    <w:unhideWhenUsed/>
    <w:rsid w:val="00565C7D"/>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Revision">
    <w:name w:val="Revision"/>
    <w:hidden/>
    <w:uiPriority w:val="99"/>
    <w:semiHidden/>
    <w:rsid w:val="00845015"/>
    <w:pPr>
      <w:widowControl/>
    </w:pPr>
  </w:style>
  <w:style w:type="paragraph" w:styleId="BalloonText">
    <w:name w:val="Balloon Text"/>
    <w:basedOn w:val="Normal"/>
    <w:link w:val="BalloonTextChar"/>
    <w:uiPriority w:val="99"/>
    <w:semiHidden/>
    <w:unhideWhenUsed/>
    <w:rsid w:val="00903229"/>
    <w:rPr>
      <w:rFonts w:ascii="Tahoma" w:hAnsi="Tahoma" w:cs="Tahoma"/>
      <w:sz w:val="16"/>
      <w:szCs w:val="16"/>
    </w:rPr>
  </w:style>
  <w:style w:type="character" w:customStyle="1" w:styleId="BalloonTextChar">
    <w:name w:val="Balloon Text Char"/>
    <w:basedOn w:val="DefaultParagraphFont"/>
    <w:link w:val="BalloonText"/>
    <w:uiPriority w:val="99"/>
    <w:semiHidden/>
    <w:rsid w:val="009032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link w:val="Heading2Char"/>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character" w:customStyle="1" w:styleId="Heading2Char">
    <w:name w:val="Heading 2 Char"/>
    <w:basedOn w:val="DefaultParagraphFont"/>
    <w:link w:val="Heading2"/>
    <w:uiPriority w:val="9"/>
    <w:rsid w:val="007E70FF"/>
    <w:rPr>
      <w:b/>
      <w:bCs/>
      <w:sz w:val="36"/>
      <w:szCs w:val="36"/>
    </w:rPr>
  </w:style>
  <w:style w:type="paragraph" w:customStyle="1" w:styleId="p1">
    <w:name w:val="p1"/>
    <w:basedOn w:val="Normal"/>
    <w:rsid w:val="000F0D38"/>
    <w:pPr>
      <w:widowControl/>
    </w:pPr>
    <w:rPr>
      <w:rFonts w:ascii="Times New Roman" w:eastAsia="SimSun" w:hAnsi="Times New Roman" w:cs="Times New Roman"/>
      <w:color w:val="000000"/>
      <w:sz w:val="18"/>
      <w:szCs w:val="18"/>
    </w:rPr>
  </w:style>
  <w:style w:type="character" w:customStyle="1" w:styleId="apple-converted-space">
    <w:name w:val="apple-converted-space"/>
    <w:basedOn w:val="DefaultParagraphFont"/>
    <w:rsid w:val="000F0D38"/>
  </w:style>
  <w:style w:type="paragraph" w:styleId="Header">
    <w:name w:val="header"/>
    <w:basedOn w:val="Normal"/>
    <w:link w:val="HeaderChar"/>
    <w:uiPriority w:val="99"/>
    <w:unhideWhenUsed/>
    <w:rsid w:val="00A8469D"/>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8469D"/>
    <w:rPr>
      <w:sz w:val="18"/>
      <w:szCs w:val="18"/>
    </w:rPr>
  </w:style>
  <w:style w:type="paragraph" w:styleId="Footer">
    <w:name w:val="footer"/>
    <w:basedOn w:val="Normal"/>
    <w:link w:val="FooterChar"/>
    <w:uiPriority w:val="99"/>
    <w:unhideWhenUsed/>
    <w:rsid w:val="00A8469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8469D"/>
    <w:rPr>
      <w:sz w:val="18"/>
      <w:szCs w:val="18"/>
    </w:rPr>
  </w:style>
  <w:style w:type="character" w:styleId="FootnoteReference">
    <w:name w:val="footnote reference"/>
    <w:basedOn w:val="DefaultParagraphFont"/>
    <w:uiPriority w:val="99"/>
    <w:semiHidden/>
    <w:unhideWhenUsed/>
    <w:rsid w:val="004C150E"/>
    <w:rPr>
      <w:vertAlign w:val="superscript"/>
    </w:rPr>
  </w:style>
  <w:style w:type="paragraph" w:customStyle="1" w:styleId="footnote">
    <w:name w:val="footnote"/>
    <w:basedOn w:val="FootnoteText"/>
    <w:link w:val="footnoteChar"/>
    <w:qFormat/>
    <w:rsid w:val="004C150E"/>
    <w:pPr>
      <w:widowControl/>
      <w:snapToGrid/>
      <w:spacing w:before="120" w:after="120" w:line="288" w:lineRule="auto"/>
      <w:jc w:val="both"/>
    </w:pPr>
    <w:rPr>
      <w:rFonts w:ascii="Times New Roman" w:eastAsia="SimSun" w:hAnsi="Times New Roman" w:cstheme="minorBidi"/>
      <w:szCs w:val="24"/>
    </w:rPr>
  </w:style>
  <w:style w:type="character" w:customStyle="1" w:styleId="footnoteChar">
    <w:name w:val="footnote Char"/>
    <w:basedOn w:val="FootnoteTextChar"/>
    <w:link w:val="footnote"/>
    <w:rsid w:val="004C150E"/>
    <w:rPr>
      <w:rFonts w:ascii="Times New Roman" w:eastAsia="SimSun" w:hAnsi="Times New Roman" w:cstheme="minorBidi"/>
      <w:sz w:val="18"/>
      <w:szCs w:val="24"/>
    </w:rPr>
  </w:style>
  <w:style w:type="paragraph" w:styleId="FootnoteText">
    <w:name w:val="footnote text"/>
    <w:basedOn w:val="Normal"/>
    <w:link w:val="FootnoteTextChar"/>
    <w:uiPriority w:val="99"/>
    <w:semiHidden/>
    <w:unhideWhenUsed/>
    <w:rsid w:val="004C150E"/>
    <w:pPr>
      <w:snapToGrid w:val="0"/>
    </w:pPr>
    <w:rPr>
      <w:sz w:val="18"/>
      <w:szCs w:val="18"/>
    </w:rPr>
  </w:style>
  <w:style w:type="character" w:customStyle="1" w:styleId="FootnoteTextChar">
    <w:name w:val="Footnote Text Char"/>
    <w:basedOn w:val="DefaultParagraphFont"/>
    <w:link w:val="FootnoteText"/>
    <w:uiPriority w:val="99"/>
    <w:semiHidden/>
    <w:rsid w:val="004C150E"/>
    <w:rPr>
      <w:sz w:val="18"/>
      <w:szCs w:val="18"/>
    </w:rPr>
  </w:style>
  <w:style w:type="character" w:styleId="Hyperlink">
    <w:name w:val="Hyperlink"/>
    <w:basedOn w:val="DefaultParagraphFont"/>
    <w:uiPriority w:val="99"/>
    <w:unhideWhenUsed/>
    <w:rsid w:val="00565C7D"/>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Revision">
    <w:name w:val="Revision"/>
    <w:hidden/>
    <w:uiPriority w:val="99"/>
    <w:semiHidden/>
    <w:rsid w:val="00845015"/>
    <w:pPr>
      <w:widowControl/>
    </w:pPr>
  </w:style>
  <w:style w:type="paragraph" w:styleId="BalloonText">
    <w:name w:val="Balloon Text"/>
    <w:basedOn w:val="Normal"/>
    <w:link w:val="BalloonTextChar"/>
    <w:uiPriority w:val="99"/>
    <w:semiHidden/>
    <w:unhideWhenUsed/>
    <w:rsid w:val="00903229"/>
    <w:rPr>
      <w:rFonts w:ascii="Tahoma" w:hAnsi="Tahoma" w:cs="Tahoma"/>
      <w:sz w:val="16"/>
      <w:szCs w:val="16"/>
    </w:rPr>
  </w:style>
  <w:style w:type="character" w:customStyle="1" w:styleId="BalloonTextChar">
    <w:name w:val="Balloon Text Char"/>
    <w:basedOn w:val="DefaultParagraphFont"/>
    <w:link w:val="BalloonText"/>
    <w:uiPriority w:val="99"/>
    <w:semiHidden/>
    <w:rsid w:val="009032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10A8RY2TvPt8f3rEq8R1PUCFlg==">CgMxLjAaJAoBMBIfCh0IB0IZCg9UaW1lcyBOZXcgUm9tYW4SBkNhdWRleDIOaC5zMnpyaGNyOWdudzE4AHIhMUxLV2JYeDlzVmd3aGhTM2VqcUpoSmF4bnhlRzI0ZF81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3174</Words>
  <Characters>18097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admin12</dc:creator>
  <cp:lastModifiedBy>admin12</cp:lastModifiedBy>
  <cp:revision>11</cp:revision>
  <dcterms:created xsi:type="dcterms:W3CDTF">2026-03-27T03:53:00Z</dcterms:created>
  <dcterms:modified xsi:type="dcterms:W3CDTF">2026-04-21T05:45:00Z</dcterms:modified>
</cp:coreProperties>
</file>