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1CA55C5" w14:textId="60D6CD58" w:rsidR="00936BBF" w:rsidRPr="000A26D0" w:rsidRDefault="001A7DF5" w:rsidP="000A26D0">
      <w:pPr>
        <w:spacing w:before="120" w:after="0" w:line="280" w:lineRule="exact"/>
        <w:jc w:val="center"/>
        <w:rPr>
          <w:rFonts w:ascii="Times New Roman" w:hAnsi="Times New Roman"/>
          <w:b/>
          <w:bCs/>
          <w:color w:val="000000" w:themeColor="text1"/>
          <w:sz w:val="26"/>
          <w:szCs w:val="26"/>
        </w:rPr>
      </w:pPr>
      <w:r w:rsidRPr="000A26D0">
        <w:rPr>
          <w:rFonts w:ascii="Times New Roman" w:hAnsi="Times New Roman"/>
          <w:b/>
          <w:bCs/>
          <w:color w:val="000000" w:themeColor="text1"/>
          <w:sz w:val="26"/>
          <w:szCs w:val="26"/>
        </w:rPr>
        <w:t>Q</w:t>
      </w:r>
      <w:r w:rsidR="00000000" w:rsidRPr="000A26D0">
        <w:rPr>
          <w:rFonts w:ascii="Times New Roman" w:hAnsi="Times New Roman"/>
          <w:b/>
          <w:bCs/>
          <w:color w:val="000000" w:themeColor="text1"/>
          <w:sz w:val="26"/>
          <w:szCs w:val="26"/>
        </w:rPr>
        <w:t>uản lý nợ thuế trong bối cảnh chuyển đổi số: Tiếp cận quản lý rủi ro, kinh nghiệm quốc tế và hàm ý cho Việt Nam</w:t>
      </w:r>
    </w:p>
    <w:p w14:paraId="3A493491" w14:textId="77777777" w:rsidR="00936BBF" w:rsidRPr="000A26D0" w:rsidRDefault="00000000" w:rsidP="000A26D0">
      <w:pPr>
        <w:spacing w:before="120" w:after="0" w:line="280" w:lineRule="exact"/>
        <w:ind w:left="3600" w:firstLine="720"/>
        <w:jc w:val="right"/>
        <w:rPr>
          <w:rFonts w:ascii="Times New Roman" w:hAnsi="Times New Roman"/>
          <w:b/>
          <w:color w:val="000000" w:themeColor="text1"/>
          <w:sz w:val="26"/>
          <w:szCs w:val="26"/>
        </w:rPr>
      </w:pPr>
      <w:r w:rsidRPr="000A26D0">
        <w:rPr>
          <w:rFonts w:ascii="Times New Roman" w:hAnsi="Times New Roman"/>
          <w:b/>
          <w:color w:val="000000" w:themeColor="text1"/>
          <w:sz w:val="26"/>
          <w:szCs w:val="26"/>
        </w:rPr>
        <w:t>Trương Thị Thảo</w:t>
      </w:r>
    </w:p>
    <w:p w14:paraId="25727BE3" w14:textId="77777777" w:rsidR="00936BBF" w:rsidRPr="000A26D0" w:rsidRDefault="00000000" w:rsidP="000A26D0">
      <w:pPr>
        <w:spacing w:before="120" w:after="0" w:line="280" w:lineRule="exact"/>
        <w:ind w:left="3600" w:firstLine="720"/>
        <w:jc w:val="right"/>
        <w:rPr>
          <w:rFonts w:ascii="Times New Roman" w:hAnsi="Times New Roman"/>
          <w:color w:val="000000" w:themeColor="text1"/>
          <w:sz w:val="26"/>
          <w:szCs w:val="26"/>
        </w:rPr>
      </w:pPr>
      <w:r w:rsidRPr="000A26D0">
        <w:rPr>
          <w:rFonts w:ascii="Times New Roman" w:hAnsi="Times New Roman"/>
          <w:color w:val="000000" w:themeColor="text1"/>
          <w:sz w:val="26"/>
          <w:szCs w:val="26"/>
        </w:rPr>
        <w:t>Khoa Tài chính Ngân hàng và Bảo hiểm</w:t>
      </w:r>
    </w:p>
    <w:p w14:paraId="34078BCE" w14:textId="77777777" w:rsidR="00936BBF" w:rsidRPr="000A26D0" w:rsidRDefault="00000000" w:rsidP="000A26D0">
      <w:pPr>
        <w:spacing w:before="120" w:after="0" w:line="280" w:lineRule="exact"/>
        <w:ind w:left="3600" w:firstLine="720"/>
        <w:jc w:val="right"/>
        <w:rPr>
          <w:rFonts w:ascii="Times New Roman" w:hAnsi="Times New Roman"/>
          <w:color w:val="000000" w:themeColor="text1"/>
          <w:sz w:val="28"/>
          <w:szCs w:val="26"/>
        </w:rPr>
      </w:pPr>
      <w:r w:rsidRPr="000A26D0">
        <w:rPr>
          <w:rFonts w:ascii="Times New Roman" w:hAnsi="Times New Roman"/>
          <w:color w:val="000000" w:themeColor="text1"/>
          <w:sz w:val="26"/>
          <w:szCs w:val="26"/>
        </w:rPr>
        <w:t>Trường Đại học Kinh tế - Kỹ thuật Công nghiệp</w:t>
      </w:r>
    </w:p>
    <w:p w14:paraId="208B3D99" w14:textId="77777777" w:rsidR="00936BBF" w:rsidRPr="000A26D0" w:rsidRDefault="00000000" w:rsidP="000A26D0">
      <w:pPr>
        <w:spacing w:before="120" w:after="0" w:line="280" w:lineRule="exact"/>
        <w:ind w:left="3600" w:firstLine="720"/>
        <w:jc w:val="right"/>
        <w:rPr>
          <w:rFonts w:ascii="Times New Roman" w:hAnsi="Times New Roman"/>
          <w:color w:val="000000" w:themeColor="text1"/>
          <w:sz w:val="26"/>
          <w:szCs w:val="26"/>
        </w:rPr>
      </w:pPr>
      <w:r w:rsidRPr="000A26D0">
        <w:rPr>
          <w:rFonts w:ascii="Times New Roman" w:hAnsi="Times New Roman"/>
          <w:color w:val="000000" w:themeColor="text1"/>
          <w:sz w:val="26"/>
          <w:szCs w:val="26"/>
        </w:rPr>
        <w:t>Email: ttthao@uneti.edu.vn</w:t>
      </w:r>
    </w:p>
    <w:p w14:paraId="18C6CF4E" w14:textId="77777777" w:rsidR="00936BBF" w:rsidRPr="000A26D0" w:rsidRDefault="00936BBF" w:rsidP="000A26D0">
      <w:pPr>
        <w:spacing w:before="120" w:after="0" w:line="280" w:lineRule="exact"/>
        <w:jc w:val="both"/>
        <w:rPr>
          <w:rFonts w:ascii="Times New Roman" w:hAnsi="Times New Roman"/>
          <w:bCs/>
          <w:color w:val="000000" w:themeColor="text1"/>
          <w:sz w:val="26"/>
          <w:szCs w:val="26"/>
        </w:rPr>
      </w:pPr>
    </w:p>
    <w:p w14:paraId="1E0BAA12" w14:textId="77777777" w:rsidR="00936BBF" w:rsidRPr="000A26D0" w:rsidRDefault="00936BBF" w:rsidP="000A26D0">
      <w:pPr>
        <w:spacing w:before="120" w:after="0" w:line="280" w:lineRule="exact"/>
        <w:jc w:val="both"/>
        <w:rPr>
          <w:rFonts w:ascii="Times New Roman" w:hAnsi="Times New Roman"/>
          <w:b/>
          <w:color w:val="000000" w:themeColor="text1"/>
          <w:sz w:val="26"/>
          <w:szCs w:val="26"/>
        </w:rPr>
      </w:pPr>
    </w:p>
    <w:p w14:paraId="408839FF" w14:textId="77777777" w:rsidR="00936BBF" w:rsidRPr="000A26D0" w:rsidRDefault="00000000" w:rsidP="000A26D0">
      <w:pPr>
        <w:spacing w:before="120" w:after="0" w:line="280" w:lineRule="exact"/>
        <w:jc w:val="both"/>
        <w:rPr>
          <w:rFonts w:ascii="Times New Roman" w:hAnsi="Times New Roman"/>
          <w:b/>
          <w:color w:val="000000" w:themeColor="text1"/>
          <w:sz w:val="26"/>
          <w:szCs w:val="26"/>
        </w:rPr>
      </w:pPr>
      <w:r w:rsidRPr="000A26D0">
        <w:rPr>
          <w:rFonts w:ascii="Times New Roman" w:hAnsi="Times New Roman"/>
          <w:b/>
          <w:color w:val="000000" w:themeColor="text1"/>
          <w:sz w:val="26"/>
          <w:szCs w:val="26"/>
        </w:rPr>
        <w:t>Tóm tắt</w:t>
      </w:r>
    </w:p>
    <w:p w14:paraId="4525D416" w14:textId="2B909458" w:rsidR="00936BBF" w:rsidRPr="000A26D0" w:rsidRDefault="00000000" w:rsidP="000A26D0">
      <w:pPr>
        <w:spacing w:after="100" w:line="293" w:lineRule="auto"/>
        <w:jc w:val="both"/>
        <w:rPr>
          <w:rFonts w:ascii="Times New Roman" w:hAnsi="Times New Roman"/>
          <w:color w:val="000000" w:themeColor="text1"/>
          <w:sz w:val="24"/>
          <w:szCs w:val="24"/>
          <w:lang w:eastAsia="en-US"/>
        </w:rPr>
      </w:pPr>
      <w:r w:rsidRPr="000A26D0">
        <w:rPr>
          <w:rFonts w:ascii="Times New Roman" w:hAnsi="Times New Roman"/>
          <w:color w:val="000000" w:themeColor="text1"/>
          <w:sz w:val="24"/>
          <w:szCs w:val="24"/>
          <w:lang w:eastAsia="en-US"/>
        </w:rPr>
        <w:t>Bài viết phân tích quản lý nợ thuế tại Việt Nam giai đoạn 2020</w:t>
      </w:r>
      <w:r w:rsidR="00116550" w:rsidRPr="000A26D0">
        <w:rPr>
          <w:rFonts w:ascii="Times New Roman" w:hAnsi="Times New Roman"/>
          <w:color w:val="000000" w:themeColor="text1"/>
          <w:sz w:val="24"/>
          <w:szCs w:val="24"/>
          <w:lang w:eastAsia="en-US"/>
        </w:rPr>
        <w:t>-</w:t>
      </w:r>
      <w:r w:rsidRPr="000A26D0">
        <w:rPr>
          <w:rFonts w:ascii="Times New Roman" w:hAnsi="Times New Roman"/>
          <w:color w:val="000000" w:themeColor="text1"/>
          <w:sz w:val="24"/>
          <w:szCs w:val="24"/>
          <w:lang w:eastAsia="en-US"/>
        </w:rPr>
        <w:t>2025 trong bối cảnh chuyển đổi số, dựa trên tổng hợp tài liệu, thống kê mô tả, phân tích kịch bản cảnh báo năm 2026 và nghiên cứu trường hợp Singapore, Australia, Vương quốc Anh. Kết quả cho thấy quy mô nợ thuế tăng, trong khi tỷ lệ nợ trên thu biến động theo cả dư nợ và số thu. Kinh nghiệm quốc tế nhấn mạnh số hóa tương tác và thanh toán, lựa chọn can thiệp dựa trên dữ liệu, phân loại nợ và hỗ trợ người nộp thuế theo tình trạng thanh toán. Nghiên cứu đề xuất chuyển trọng tâm từ theo dõi dư nợ cuối kỳ sang quản lý dòng phát sinh nợ, cảnh báo sớm, phân loại theo khả năng thu hồi và công bố chỉ tiêu hiệu quả. Phân tích năm 2026 chỉ mang tính kịch bản có điều kiện, không phải dự báo được hiệu chỉnh bằng mô hình kinh tế lượng.</w:t>
      </w:r>
    </w:p>
    <w:p w14:paraId="574631C6" w14:textId="77603ABF" w:rsidR="00936BBF" w:rsidRPr="000A26D0" w:rsidRDefault="00000000" w:rsidP="000A26D0">
      <w:pPr>
        <w:spacing w:after="100" w:line="293" w:lineRule="auto"/>
        <w:jc w:val="both"/>
        <w:rPr>
          <w:rFonts w:ascii="Times New Roman" w:hAnsi="Times New Roman"/>
          <w:b/>
          <w:color w:val="000000" w:themeColor="text1"/>
          <w:sz w:val="24"/>
          <w:szCs w:val="24"/>
        </w:rPr>
      </w:pPr>
      <w:r w:rsidRPr="000A26D0">
        <w:rPr>
          <w:rFonts w:ascii="Times New Roman" w:hAnsi="Times New Roman"/>
          <w:color w:val="000000" w:themeColor="text1"/>
          <w:sz w:val="24"/>
          <w:szCs w:val="24"/>
          <w:lang w:eastAsia="en-US"/>
        </w:rPr>
        <w:t>Từ khóa: quản lý nợ thuế</w:t>
      </w:r>
      <w:r w:rsidR="0068714E" w:rsidRPr="000A26D0">
        <w:rPr>
          <w:rFonts w:ascii="Times New Roman" w:hAnsi="Times New Roman"/>
          <w:color w:val="000000" w:themeColor="text1"/>
          <w:sz w:val="24"/>
          <w:szCs w:val="24"/>
          <w:lang w:eastAsia="en-US"/>
        </w:rPr>
        <w:t>,</w:t>
      </w:r>
      <w:r w:rsidRPr="000A26D0">
        <w:rPr>
          <w:rFonts w:ascii="Times New Roman" w:hAnsi="Times New Roman"/>
          <w:color w:val="000000" w:themeColor="text1"/>
          <w:sz w:val="24"/>
          <w:szCs w:val="24"/>
          <w:lang w:eastAsia="en-US"/>
        </w:rPr>
        <w:t xml:space="preserve"> chuyển đổi số</w:t>
      </w:r>
      <w:r w:rsidR="0068714E" w:rsidRPr="000A26D0">
        <w:rPr>
          <w:rFonts w:ascii="Times New Roman" w:hAnsi="Times New Roman"/>
          <w:color w:val="000000" w:themeColor="text1"/>
          <w:sz w:val="24"/>
          <w:szCs w:val="24"/>
          <w:lang w:eastAsia="en-US"/>
        </w:rPr>
        <w:t>,</w:t>
      </w:r>
      <w:r w:rsidRPr="000A26D0">
        <w:rPr>
          <w:rFonts w:ascii="Times New Roman" w:hAnsi="Times New Roman"/>
          <w:color w:val="000000" w:themeColor="text1"/>
          <w:sz w:val="24"/>
          <w:szCs w:val="24"/>
          <w:lang w:eastAsia="en-US"/>
        </w:rPr>
        <w:t xml:space="preserve"> quản lý rủi ro</w:t>
      </w:r>
      <w:r w:rsidR="0068714E" w:rsidRPr="000A26D0">
        <w:rPr>
          <w:rFonts w:ascii="Times New Roman" w:hAnsi="Times New Roman"/>
          <w:color w:val="000000" w:themeColor="text1"/>
          <w:sz w:val="24"/>
          <w:szCs w:val="24"/>
          <w:lang w:eastAsia="en-US"/>
        </w:rPr>
        <w:t>,</w:t>
      </w:r>
      <w:r w:rsidRPr="000A26D0">
        <w:rPr>
          <w:rFonts w:ascii="Times New Roman" w:hAnsi="Times New Roman"/>
          <w:color w:val="000000" w:themeColor="text1"/>
          <w:sz w:val="24"/>
          <w:szCs w:val="24"/>
          <w:lang w:eastAsia="en-US"/>
        </w:rPr>
        <w:t xml:space="preserve"> kinh nghiệm quốc tế</w:t>
      </w:r>
      <w:r w:rsidR="0068714E" w:rsidRPr="000A26D0">
        <w:rPr>
          <w:rFonts w:ascii="Times New Roman" w:hAnsi="Times New Roman"/>
          <w:color w:val="000000" w:themeColor="text1"/>
          <w:sz w:val="24"/>
          <w:szCs w:val="24"/>
          <w:lang w:eastAsia="en-US"/>
        </w:rPr>
        <w:t>,</w:t>
      </w:r>
      <w:r w:rsidRPr="000A26D0">
        <w:rPr>
          <w:rFonts w:ascii="Times New Roman" w:hAnsi="Times New Roman"/>
          <w:color w:val="000000" w:themeColor="text1"/>
          <w:sz w:val="24"/>
          <w:szCs w:val="24"/>
          <w:lang w:eastAsia="en-US"/>
        </w:rPr>
        <w:t xml:space="preserve"> cảnh báo sớm</w:t>
      </w:r>
    </w:p>
    <w:p w14:paraId="5D0223C0" w14:textId="77777777" w:rsidR="00544CD7" w:rsidRPr="000A26D0" w:rsidRDefault="00544CD7">
      <w:pPr>
        <w:spacing w:before="120" w:after="0" w:line="280" w:lineRule="exact"/>
        <w:jc w:val="both"/>
        <w:rPr>
          <w:rFonts w:ascii="Times New Roman" w:hAnsi="Times New Roman"/>
          <w:b/>
          <w:bCs/>
          <w:color w:val="000000" w:themeColor="text1"/>
          <w:sz w:val="26"/>
          <w:szCs w:val="26"/>
        </w:rPr>
      </w:pPr>
    </w:p>
    <w:p w14:paraId="5C99F263" w14:textId="77777777" w:rsidR="00544CD7" w:rsidRPr="000A26D0" w:rsidRDefault="00544CD7" w:rsidP="00544CD7">
      <w:pPr>
        <w:spacing w:before="120" w:after="0" w:line="280" w:lineRule="exact"/>
        <w:jc w:val="both"/>
        <w:rPr>
          <w:rFonts w:ascii="Times New Roman" w:hAnsi="Times New Roman"/>
          <w:b/>
          <w:bCs/>
          <w:color w:val="000000" w:themeColor="text1"/>
          <w:sz w:val="26"/>
          <w:szCs w:val="26"/>
        </w:rPr>
      </w:pPr>
      <w:r w:rsidRPr="000A26D0">
        <w:rPr>
          <w:rFonts w:ascii="Times New Roman" w:hAnsi="Times New Roman"/>
          <w:b/>
          <w:bCs/>
          <w:color w:val="000000" w:themeColor="text1"/>
          <w:sz w:val="26"/>
          <w:szCs w:val="26"/>
        </w:rPr>
        <w:t>Tax Debt Management in the Context of Digital Transformation: A Risk Management Approach, International Experience, and Implications for Vietnam</w:t>
      </w:r>
    </w:p>
    <w:p w14:paraId="18F4B993" w14:textId="77777777" w:rsidR="00544CD7" w:rsidRPr="000A26D0" w:rsidRDefault="00544CD7" w:rsidP="00544CD7">
      <w:pPr>
        <w:spacing w:before="120" w:after="0" w:line="280" w:lineRule="exact"/>
        <w:jc w:val="both"/>
        <w:rPr>
          <w:rFonts w:ascii="Times New Roman" w:hAnsi="Times New Roman"/>
          <w:b/>
          <w:bCs/>
          <w:color w:val="000000" w:themeColor="text1"/>
          <w:sz w:val="26"/>
          <w:szCs w:val="26"/>
        </w:rPr>
      </w:pPr>
      <w:r w:rsidRPr="000A26D0">
        <w:rPr>
          <w:rFonts w:ascii="Times New Roman" w:hAnsi="Times New Roman"/>
          <w:b/>
          <w:bCs/>
          <w:color w:val="000000" w:themeColor="text1"/>
          <w:sz w:val="26"/>
          <w:szCs w:val="26"/>
        </w:rPr>
        <w:t>Truong Thi Thao</w:t>
      </w:r>
      <w:r w:rsidRPr="000A26D0">
        <w:rPr>
          <w:rFonts w:ascii="Times New Roman" w:hAnsi="Times New Roman"/>
          <w:b/>
          <w:bCs/>
          <w:color w:val="000000" w:themeColor="text1"/>
          <w:sz w:val="26"/>
          <w:szCs w:val="26"/>
        </w:rPr>
        <w:br/>
        <w:t>Faculty of Finance, Banking and Insurance</w:t>
      </w:r>
      <w:r w:rsidRPr="000A26D0">
        <w:rPr>
          <w:rFonts w:ascii="Times New Roman" w:hAnsi="Times New Roman"/>
          <w:b/>
          <w:bCs/>
          <w:color w:val="000000" w:themeColor="text1"/>
          <w:sz w:val="26"/>
          <w:szCs w:val="26"/>
        </w:rPr>
        <w:br/>
        <w:t>University of Economics – Technology for Industries</w:t>
      </w:r>
      <w:r w:rsidRPr="000A26D0">
        <w:rPr>
          <w:rFonts w:ascii="Times New Roman" w:hAnsi="Times New Roman"/>
          <w:b/>
          <w:bCs/>
          <w:color w:val="000000" w:themeColor="text1"/>
          <w:sz w:val="26"/>
          <w:szCs w:val="26"/>
        </w:rPr>
        <w:br/>
        <w:t xml:space="preserve">Email: </w:t>
      </w:r>
      <w:hyperlink r:id="rId7" w:history="1">
        <w:r w:rsidRPr="000A26D0">
          <w:rPr>
            <w:rStyle w:val="Hyperlink"/>
            <w:rFonts w:ascii="Times New Roman" w:hAnsi="Times New Roman"/>
            <w:b/>
            <w:bCs/>
            <w:color w:val="000000" w:themeColor="text1"/>
            <w:sz w:val="26"/>
            <w:szCs w:val="26"/>
          </w:rPr>
          <w:t>ttthao@uneti.edu.vn</w:t>
        </w:r>
      </w:hyperlink>
    </w:p>
    <w:p w14:paraId="5E27331D" w14:textId="77777777" w:rsidR="00544CD7" w:rsidRPr="000A26D0" w:rsidRDefault="00544CD7">
      <w:pPr>
        <w:spacing w:before="120" w:after="0" w:line="280" w:lineRule="exact"/>
        <w:jc w:val="both"/>
        <w:rPr>
          <w:rFonts w:ascii="Times New Roman" w:hAnsi="Times New Roman"/>
          <w:b/>
          <w:bCs/>
          <w:color w:val="000000" w:themeColor="text1"/>
          <w:sz w:val="26"/>
          <w:szCs w:val="26"/>
        </w:rPr>
      </w:pPr>
    </w:p>
    <w:p w14:paraId="2F62AA41" w14:textId="36225517" w:rsidR="00936BBF" w:rsidRPr="000A26D0" w:rsidRDefault="00000000" w:rsidP="000A26D0">
      <w:pPr>
        <w:spacing w:before="120" w:after="0" w:line="280" w:lineRule="exact"/>
        <w:jc w:val="both"/>
        <w:rPr>
          <w:rFonts w:ascii="Times New Roman" w:hAnsi="Times New Roman"/>
          <w:b/>
          <w:bCs/>
          <w:color w:val="000000" w:themeColor="text1"/>
          <w:sz w:val="26"/>
          <w:szCs w:val="26"/>
        </w:rPr>
      </w:pPr>
      <w:r w:rsidRPr="000A26D0">
        <w:rPr>
          <w:rFonts w:ascii="Times New Roman" w:hAnsi="Times New Roman"/>
          <w:b/>
          <w:bCs/>
          <w:color w:val="000000" w:themeColor="text1"/>
          <w:sz w:val="26"/>
          <w:szCs w:val="26"/>
        </w:rPr>
        <w:t>Abstract</w:t>
      </w:r>
    </w:p>
    <w:p w14:paraId="772A55B4" w14:textId="2B9CDB48" w:rsidR="00936BBF" w:rsidRPr="000A26D0" w:rsidRDefault="00000000">
      <w:pPr>
        <w:spacing w:before="120" w:after="0" w:line="280" w:lineRule="exact"/>
        <w:jc w:val="both"/>
        <w:rPr>
          <w:rFonts w:ascii="Times New Roman" w:hAnsi="Times New Roman"/>
          <w:bCs/>
          <w:color w:val="000000" w:themeColor="text1"/>
          <w:sz w:val="26"/>
          <w:szCs w:val="26"/>
        </w:rPr>
      </w:pPr>
      <w:r w:rsidRPr="000A26D0">
        <w:rPr>
          <w:rFonts w:ascii="Times New Roman" w:hAnsi="Times New Roman"/>
          <w:bCs/>
          <w:color w:val="000000" w:themeColor="text1"/>
          <w:sz w:val="26"/>
          <w:szCs w:val="26"/>
        </w:rPr>
        <w:t xml:space="preserve">This </w:t>
      </w:r>
      <w:r w:rsidR="00AF527A" w:rsidRPr="000A26D0">
        <w:rPr>
          <w:rFonts w:ascii="Times New Roman" w:hAnsi="Times New Roman"/>
          <w:bCs/>
          <w:color w:val="000000" w:themeColor="text1"/>
          <w:sz w:val="26"/>
          <w:szCs w:val="26"/>
        </w:rPr>
        <w:t>study</w:t>
      </w:r>
      <w:r w:rsidRPr="000A26D0">
        <w:rPr>
          <w:rFonts w:ascii="Times New Roman" w:hAnsi="Times New Roman"/>
          <w:bCs/>
          <w:color w:val="000000" w:themeColor="text1"/>
          <w:sz w:val="26"/>
          <w:szCs w:val="26"/>
        </w:rPr>
        <w:t xml:space="preserve"> examines tax debt management in Vietnam over 2020–2025 amid digital transformation. It combines documentary review, descriptive statistics, conditional scenario analysis for 2026, and country case studies of Singapore, Australia, and the United Kingdom. The findings show that outstanding tax debt increased while the debt-to-revenue ratio reflected changes in both debt and collections. International cases illustrate digital payment facilitation, data-informed case selection, debt segmentation, and tailored payment support. The </w:t>
      </w:r>
      <w:r w:rsidR="00AF527A" w:rsidRPr="000A26D0">
        <w:rPr>
          <w:rFonts w:ascii="Times New Roman" w:hAnsi="Times New Roman"/>
          <w:bCs/>
          <w:color w:val="000000" w:themeColor="text1"/>
          <w:sz w:val="26"/>
          <w:szCs w:val="26"/>
        </w:rPr>
        <w:t>article</w:t>
      </w:r>
      <w:r w:rsidRPr="000A26D0">
        <w:rPr>
          <w:rFonts w:ascii="Times New Roman" w:hAnsi="Times New Roman"/>
          <w:bCs/>
          <w:color w:val="000000" w:themeColor="text1"/>
          <w:sz w:val="26"/>
          <w:szCs w:val="26"/>
        </w:rPr>
        <w:t xml:space="preserve"> argues for monitoring debt flows, adopting early warning mechanisms, refining recoverability-based segmentation, and publishing performance </w:t>
      </w:r>
      <w:r w:rsidRPr="000A26D0">
        <w:rPr>
          <w:rFonts w:ascii="Times New Roman" w:hAnsi="Times New Roman"/>
          <w:bCs/>
          <w:color w:val="000000" w:themeColor="text1"/>
          <w:sz w:val="26"/>
          <w:szCs w:val="26"/>
        </w:rPr>
        <w:lastRenderedPageBreak/>
        <w:t>indicators. The 2026 figures represent illustrative conditional scenarios rather than econometrically validated forecasts.</w:t>
      </w:r>
    </w:p>
    <w:p w14:paraId="4597F0BA" w14:textId="7E50D76C" w:rsidR="00936BBF" w:rsidRPr="000A26D0" w:rsidRDefault="00000000" w:rsidP="000A26D0">
      <w:pPr>
        <w:spacing w:before="120" w:after="0" w:line="280" w:lineRule="exact"/>
        <w:jc w:val="both"/>
        <w:rPr>
          <w:rFonts w:ascii="Times New Roman" w:hAnsi="Times New Roman"/>
          <w:bCs/>
          <w:color w:val="000000" w:themeColor="text1"/>
          <w:sz w:val="26"/>
          <w:szCs w:val="26"/>
        </w:rPr>
      </w:pPr>
      <w:r w:rsidRPr="000A26D0">
        <w:rPr>
          <w:rFonts w:ascii="Times New Roman" w:hAnsi="Times New Roman"/>
          <w:bCs/>
          <w:color w:val="000000" w:themeColor="text1"/>
          <w:sz w:val="26"/>
          <w:szCs w:val="26"/>
        </w:rPr>
        <w:t>Keywords: tax debt management; digital transformation; risk-based management; international experience; early warning.</w:t>
      </w:r>
    </w:p>
    <w:p w14:paraId="70FAF1F3" w14:textId="77777777" w:rsidR="00936BBF" w:rsidRPr="000A26D0" w:rsidRDefault="00000000" w:rsidP="000A26D0">
      <w:pPr>
        <w:spacing w:before="120" w:after="0" w:line="280" w:lineRule="exact"/>
        <w:jc w:val="both"/>
        <w:rPr>
          <w:rFonts w:ascii="Times New Roman" w:hAnsi="Times New Roman"/>
          <w:bCs/>
          <w:color w:val="000000" w:themeColor="text1"/>
          <w:sz w:val="26"/>
          <w:szCs w:val="26"/>
        </w:rPr>
      </w:pPr>
      <w:r w:rsidRPr="000A26D0">
        <w:rPr>
          <w:rFonts w:ascii="Times New Roman" w:hAnsi="Times New Roman"/>
          <w:b/>
          <w:bCs/>
          <w:color w:val="000000" w:themeColor="text1"/>
          <w:sz w:val="26"/>
          <w:szCs w:val="26"/>
        </w:rPr>
        <w:t>1. Đặt vấn đề</w:t>
      </w:r>
    </w:p>
    <w:p w14:paraId="6620E412" w14:textId="77777777" w:rsidR="00936BBF" w:rsidRPr="000A26D0" w:rsidRDefault="00000000">
      <w:pPr>
        <w:spacing w:before="120" w:after="0" w:line="280" w:lineRule="exact"/>
        <w:jc w:val="both"/>
        <w:rPr>
          <w:rFonts w:ascii="Times New Roman" w:hAnsi="Times New Roman"/>
          <w:color w:val="000000" w:themeColor="text1"/>
          <w:sz w:val="24"/>
          <w:szCs w:val="24"/>
        </w:rPr>
      </w:pPr>
      <w:r w:rsidRPr="000A26D0">
        <w:rPr>
          <w:rFonts w:ascii="Times New Roman" w:hAnsi="Times New Roman"/>
          <w:color w:val="000000" w:themeColor="text1"/>
          <w:sz w:val="24"/>
          <w:szCs w:val="24"/>
        </w:rPr>
        <w:t>Trong hệ thống quản lý tài chính công, nợ thuế là một bộ phận gắn liền với quá trình thực hiện nghĩa vụ thuế của người nộp thuế và công tác quản lý thu ngân sách nhà nước. Việc theo dõi, quản lý và thu hồi nợ thuế có ý nghĩa quan trọng trong việc bảo đảm nguồn thu, duy trì kỷ cương pháp luật và nâng cao tính minh bạch của hệ thống thuế.</w:t>
      </w:r>
    </w:p>
    <w:p w14:paraId="16DA7CDB" w14:textId="77777777" w:rsidR="00936BBF" w:rsidRPr="000A26D0" w:rsidRDefault="00000000">
      <w:pPr>
        <w:spacing w:before="120" w:after="0" w:line="280" w:lineRule="exact"/>
        <w:jc w:val="both"/>
        <w:rPr>
          <w:rFonts w:ascii="Times New Roman" w:hAnsi="Times New Roman"/>
          <w:color w:val="000000" w:themeColor="text1"/>
          <w:sz w:val="24"/>
          <w:szCs w:val="24"/>
        </w:rPr>
      </w:pPr>
      <w:r w:rsidRPr="000A26D0">
        <w:rPr>
          <w:rFonts w:ascii="Times New Roman" w:hAnsi="Times New Roman"/>
          <w:color w:val="000000" w:themeColor="text1"/>
          <w:sz w:val="24"/>
          <w:szCs w:val="24"/>
        </w:rPr>
        <w:t>Trong quá trình chuyển đổi số, hóa đơn điện tử, khai thuế và nộp thuế điện tử mở rộng năng lực ghi nhận nghĩa vụ thuế. Tuy nhiên, sự hiện diện của hạ tầng số không tự thân chứng minh chất lượng thu hồi nợ đã được cải thiện. Việc đánh giá cần tách tác động của quy mô thu ngân sách, dòng nợ mới phát sinh, tuổi nợ và khả năng thu hồi. Đây là vấn đề cần xem xét khi phân tích dữ liệu giai đoạn 2020</w:t>
      </w:r>
      <w:r w:rsidRPr="000A26D0">
        <w:rPr>
          <w:rFonts w:ascii="Times New Roman" w:hAnsi="Times New Roman"/>
          <w:color w:val="000000" w:themeColor="text1"/>
          <w:sz w:val="24"/>
          <w:szCs w:val="24"/>
          <w:lang w:val="en-GB"/>
        </w:rPr>
        <w:t>-</w:t>
      </w:r>
      <w:r w:rsidRPr="000A26D0">
        <w:rPr>
          <w:rFonts w:ascii="Times New Roman" w:hAnsi="Times New Roman"/>
          <w:color w:val="000000" w:themeColor="text1"/>
          <w:sz w:val="24"/>
          <w:szCs w:val="24"/>
        </w:rPr>
        <w:t>2025.</w:t>
      </w:r>
    </w:p>
    <w:p w14:paraId="56F489C4" w14:textId="7E654171" w:rsidR="00936BBF" w:rsidRPr="000A26D0" w:rsidRDefault="00000000" w:rsidP="000A26D0">
      <w:pPr>
        <w:spacing w:before="120" w:after="0" w:line="280" w:lineRule="exact"/>
        <w:jc w:val="both"/>
        <w:rPr>
          <w:rFonts w:ascii="Times New Roman" w:hAnsi="Times New Roman"/>
          <w:color w:val="000000" w:themeColor="text1"/>
          <w:sz w:val="24"/>
          <w:szCs w:val="24"/>
        </w:rPr>
      </w:pPr>
      <w:r w:rsidRPr="000A26D0">
        <w:rPr>
          <w:rFonts w:ascii="Times New Roman" w:hAnsi="Times New Roman"/>
          <w:color w:val="000000" w:themeColor="text1"/>
          <w:sz w:val="24"/>
          <w:szCs w:val="24"/>
        </w:rPr>
        <w:t xml:space="preserve">Bài viết đặt ra </w:t>
      </w:r>
      <w:r w:rsidR="00116550" w:rsidRPr="000A26D0">
        <w:rPr>
          <w:rFonts w:ascii="Times New Roman" w:hAnsi="Times New Roman"/>
          <w:color w:val="000000" w:themeColor="text1"/>
          <w:sz w:val="24"/>
          <w:szCs w:val="24"/>
        </w:rPr>
        <w:t>3</w:t>
      </w:r>
      <w:r w:rsidRPr="000A26D0">
        <w:rPr>
          <w:rFonts w:ascii="Times New Roman" w:hAnsi="Times New Roman"/>
          <w:color w:val="000000" w:themeColor="text1"/>
          <w:sz w:val="24"/>
          <w:szCs w:val="24"/>
        </w:rPr>
        <w:t xml:space="preserve"> câu hỏi: (i) quy mô và tỷ lệ nợ thuế tại Việt Nam biến động như thế nào; (ii) kinh nghiệm ba cơ quan thuế nước ngoài cho thấy những công cụ quản lý nào và giới hạn so sánh ra sao; (iii) cần ưu tiên thay đổi gì về dữ liệu, quy trình và chỉ tiêu đánh giá ở Việt Nam? Đóng góp của bài là nối kết thống kê mô tả trong nước với bằng chứng nghiên cứu trường hợp và phân tích kịch bản minh bạch về giả định.</w:t>
      </w:r>
    </w:p>
    <w:p w14:paraId="66A77C69" w14:textId="77777777" w:rsidR="00936BBF" w:rsidRPr="000A26D0" w:rsidRDefault="00000000">
      <w:pPr>
        <w:spacing w:before="120" w:after="0" w:line="280" w:lineRule="exact"/>
        <w:jc w:val="both"/>
        <w:rPr>
          <w:rFonts w:ascii="Times New Roman" w:hAnsi="Times New Roman"/>
          <w:b/>
          <w:bCs/>
          <w:color w:val="000000" w:themeColor="text1"/>
          <w:sz w:val="24"/>
          <w:szCs w:val="24"/>
          <w:lang w:val="en-GB"/>
        </w:rPr>
      </w:pPr>
      <w:r w:rsidRPr="000A26D0">
        <w:rPr>
          <w:rFonts w:ascii="Times New Roman" w:hAnsi="Times New Roman"/>
          <w:b/>
          <w:bCs/>
          <w:color w:val="000000" w:themeColor="text1"/>
          <w:sz w:val="26"/>
          <w:szCs w:val="26"/>
        </w:rPr>
        <w:t>2. Cơ sở lý luận</w:t>
      </w:r>
      <w:r w:rsidRPr="000A26D0">
        <w:rPr>
          <w:rFonts w:ascii="Times New Roman" w:hAnsi="Times New Roman"/>
          <w:b/>
          <w:bCs/>
          <w:color w:val="000000" w:themeColor="text1"/>
          <w:sz w:val="24"/>
          <w:szCs w:val="24"/>
        </w:rPr>
        <w:t xml:space="preserve"> </w:t>
      </w:r>
      <w:r w:rsidRPr="000A26D0">
        <w:rPr>
          <w:rFonts w:ascii="Times New Roman" w:hAnsi="Times New Roman"/>
          <w:b/>
          <w:bCs/>
          <w:color w:val="000000" w:themeColor="text1"/>
          <w:sz w:val="24"/>
          <w:szCs w:val="24"/>
          <w:lang w:val="en-GB"/>
        </w:rPr>
        <w:t>và phương pháp nghiên cứu</w:t>
      </w:r>
    </w:p>
    <w:p w14:paraId="425CB338" w14:textId="77777777" w:rsidR="00936BBF" w:rsidRPr="000A26D0" w:rsidRDefault="00000000">
      <w:pPr>
        <w:spacing w:before="120" w:after="0" w:line="280" w:lineRule="exact"/>
        <w:jc w:val="both"/>
        <w:rPr>
          <w:rFonts w:ascii="Times New Roman" w:hAnsi="Times New Roman"/>
          <w:b/>
          <w:bCs/>
          <w:color w:val="000000" w:themeColor="text1"/>
          <w:sz w:val="24"/>
          <w:szCs w:val="24"/>
          <w:lang w:val="en-GB"/>
        </w:rPr>
      </w:pPr>
      <w:r w:rsidRPr="000A26D0">
        <w:rPr>
          <w:rFonts w:ascii="Times New Roman" w:hAnsi="Times New Roman"/>
          <w:b/>
          <w:bCs/>
          <w:color w:val="000000" w:themeColor="text1"/>
          <w:sz w:val="24"/>
          <w:szCs w:val="24"/>
          <w:lang w:val="en-GB"/>
        </w:rPr>
        <w:t>2.1. Cách tiếp cận quản lý nợ thuế theo rủi ro</w:t>
      </w:r>
    </w:p>
    <w:p w14:paraId="49CD543C" w14:textId="77777777" w:rsidR="00936BBF" w:rsidRPr="000A26D0" w:rsidRDefault="00000000" w:rsidP="000A26D0">
      <w:pPr>
        <w:spacing w:before="120" w:after="0" w:line="280" w:lineRule="exact"/>
        <w:jc w:val="both"/>
        <w:rPr>
          <w:rFonts w:ascii="Times New Roman" w:hAnsi="Times New Roman"/>
          <w:color w:val="000000" w:themeColor="text1"/>
          <w:sz w:val="26"/>
          <w:szCs w:val="26"/>
        </w:rPr>
      </w:pPr>
      <w:r w:rsidRPr="000A26D0">
        <w:rPr>
          <w:rFonts w:ascii="Times New Roman" w:hAnsi="Times New Roman"/>
          <w:color w:val="000000" w:themeColor="text1"/>
          <w:sz w:val="26"/>
          <w:szCs w:val="26"/>
        </w:rPr>
        <w:t>Về phương diện lý luận, quản lý nợ thuế là một bộ phận cấu thành của quản lý thuế, bao gồm các hoạt động theo dõi, phân loại, đôn đốc và áp dụng biện pháp xử lý đối với các khoản nghĩa vụ thuế chưa được thực hiện đúng thời hạn. Hoạt động này góp phần bảo đảm tuân thủ của người nộp thuế và ổn định nguồn thu ngân sách nhà nước (Quốc hội, 2019; Tổng cục Thuế, 2022).</w:t>
      </w:r>
    </w:p>
    <w:p w14:paraId="6525502C" w14:textId="77777777" w:rsidR="00936BBF" w:rsidRPr="000A26D0" w:rsidRDefault="00000000" w:rsidP="000A26D0">
      <w:pPr>
        <w:spacing w:before="120" w:after="0" w:line="280" w:lineRule="exact"/>
        <w:jc w:val="both"/>
        <w:rPr>
          <w:rFonts w:ascii="Times New Roman" w:hAnsi="Times New Roman"/>
          <w:color w:val="000000" w:themeColor="text1"/>
          <w:sz w:val="26"/>
          <w:szCs w:val="26"/>
        </w:rPr>
      </w:pPr>
      <w:r w:rsidRPr="000A26D0">
        <w:rPr>
          <w:rFonts w:ascii="Times New Roman" w:hAnsi="Times New Roman"/>
          <w:color w:val="000000" w:themeColor="text1"/>
          <w:sz w:val="26"/>
          <w:szCs w:val="26"/>
        </w:rPr>
        <w:t>Trong cách tiếp cận truyền thống, cơ quan thuế thường tập trung thu hồi các khoản nợ đã phát sinh và áp dụng quy trình xử lý tương đối chuẩn hóa cho nhiều nhóm nợ. Cách tiếp cận hiện đại chuyển trọng tâm từ từng khoản nợ sang người nợ, sử dụng phân khúc, thông tin hành vi và mức độ rủi ro để lựa chọn biện pháp can thiệp phù hợp (OECD, 2014).</w:t>
      </w:r>
    </w:p>
    <w:p w14:paraId="638181AC" w14:textId="77777777" w:rsidR="00936BBF" w:rsidRPr="000A26D0" w:rsidRDefault="00000000" w:rsidP="000A26D0">
      <w:pPr>
        <w:spacing w:before="120" w:after="0" w:line="280" w:lineRule="exact"/>
        <w:jc w:val="both"/>
        <w:rPr>
          <w:rFonts w:ascii="Times New Roman" w:hAnsi="Times New Roman"/>
          <w:color w:val="000000" w:themeColor="text1"/>
          <w:sz w:val="26"/>
          <w:szCs w:val="26"/>
        </w:rPr>
      </w:pPr>
      <w:r w:rsidRPr="000A26D0">
        <w:rPr>
          <w:rFonts w:ascii="Times New Roman" w:hAnsi="Times New Roman"/>
          <w:color w:val="000000" w:themeColor="text1"/>
          <w:sz w:val="26"/>
          <w:szCs w:val="26"/>
        </w:rPr>
        <w:t xml:space="preserve">Khi quy mô nền kinh tế mở rộng, số lượng giao dịch gia tăng và cơ cấu người nộp thuế ngày càng đa dạng, việc chỉ ghi nhận nợ tại một thời điểm chưa phản ánh đầy đủ quá trình hình thành nghĩa vụ và các yếu tố tác động đến hành vi thanh toán. Việc xử lý đồng nhất các nhóm nợ cũng có thể làm giảm hiệu quả phân bổ nguồn lực. Vì vậy, quản lý nợ cần được thiết kế linh hoạt theo đặc điểm người nộp thuế, khả năng thanh toán và xác suất thu hồi </w:t>
      </w:r>
      <w:r w:rsidRPr="000A26D0">
        <w:rPr>
          <w:rFonts w:ascii="Times New Roman" w:hAnsi="Times New Roman"/>
          <w:color w:val="000000" w:themeColor="text1"/>
          <w:sz w:val="26"/>
          <w:szCs w:val="26"/>
          <w:lang w:val="en-GB"/>
        </w:rPr>
        <w:t>(</w:t>
      </w:r>
      <w:r w:rsidRPr="000A26D0">
        <w:rPr>
          <w:rFonts w:ascii="Times New Roman" w:hAnsi="Times New Roman"/>
          <w:color w:val="000000" w:themeColor="text1"/>
          <w:sz w:val="26"/>
          <w:szCs w:val="26"/>
        </w:rPr>
        <w:t>OECD, 2019).</w:t>
      </w:r>
    </w:p>
    <w:p w14:paraId="7A588D94" w14:textId="77777777" w:rsidR="00936BBF" w:rsidRPr="000A26D0" w:rsidRDefault="00000000" w:rsidP="000A26D0">
      <w:pPr>
        <w:spacing w:before="120" w:after="0" w:line="280" w:lineRule="exact"/>
        <w:jc w:val="both"/>
        <w:rPr>
          <w:rFonts w:ascii="Times New Roman" w:hAnsi="Times New Roman"/>
          <w:color w:val="000000" w:themeColor="text1"/>
          <w:sz w:val="26"/>
          <w:szCs w:val="26"/>
        </w:rPr>
      </w:pPr>
      <w:r w:rsidRPr="000A26D0">
        <w:rPr>
          <w:rFonts w:ascii="Times New Roman" w:hAnsi="Times New Roman"/>
          <w:color w:val="000000" w:themeColor="text1"/>
          <w:sz w:val="26"/>
          <w:szCs w:val="26"/>
        </w:rPr>
        <w:t>Trong bối cảnh chuyển đổi số, nợ thuế không chỉ được nhìn nhận như một khoản nghĩa vụ quá hạn tại một thời điểm mà còn là kết quả của rủi ro tích lũy trong vòng đời quản lý thuế. Dữ liệu điện tử, phân tích dự báo và kết nối hệ thống cho phép cơ quan thuế theo dõi nghĩa vụ gần thời gian thực, nhận diện nguy cơ không thanh toán và thực hiện can thiệp sớm trước khi nợ gia tăng (OECD, 2020).</w:t>
      </w:r>
    </w:p>
    <w:p w14:paraId="323C6EC3" w14:textId="77777777" w:rsidR="00936BBF" w:rsidRPr="000A26D0" w:rsidRDefault="00000000" w:rsidP="000A26D0">
      <w:pPr>
        <w:spacing w:before="120" w:after="0" w:line="280" w:lineRule="exact"/>
        <w:jc w:val="both"/>
        <w:rPr>
          <w:rFonts w:ascii="Times New Roman" w:hAnsi="Times New Roman"/>
          <w:color w:val="000000" w:themeColor="text1"/>
          <w:sz w:val="26"/>
          <w:szCs w:val="26"/>
        </w:rPr>
      </w:pPr>
      <w:r w:rsidRPr="000A26D0">
        <w:rPr>
          <w:rFonts w:ascii="Times New Roman" w:hAnsi="Times New Roman"/>
          <w:color w:val="000000" w:themeColor="text1"/>
          <w:sz w:val="26"/>
          <w:szCs w:val="26"/>
        </w:rPr>
        <w:lastRenderedPageBreak/>
        <w:t>Theo cách tiếp cận quản lý rủi ro tuân thủ, quản lý nợ thuế cần được đặt trong tổng thể quản lý tuân thủ, trong đó rủi ro không thanh toán là một bộ phận của rủi ro không tuân thủ cần được nhận diện, đánh giá, xếp hạng ưu tiên và xử lý phù hợp (OECD, 2004).</w:t>
      </w:r>
    </w:p>
    <w:p w14:paraId="5371FC64" w14:textId="77777777" w:rsidR="00936BBF" w:rsidRPr="000A26D0" w:rsidRDefault="00000000" w:rsidP="000A26D0">
      <w:pPr>
        <w:spacing w:before="120" w:after="0" w:line="280" w:lineRule="exact"/>
        <w:jc w:val="both"/>
        <w:rPr>
          <w:rFonts w:ascii="Times New Roman" w:hAnsi="Times New Roman"/>
          <w:color w:val="000000" w:themeColor="text1"/>
          <w:sz w:val="26"/>
          <w:szCs w:val="26"/>
        </w:rPr>
      </w:pPr>
      <w:r w:rsidRPr="000A26D0">
        <w:rPr>
          <w:rFonts w:ascii="Times New Roman" w:hAnsi="Times New Roman"/>
          <w:color w:val="000000" w:themeColor="text1"/>
          <w:sz w:val="26"/>
          <w:szCs w:val="26"/>
        </w:rPr>
        <w:t>Trên cơ sở đó, quản trị rủi ro trở thành nền tảng của quản lý nợ thuế hiện đại, cho phép chuyển từ xử lý riêng lẻ sang quản lý danh mục nợ theo mức độ rủi ro và khả năng thu hồi. Phòng ngừa nợ, can thiệp sớm, duy trì tương tác với người nộp thuế, áp dụng biện pháp cưỡng chế tương xứng và xử lý các khoản không còn khả năng thu là những nguyên tắc chủ yếu của chiến lược quản lý nợ hiệu quả. Công nghệ số hỗ trợ cung cấp thông tin kịp thời, phân tích hành vi và tự động hóa quy trình nghiệp vụ (OECD, 2014).</w:t>
      </w:r>
    </w:p>
    <w:p w14:paraId="56EC6217" w14:textId="0BE88867" w:rsidR="00936BBF" w:rsidRPr="000A26D0" w:rsidRDefault="00000000">
      <w:pPr>
        <w:spacing w:before="120" w:after="0" w:line="280" w:lineRule="exact"/>
        <w:jc w:val="both"/>
        <w:rPr>
          <w:rFonts w:ascii="Times New Roman" w:hAnsi="Times New Roman"/>
          <w:color w:val="000000" w:themeColor="text1"/>
          <w:sz w:val="24"/>
          <w:szCs w:val="24"/>
        </w:rPr>
      </w:pPr>
      <w:r w:rsidRPr="000A26D0">
        <w:rPr>
          <w:rFonts w:ascii="Times New Roman" w:hAnsi="Times New Roman"/>
          <w:color w:val="000000" w:themeColor="text1"/>
          <w:sz w:val="24"/>
          <w:szCs w:val="24"/>
        </w:rPr>
        <w:t>2.2. Phương pháp</w:t>
      </w:r>
      <w:r w:rsidR="00116550" w:rsidRPr="000A26D0">
        <w:rPr>
          <w:rFonts w:ascii="Times New Roman" w:hAnsi="Times New Roman"/>
          <w:color w:val="000000" w:themeColor="text1"/>
          <w:sz w:val="24"/>
          <w:szCs w:val="24"/>
        </w:rPr>
        <w:t xml:space="preserve"> nghiên cứu</w:t>
      </w:r>
      <w:r w:rsidRPr="000A26D0">
        <w:rPr>
          <w:rFonts w:ascii="Times New Roman" w:hAnsi="Times New Roman"/>
          <w:color w:val="000000" w:themeColor="text1"/>
          <w:sz w:val="24"/>
          <w:szCs w:val="24"/>
        </w:rPr>
        <w:t xml:space="preserve"> </w:t>
      </w:r>
    </w:p>
    <w:p w14:paraId="457BFD6C" w14:textId="5C3886AA" w:rsidR="00936BBF" w:rsidRPr="000A26D0" w:rsidRDefault="00000000">
      <w:pPr>
        <w:spacing w:before="120" w:after="0" w:line="280" w:lineRule="exact"/>
        <w:jc w:val="both"/>
        <w:rPr>
          <w:rFonts w:ascii="Times New Roman" w:hAnsi="Times New Roman"/>
          <w:color w:val="000000" w:themeColor="text1"/>
          <w:sz w:val="24"/>
          <w:szCs w:val="24"/>
        </w:rPr>
      </w:pPr>
      <w:r w:rsidRPr="000A26D0">
        <w:rPr>
          <w:rFonts w:ascii="Times New Roman" w:hAnsi="Times New Roman"/>
          <w:color w:val="000000" w:themeColor="text1"/>
          <w:sz w:val="24"/>
          <w:szCs w:val="24"/>
        </w:rPr>
        <w:t>Nghiên cứu sử dụng</w:t>
      </w:r>
      <w:r w:rsidR="0068714E" w:rsidRPr="000A26D0">
        <w:rPr>
          <w:rFonts w:ascii="Times New Roman" w:hAnsi="Times New Roman"/>
          <w:color w:val="000000" w:themeColor="text1"/>
          <w:sz w:val="24"/>
          <w:szCs w:val="24"/>
        </w:rPr>
        <w:t xml:space="preserve"> phương pháp hỗn hợp, kết hợp phân tích định tính và định lượng mô tả. Cụ thể</w:t>
      </w:r>
      <w:r w:rsidRPr="000A26D0">
        <w:rPr>
          <w:rFonts w:ascii="Times New Roman" w:hAnsi="Times New Roman"/>
          <w:color w:val="000000" w:themeColor="text1"/>
          <w:sz w:val="24"/>
          <w:szCs w:val="24"/>
        </w:rPr>
        <w:t>: (i) tổng hợp tài liệu chính sách và tài liệu của OECD; (ii) thống kê mô tả các chỉ tiêu nợ thuế và thu ngân sách trong bảng số liệu tác giả tập hợp; (iii) nghiên cứu trường hợp dựa trên báo cáo công khai của IRAS, ATO và HMRC; (iv) phân tích kịch bản có điều kiện cho năm 2026. Các trường hợp quốc tế được lựa chọn có chủ đích để phản ánh ba trọng tâm: số hóa trải nghiệm thanh toán, quản lý danh mục nợ theo rủi ro và hỗ trợ thanh toán kết hợp thu hồi.</w:t>
      </w:r>
    </w:p>
    <w:p w14:paraId="40B5F5BF" w14:textId="72C5953B" w:rsidR="00936BBF" w:rsidRPr="000A26D0" w:rsidRDefault="00000000" w:rsidP="000A26D0">
      <w:pPr>
        <w:spacing w:before="120" w:after="0" w:line="280" w:lineRule="exact"/>
        <w:jc w:val="both"/>
        <w:rPr>
          <w:rFonts w:ascii="Times New Roman" w:hAnsi="Times New Roman"/>
          <w:color w:val="000000" w:themeColor="text1"/>
          <w:sz w:val="24"/>
          <w:szCs w:val="24"/>
        </w:rPr>
      </w:pPr>
      <w:r w:rsidRPr="000A26D0">
        <w:rPr>
          <w:rFonts w:ascii="Times New Roman" w:hAnsi="Times New Roman"/>
          <w:color w:val="000000" w:themeColor="text1"/>
          <w:sz w:val="24"/>
          <w:szCs w:val="24"/>
        </w:rPr>
        <w:t>Chuỗi số liệu Việt Nam giai đoạn 2020</w:t>
      </w:r>
      <w:r w:rsidR="0068714E" w:rsidRPr="000A26D0">
        <w:rPr>
          <w:rFonts w:ascii="Times New Roman" w:hAnsi="Times New Roman"/>
          <w:color w:val="000000" w:themeColor="text1"/>
          <w:sz w:val="24"/>
          <w:szCs w:val="24"/>
        </w:rPr>
        <w:t>-</w:t>
      </w:r>
      <w:r w:rsidRPr="000A26D0">
        <w:rPr>
          <w:rFonts w:ascii="Times New Roman" w:hAnsi="Times New Roman"/>
          <w:color w:val="000000" w:themeColor="text1"/>
          <w:sz w:val="24"/>
          <w:szCs w:val="24"/>
        </w:rPr>
        <w:t>2025 được tác giả tổng hợp trong quá trình nghiên cứu luận án tiến sĩ “Quản lý nợ thuế trong bối cảnh chuyển đổi số tại Việt Nam” (Trương Thị Thảo, 2026) và sử dụng làm dữ liệu thứ cấp cho bài viết. Các chỉ tiêu tỷ lệ và tốc độ tăng trong bài được tính lại từ chuỗi số liệu này. Nguồn luận án không thay thế yêu cầu xác định nguồn thống kê ban đầu, phạm vi quản lý và thời điểm chốt số; riêng số liệu năm 2025 cần xác định rõ là nằm trong luận án hay được cập nhật sau khi hoàn thành. Nghiên cứu không sử dụng vi dữ liệu của người nộp thuế; vì vậy không ước lượng tác động nhân quả của chuyển đổi số, xác suất phát sinh nợ hoặc kiểm định độ chính xác của mô hình dự báo. Các kết luận chỉ phản ánh quan hệ mô tả.</w:t>
      </w:r>
    </w:p>
    <w:p w14:paraId="1FA16E3D" w14:textId="20FAF305" w:rsidR="00936BBF" w:rsidRPr="000A26D0" w:rsidRDefault="00000000" w:rsidP="000A26D0">
      <w:pPr>
        <w:numPr>
          <w:ilvl w:val="0"/>
          <w:numId w:val="1"/>
        </w:numPr>
        <w:spacing w:before="120" w:after="0" w:line="280" w:lineRule="exact"/>
        <w:jc w:val="both"/>
        <w:rPr>
          <w:rFonts w:ascii="Times New Roman" w:hAnsi="Times New Roman"/>
          <w:b/>
          <w:bCs/>
          <w:color w:val="000000" w:themeColor="text1"/>
          <w:sz w:val="26"/>
          <w:szCs w:val="26"/>
        </w:rPr>
      </w:pPr>
      <w:r w:rsidRPr="000A26D0">
        <w:rPr>
          <w:rFonts w:ascii="Times New Roman" w:hAnsi="Times New Roman"/>
          <w:b/>
          <w:bCs/>
          <w:color w:val="000000" w:themeColor="text1"/>
          <w:sz w:val="26"/>
          <w:szCs w:val="26"/>
        </w:rPr>
        <w:t>Kinh nghiệm quốc tế về quản lý nợ thuế trong kỷ nguyên số</w:t>
      </w:r>
    </w:p>
    <w:p w14:paraId="0F0EE970" w14:textId="5649C096" w:rsidR="00936BBF" w:rsidRPr="000A26D0" w:rsidRDefault="00000000">
      <w:pPr>
        <w:numPr>
          <w:ilvl w:val="255"/>
          <w:numId w:val="0"/>
        </w:numPr>
        <w:spacing w:before="120" w:after="0" w:line="280" w:lineRule="exact"/>
        <w:jc w:val="both"/>
        <w:rPr>
          <w:rFonts w:ascii="Times New Roman" w:hAnsi="Times New Roman"/>
          <w:b/>
          <w:bCs/>
          <w:color w:val="000000" w:themeColor="text1"/>
          <w:sz w:val="24"/>
          <w:szCs w:val="24"/>
        </w:rPr>
      </w:pPr>
      <w:r w:rsidRPr="000A26D0">
        <w:rPr>
          <w:rFonts w:ascii="Times New Roman" w:hAnsi="Times New Roman"/>
          <w:b/>
          <w:bCs/>
          <w:color w:val="000000" w:themeColor="text1"/>
          <w:sz w:val="24"/>
          <w:szCs w:val="24"/>
        </w:rPr>
        <w:t xml:space="preserve">3.1. Singapore: </w:t>
      </w:r>
      <w:r w:rsidR="00116550" w:rsidRPr="000A26D0">
        <w:rPr>
          <w:rFonts w:ascii="Times New Roman" w:hAnsi="Times New Roman"/>
          <w:b/>
          <w:bCs/>
          <w:color w:val="000000" w:themeColor="text1"/>
          <w:sz w:val="24"/>
          <w:szCs w:val="24"/>
        </w:rPr>
        <w:t>S</w:t>
      </w:r>
      <w:r w:rsidRPr="000A26D0">
        <w:rPr>
          <w:rFonts w:ascii="Times New Roman" w:hAnsi="Times New Roman"/>
          <w:b/>
          <w:bCs/>
          <w:color w:val="000000" w:themeColor="text1"/>
          <w:sz w:val="24"/>
          <w:szCs w:val="24"/>
        </w:rPr>
        <w:t>ố hóa giao dịch và hỗ trợ thực hiện nghĩa vụ</w:t>
      </w:r>
    </w:p>
    <w:p w14:paraId="4A1E27E8" w14:textId="77777777" w:rsidR="00936BBF" w:rsidRPr="000A26D0" w:rsidRDefault="00000000">
      <w:pPr>
        <w:numPr>
          <w:ilvl w:val="255"/>
          <w:numId w:val="0"/>
        </w:numPr>
        <w:spacing w:before="120" w:after="0" w:line="280" w:lineRule="exact"/>
        <w:jc w:val="both"/>
        <w:rPr>
          <w:rFonts w:ascii="Times New Roman" w:hAnsi="Times New Roman"/>
          <w:color w:val="000000" w:themeColor="text1"/>
          <w:sz w:val="24"/>
          <w:szCs w:val="24"/>
        </w:rPr>
      </w:pPr>
      <w:r w:rsidRPr="000A26D0">
        <w:rPr>
          <w:rFonts w:ascii="Times New Roman" w:hAnsi="Times New Roman"/>
          <w:color w:val="000000" w:themeColor="text1"/>
          <w:sz w:val="24"/>
          <w:szCs w:val="24"/>
        </w:rPr>
        <w:t>Cơ quan Thuế nội địa Singapore (IRAS) vận hành myTax Portal và phát triển các dịch vụ thanh toán điện tử. Báo cáo năm tài chính 2024/25 cho biết IRAS mở rộng e-GIRO trên myTax Portal và tăng số ngân hàng tham gia; tỷ lệ nợ đọng đối với các loại thuế thu nhập, hàng hóa và dịch vụ, tài sản là 0,66% giá trị thuế được xác định ròng (IRAS, 2025). Điều này cho thấy việc đơn giản hóa thực hiện nghĩa vụ và theo dõi kết quả thu là hai cấu phần quan trọng của quản lý tuân thủ.</w:t>
      </w:r>
    </w:p>
    <w:p w14:paraId="01EDCE4B" w14:textId="77777777" w:rsidR="00936BBF" w:rsidRPr="000A26D0" w:rsidRDefault="00000000">
      <w:pPr>
        <w:numPr>
          <w:ilvl w:val="255"/>
          <w:numId w:val="0"/>
        </w:numPr>
        <w:spacing w:before="120" w:after="0" w:line="280" w:lineRule="exact"/>
        <w:jc w:val="both"/>
        <w:rPr>
          <w:rFonts w:ascii="Times New Roman" w:hAnsi="Times New Roman"/>
          <w:color w:val="000000" w:themeColor="text1"/>
          <w:sz w:val="24"/>
          <w:szCs w:val="24"/>
        </w:rPr>
      </w:pPr>
      <w:r w:rsidRPr="000A26D0">
        <w:rPr>
          <w:rFonts w:ascii="Times New Roman" w:hAnsi="Times New Roman"/>
          <w:color w:val="000000" w:themeColor="text1"/>
          <w:sz w:val="24"/>
          <w:szCs w:val="24"/>
        </w:rPr>
        <w:t>Dù vậy, không thể coi tỷ lệ 0,66% là tác động riêng của một công cụ số hóa: chỉ tiêu chịu ảnh hưởng của phạm vi sắc thuế, cấu trúc người nộp thuế, quản lý tuân thủ và đặc điểm pháp luật. Bài học cho Việt Nam là đánh giá đầy đủ hiệu quả hệ sinh thái thanh toán điện tử bằng chỉ tiêu nợ phát sinh sau thông báo, tỷ lệ thanh toán đúng hạn và kết quả tương tác với người nộp thuế, thay vì chỉ đo số lượng giao dịch số.</w:t>
      </w:r>
    </w:p>
    <w:p w14:paraId="1B0FD303" w14:textId="666E160D" w:rsidR="00936BBF" w:rsidRPr="000A26D0" w:rsidRDefault="00000000">
      <w:pPr>
        <w:numPr>
          <w:ilvl w:val="255"/>
          <w:numId w:val="0"/>
        </w:numPr>
        <w:spacing w:before="120" w:after="0" w:line="280" w:lineRule="exact"/>
        <w:jc w:val="both"/>
        <w:rPr>
          <w:rFonts w:ascii="Times New Roman" w:hAnsi="Times New Roman"/>
          <w:b/>
          <w:bCs/>
          <w:color w:val="000000" w:themeColor="text1"/>
          <w:sz w:val="24"/>
          <w:szCs w:val="24"/>
        </w:rPr>
      </w:pPr>
      <w:r w:rsidRPr="000A26D0">
        <w:rPr>
          <w:rFonts w:ascii="Times New Roman" w:hAnsi="Times New Roman"/>
          <w:b/>
          <w:bCs/>
          <w:color w:val="000000" w:themeColor="text1"/>
          <w:sz w:val="24"/>
          <w:szCs w:val="24"/>
        </w:rPr>
        <w:t xml:space="preserve">3.2. Australia: </w:t>
      </w:r>
      <w:r w:rsidR="00116550" w:rsidRPr="000A26D0">
        <w:rPr>
          <w:rFonts w:ascii="Times New Roman" w:hAnsi="Times New Roman"/>
          <w:b/>
          <w:bCs/>
          <w:color w:val="000000" w:themeColor="text1"/>
          <w:sz w:val="24"/>
          <w:szCs w:val="24"/>
        </w:rPr>
        <w:t>Q</w:t>
      </w:r>
      <w:r w:rsidRPr="000A26D0">
        <w:rPr>
          <w:rFonts w:ascii="Times New Roman" w:hAnsi="Times New Roman"/>
          <w:b/>
          <w:bCs/>
          <w:color w:val="000000" w:themeColor="text1"/>
          <w:sz w:val="24"/>
          <w:szCs w:val="24"/>
        </w:rPr>
        <w:t>uản lý nợ theo rủi ro và ưu tiên can thiệp</w:t>
      </w:r>
    </w:p>
    <w:p w14:paraId="491EE3AC" w14:textId="2850EF94" w:rsidR="00936BBF" w:rsidRPr="000A26D0" w:rsidRDefault="00000000">
      <w:pPr>
        <w:numPr>
          <w:ilvl w:val="255"/>
          <w:numId w:val="0"/>
        </w:numPr>
        <w:spacing w:before="120" w:after="0" w:line="280" w:lineRule="exact"/>
        <w:jc w:val="both"/>
        <w:rPr>
          <w:rFonts w:ascii="Times New Roman" w:hAnsi="Times New Roman"/>
          <w:color w:val="000000" w:themeColor="text1"/>
          <w:sz w:val="24"/>
          <w:szCs w:val="24"/>
        </w:rPr>
      </w:pPr>
      <w:r w:rsidRPr="000A26D0">
        <w:rPr>
          <w:rFonts w:ascii="Times New Roman" w:hAnsi="Times New Roman"/>
          <w:color w:val="000000" w:themeColor="text1"/>
          <w:sz w:val="24"/>
          <w:szCs w:val="24"/>
        </w:rPr>
        <w:t>Cơ quan Thuế Australia (ATO) công bố chỉ tiêu tỷ lệ nợ có khả năng thu trên số thu thuế ròng ở mức 8,1% năm 2024/25, giảm từ 8,4% năm trước nhưng chưa đạt mục tiêu 6,5</w:t>
      </w:r>
      <w:r w:rsidR="00116550" w:rsidRPr="000A26D0">
        <w:rPr>
          <w:rFonts w:ascii="Times New Roman" w:hAnsi="Times New Roman"/>
          <w:color w:val="000000" w:themeColor="text1"/>
          <w:sz w:val="24"/>
          <w:szCs w:val="24"/>
        </w:rPr>
        <w:t>-</w:t>
      </w:r>
      <w:r w:rsidRPr="000A26D0">
        <w:rPr>
          <w:rFonts w:ascii="Times New Roman" w:hAnsi="Times New Roman"/>
          <w:color w:val="000000" w:themeColor="text1"/>
          <w:sz w:val="24"/>
          <w:szCs w:val="24"/>
        </w:rPr>
        <w:t>7,0%. Nợ có khả năng thu cuối tháng 6/2025 đạt 54,2 tỷ AUD. ATO mô tả việc ứng dụng phân tích dữ liệu để lựa chọn hồ sơ chiến lược và ưu tiên biện pháp xử lý mạnh hơn khi người nộp thuế không phản hồi (ATO, 2025).</w:t>
      </w:r>
    </w:p>
    <w:p w14:paraId="41111633" w14:textId="4403C819" w:rsidR="00936BBF" w:rsidRPr="000A26D0" w:rsidRDefault="00000000">
      <w:pPr>
        <w:numPr>
          <w:ilvl w:val="255"/>
          <w:numId w:val="0"/>
        </w:numPr>
        <w:spacing w:before="120" w:after="0" w:line="280" w:lineRule="exact"/>
        <w:jc w:val="both"/>
        <w:rPr>
          <w:rFonts w:ascii="Times New Roman" w:hAnsi="Times New Roman"/>
          <w:color w:val="000000" w:themeColor="text1"/>
          <w:sz w:val="24"/>
          <w:szCs w:val="24"/>
        </w:rPr>
      </w:pPr>
      <w:r w:rsidRPr="000A26D0">
        <w:rPr>
          <w:rFonts w:ascii="Times New Roman" w:hAnsi="Times New Roman"/>
          <w:color w:val="000000" w:themeColor="text1"/>
          <w:sz w:val="24"/>
          <w:szCs w:val="24"/>
        </w:rPr>
        <w:lastRenderedPageBreak/>
        <w:t xml:space="preserve">Trường hợp Australia nhấn mạnh </w:t>
      </w:r>
      <w:r w:rsidR="00116550" w:rsidRPr="000A26D0">
        <w:rPr>
          <w:rFonts w:ascii="Times New Roman" w:hAnsi="Times New Roman"/>
          <w:color w:val="000000" w:themeColor="text1"/>
          <w:sz w:val="24"/>
          <w:szCs w:val="24"/>
        </w:rPr>
        <w:t>3</w:t>
      </w:r>
      <w:r w:rsidRPr="000A26D0">
        <w:rPr>
          <w:rFonts w:ascii="Times New Roman" w:hAnsi="Times New Roman"/>
          <w:color w:val="000000" w:themeColor="text1"/>
          <w:sz w:val="24"/>
          <w:szCs w:val="24"/>
        </w:rPr>
        <w:t xml:space="preserve"> điểm: phân biệt nợ có khả năng thu với tổng nghĩa vụ đang tồn đọng; lượng hóa hiệu quả bằng chỉ tiêu và mục tiêu cụ thể; lựa chọn biện pháp xử lý dựa trên mức độ rủi ro và phản hồi của người nộp thuế. Tuy nhiên, tỷ lệ 8,1% được ATO tính bằng trung bình của các tỷ lệ tháng với số thu thuế ròng 12 tháng lũy kế, nên không thể so sánh trực tiếp với tỷ lệ tổng nợ/tổng thu một năm của Việt Nam.</w:t>
      </w:r>
    </w:p>
    <w:p w14:paraId="478D7EC4" w14:textId="77777777" w:rsidR="00936BBF" w:rsidRPr="000A26D0" w:rsidRDefault="00000000">
      <w:pPr>
        <w:numPr>
          <w:ilvl w:val="255"/>
          <w:numId w:val="0"/>
        </w:numPr>
        <w:spacing w:before="120" w:after="0" w:line="280" w:lineRule="exact"/>
        <w:jc w:val="both"/>
        <w:rPr>
          <w:rFonts w:ascii="Times New Roman" w:hAnsi="Times New Roman"/>
          <w:b/>
          <w:bCs/>
          <w:color w:val="000000" w:themeColor="text1"/>
          <w:sz w:val="24"/>
          <w:szCs w:val="24"/>
        </w:rPr>
      </w:pPr>
      <w:r w:rsidRPr="000A26D0">
        <w:rPr>
          <w:rFonts w:ascii="Times New Roman" w:hAnsi="Times New Roman"/>
          <w:b/>
          <w:bCs/>
          <w:color w:val="000000" w:themeColor="text1"/>
          <w:sz w:val="24"/>
          <w:szCs w:val="24"/>
        </w:rPr>
        <w:t>3.3. Vương quốc Anh: kết hợp thu hồi nợ và hỗ trợ thanh toán</w:t>
      </w:r>
    </w:p>
    <w:p w14:paraId="1A44EFAF" w14:textId="60203DEC" w:rsidR="00936BBF" w:rsidRPr="000A26D0" w:rsidRDefault="00000000">
      <w:pPr>
        <w:numPr>
          <w:ilvl w:val="255"/>
          <w:numId w:val="0"/>
        </w:numPr>
        <w:spacing w:before="120" w:after="0" w:line="280" w:lineRule="exact"/>
        <w:jc w:val="both"/>
        <w:rPr>
          <w:rFonts w:ascii="Times New Roman" w:hAnsi="Times New Roman"/>
          <w:color w:val="000000" w:themeColor="text1"/>
          <w:sz w:val="24"/>
          <w:szCs w:val="24"/>
        </w:rPr>
      </w:pPr>
      <w:r w:rsidRPr="000A26D0">
        <w:rPr>
          <w:rFonts w:ascii="Times New Roman" w:hAnsi="Times New Roman"/>
          <w:color w:val="000000" w:themeColor="text1"/>
          <w:sz w:val="24"/>
          <w:szCs w:val="24"/>
        </w:rPr>
        <w:t xml:space="preserve">Cơ quan Thuế và Hải quan Anh (HMRC) vận hành Time to Pay, cho phép thỏa thuận thanh toán đối với trường hợp đáp ứng điều kiện. Trong năm tài chính 2024/25, HMRC báo cáo đã giải quyết hơn 96,7 tỷ GBP nợ và tỷ lệ nợ thuế trên tổng thu giảm từ 5,2% xuống 5,0% (HMRC, 2025). Tuy nhiên, “nợ được giải quyết” không đồng nghĩa với tiền thu thực tế. Báo cáo kiểm toán cùng kỳ nêu dư nợ thuế tại ngày 31/3/2025 là 42,8 tỷ GBP, trong khi giá trị nợ được người nộp thuế thanh toán trong năm là 73,7 tỷ GBP. Phân biệt </w:t>
      </w:r>
      <w:r w:rsidR="00116550" w:rsidRPr="000A26D0">
        <w:rPr>
          <w:rFonts w:ascii="Times New Roman" w:hAnsi="Times New Roman"/>
          <w:color w:val="000000" w:themeColor="text1"/>
          <w:sz w:val="24"/>
          <w:szCs w:val="24"/>
        </w:rPr>
        <w:t>3</w:t>
      </w:r>
      <w:r w:rsidRPr="000A26D0">
        <w:rPr>
          <w:rFonts w:ascii="Times New Roman" w:hAnsi="Times New Roman"/>
          <w:color w:val="000000" w:themeColor="text1"/>
          <w:sz w:val="24"/>
          <w:szCs w:val="24"/>
        </w:rPr>
        <w:t xml:space="preserve"> đại lượng này là thiết yếu khi đánh giá hiệu quả quản lý nợ.</w:t>
      </w:r>
    </w:p>
    <w:p w14:paraId="61ABD52E" w14:textId="3488AAE1" w:rsidR="00936BBF" w:rsidRPr="000A26D0" w:rsidRDefault="00000000">
      <w:pPr>
        <w:numPr>
          <w:ilvl w:val="255"/>
          <w:numId w:val="0"/>
        </w:numPr>
        <w:spacing w:before="120" w:after="0" w:line="280" w:lineRule="exact"/>
        <w:jc w:val="both"/>
        <w:rPr>
          <w:rFonts w:ascii="Times New Roman" w:hAnsi="Times New Roman"/>
          <w:color w:val="000000" w:themeColor="text1"/>
          <w:sz w:val="24"/>
          <w:szCs w:val="24"/>
        </w:rPr>
      </w:pPr>
      <w:r w:rsidRPr="000A26D0">
        <w:rPr>
          <w:rFonts w:ascii="Times New Roman" w:hAnsi="Times New Roman"/>
          <w:color w:val="000000" w:themeColor="text1"/>
          <w:sz w:val="24"/>
          <w:szCs w:val="24"/>
        </w:rPr>
        <w:t>Kinh nghiệm của Anh cho thấy</w:t>
      </w:r>
      <w:r w:rsidR="00116550" w:rsidRPr="000A26D0">
        <w:rPr>
          <w:rFonts w:ascii="Times New Roman" w:hAnsi="Times New Roman"/>
          <w:color w:val="000000" w:themeColor="text1"/>
          <w:sz w:val="24"/>
          <w:szCs w:val="24"/>
        </w:rPr>
        <w:t>,</w:t>
      </w:r>
      <w:r w:rsidRPr="000A26D0">
        <w:rPr>
          <w:rFonts w:ascii="Times New Roman" w:hAnsi="Times New Roman"/>
          <w:color w:val="000000" w:themeColor="text1"/>
          <w:sz w:val="24"/>
          <w:szCs w:val="24"/>
        </w:rPr>
        <w:t xml:space="preserve"> cần đồng thời đánh giá giá trị nợ xử lý trong kỳ, tồn nợ cuối kỳ và phần nợ đang được hỗ trợ thanh toán. Các chỉ tiêu này phản ánh những khía cạnh khác nhau của quản trị nợ; không nên đồng nhất “giá trị nợ được xử lý” với tiền mặt thực thu. Đối với Việt Nam, cần làm rõ hiệu quả từng kênh nhắc nợ, gia hạn, hỗ trợ và cưỡng chế trong khuôn khổ pháp luật hiện hành.</w:t>
      </w:r>
    </w:p>
    <w:p w14:paraId="181E1FED" w14:textId="5319F8FC" w:rsidR="00936BBF" w:rsidRPr="000A26D0" w:rsidRDefault="00000000">
      <w:pPr>
        <w:numPr>
          <w:ilvl w:val="255"/>
          <w:numId w:val="0"/>
        </w:numPr>
        <w:spacing w:before="120" w:after="0" w:line="280" w:lineRule="exact"/>
        <w:jc w:val="both"/>
        <w:rPr>
          <w:rFonts w:ascii="Times New Roman" w:hAnsi="Times New Roman"/>
          <w:b/>
          <w:bCs/>
          <w:color w:val="000000" w:themeColor="text1"/>
          <w:sz w:val="24"/>
          <w:szCs w:val="24"/>
        </w:rPr>
      </w:pPr>
      <w:r w:rsidRPr="000A26D0">
        <w:rPr>
          <w:rFonts w:ascii="Times New Roman" w:hAnsi="Times New Roman"/>
          <w:b/>
          <w:bCs/>
          <w:color w:val="000000" w:themeColor="text1"/>
          <w:sz w:val="24"/>
          <w:szCs w:val="24"/>
        </w:rPr>
        <w:t xml:space="preserve">3.4. Bài học </w:t>
      </w:r>
      <w:r w:rsidR="00116550" w:rsidRPr="000A26D0">
        <w:rPr>
          <w:rFonts w:ascii="Times New Roman" w:hAnsi="Times New Roman"/>
          <w:b/>
          <w:bCs/>
          <w:color w:val="000000" w:themeColor="text1"/>
          <w:sz w:val="24"/>
          <w:szCs w:val="24"/>
        </w:rPr>
        <w:t>kinh nghiệm</w:t>
      </w:r>
      <w:r w:rsidRPr="000A26D0">
        <w:rPr>
          <w:rFonts w:ascii="Times New Roman" w:hAnsi="Times New Roman"/>
          <w:b/>
          <w:bCs/>
          <w:color w:val="000000" w:themeColor="text1"/>
          <w:sz w:val="24"/>
          <w:szCs w:val="24"/>
        </w:rPr>
        <w:t xml:space="preserve"> </w:t>
      </w:r>
      <w:r w:rsidR="00116550" w:rsidRPr="000A26D0">
        <w:rPr>
          <w:rFonts w:ascii="Times New Roman" w:hAnsi="Times New Roman"/>
          <w:b/>
          <w:bCs/>
          <w:color w:val="000000" w:themeColor="text1"/>
          <w:sz w:val="24"/>
          <w:szCs w:val="24"/>
        </w:rPr>
        <w:t>với</w:t>
      </w:r>
      <w:r w:rsidRPr="000A26D0">
        <w:rPr>
          <w:rFonts w:ascii="Times New Roman" w:hAnsi="Times New Roman"/>
          <w:b/>
          <w:bCs/>
          <w:color w:val="000000" w:themeColor="text1"/>
          <w:sz w:val="24"/>
          <w:szCs w:val="24"/>
        </w:rPr>
        <w:t xml:space="preserve"> Việt Nam</w:t>
      </w:r>
    </w:p>
    <w:p w14:paraId="56BB953F" w14:textId="2671B9BC" w:rsidR="00936BBF" w:rsidRPr="000A26D0" w:rsidRDefault="00116550" w:rsidP="000A26D0">
      <w:pPr>
        <w:numPr>
          <w:ilvl w:val="255"/>
          <w:numId w:val="0"/>
        </w:numPr>
        <w:spacing w:before="120" w:after="0" w:line="280" w:lineRule="exact"/>
        <w:jc w:val="both"/>
        <w:rPr>
          <w:rFonts w:ascii="Times New Roman" w:hAnsi="Times New Roman"/>
          <w:color w:val="000000" w:themeColor="text1"/>
          <w:sz w:val="24"/>
          <w:szCs w:val="24"/>
        </w:rPr>
      </w:pPr>
      <w:r w:rsidRPr="000A26D0">
        <w:rPr>
          <w:rFonts w:ascii="Times New Roman" w:hAnsi="Times New Roman"/>
          <w:color w:val="000000" w:themeColor="text1"/>
          <w:sz w:val="24"/>
          <w:szCs w:val="24"/>
        </w:rPr>
        <w:t>3</w:t>
      </w:r>
      <w:r w:rsidR="00000000" w:rsidRPr="000A26D0">
        <w:rPr>
          <w:rFonts w:ascii="Times New Roman" w:hAnsi="Times New Roman"/>
          <w:color w:val="000000" w:themeColor="text1"/>
          <w:sz w:val="24"/>
          <w:szCs w:val="24"/>
        </w:rPr>
        <w:t xml:space="preserve"> trường hợp phản ánh các trọng tâm bổ trợ nhau: Singapore thuận tiện hóa thanh toán và đo lường nợ đọng; Australia phân loại và chọn hồ sơ dựa trên dữ liệu, với mục tiêu quản lý nợ có khả năng thu; Anh kết hợp hỗ trợ trả nợ và công cụ thu hồi. Bài học </w:t>
      </w:r>
      <w:r w:rsidRPr="000A26D0">
        <w:rPr>
          <w:rFonts w:ascii="Times New Roman" w:hAnsi="Times New Roman"/>
          <w:color w:val="000000" w:themeColor="text1"/>
          <w:sz w:val="24"/>
          <w:szCs w:val="24"/>
        </w:rPr>
        <w:t xml:space="preserve">kinh nghiệm </w:t>
      </w:r>
      <w:r w:rsidR="00000000" w:rsidRPr="000A26D0">
        <w:rPr>
          <w:rFonts w:ascii="Times New Roman" w:hAnsi="Times New Roman"/>
          <w:color w:val="000000" w:themeColor="text1"/>
          <w:sz w:val="24"/>
          <w:szCs w:val="24"/>
        </w:rPr>
        <w:t xml:space="preserve">chính không phải sao chép một tỷ lệ mục tiêu nước ngoài mà là thiết kế hệ thống theo dõi đồng bộ: phát sinh nợ </w:t>
      </w:r>
      <w:r w:rsidR="00000000" w:rsidRPr="000A26D0">
        <w:rPr>
          <w:rFonts w:ascii="Times New Roman" w:hAnsi="Times New Roman" w:hint="eastAsia"/>
          <w:color w:val="000000" w:themeColor="text1"/>
          <w:sz w:val="24"/>
          <w:szCs w:val="24"/>
        </w:rPr>
        <w:t>→</w:t>
      </w:r>
      <w:r w:rsidR="00000000" w:rsidRPr="000A26D0">
        <w:rPr>
          <w:rFonts w:ascii="Times New Roman" w:hAnsi="Times New Roman"/>
          <w:color w:val="000000" w:themeColor="text1"/>
          <w:sz w:val="24"/>
          <w:szCs w:val="24"/>
        </w:rPr>
        <w:t xml:space="preserve"> cảnh báo </w:t>
      </w:r>
      <w:r w:rsidR="00000000" w:rsidRPr="000A26D0">
        <w:rPr>
          <w:rFonts w:ascii="Times New Roman" w:hAnsi="Times New Roman" w:hint="eastAsia"/>
          <w:color w:val="000000" w:themeColor="text1"/>
          <w:sz w:val="24"/>
          <w:szCs w:val="24"/>
        </w:rPr>
        <w:t>→</w:t>
      </w:r>
      <w:r w:rsidR="00000000" w:rsidRPr="000A26D0">
        <w:rPr>
          <w:rFonts w:ascii="Times New Roman" w:hAnsi="Times New Roman"/>
          <w:color w:val="000000" w:themeColor="text1"/>
          <w:sz w:val="24"/>
          <w:szCs w:val="24"/>
        </w:rPr>
        <w:t xml:space="preserve"> hỗ trợ/nhắc nợ </w:t>
      </w:r>
      <w:r w:rsidR="00000000" w:rsidRPr="000A26D0">
        <w:rPr>
          <w:rFonts w:ascii="Times New Roman" w:hAnsi="Times New Roman" w:hint="eastAsia"/>
          <w:color w:val="000000" w:themeColor="text1"/>
          <w:sz w:val="24"/>
          <w:szCs w:val="24"/>
        </w:rPr>
        <w:t>→</w:t>
      </w:r>
      <w:r w:rsidR="00000000" w:rsidRPr="000A26D0">
        <w:rPr>
          <w:rFonts w:ascii="Times New Roman" w:hAnsi="Times New Roman"/>
          <w:color w:val="000000" w:themeColor="text1"/>
          <w:sz w:val="24"/>
          <w:szCs w:val="24"/>
        </w:rPr>
        <w:t xml:space="preserve"> thu hồi/xử lý </w:t>
      </w:r>
      <w:r w:rsidR="00000000" w:rsidRPr="000A26D0">
        <w:rPr>
          <w:rFonts w:ascii="Times New Roman" w:hAnsi="Times New Roman" w:hint="eastAsia"/>
          <w:color w:val="000000" w:themeColor="text1"/>
          <w:sz w:val="24"/>
          <w:szCs w:val="24"/>
        </w:rPr>
        <w:t>→</w:t>
      </w:r>
      <w:r w:rsidR="00000000" w:rsidRPr="000A26D0">
        <w:rPr>
          <w:rFonts w:ascii="Times New Roman" w:hAnsi="Times New Roman"/>
          <w:color w:val="000000" w:themeColor="text1"/>
          <w:sz w:val="24"/>
          <w:szCs w:val="24"/>
        </w:rPr>
        <w:t xml:space="preserve"> đánh giá kết quả.</w:t>
      </w:r>
    </w:p>
    <w:p w14:paraId="1655D7AF" w14:textId="0E2DF425" w:rsidR="00936BBF" w:rsidRPr="000A26D0" w:rsidRDefault="00000000">
      <w:pPr>
        <w:spacing w:before="120" w:after="0" w:line="280" w:lineRule="exact"/>
        <w:ind w:left="720"/>
        <w:jc w:val="both"/>
        <w:rPr>
          <w:rFonts w:ascii="Times New Roman" w:hAnsi="Times New Roman"/>
          <w:b/>
          <w:bCs/>
          <w:color w:val="000000" w:themeColor="text1"/>
          <w:sz w:val="24"/>
          <w:szCs w:val="24"/>
        </w:rPr>
      </w:pPr>
      <w:r w:rsidRPr="000A26D0">
        <w:rPr>
          <w:rFonts w:ascii="Times New Roman" w:hAnsi="Times New Roman"/>
          <w:b/>
          <w:bCs/>
          <w:color w:val="000000" w:themeColor="text1"/>
          <w:sz w:val="24"/>
          <w:szCs w:val="24"/>
        </w:rPr>
        <w:t>4. Thực tiễn quản lý nợ thuế Việt Nam giai đoạn 2020</w:t>
      </w:r>
      <w:r w:rsidR="00116550" w:rsidRPr="000A26D0">
        <w:rPr>
          <w:rFonts w:ascii="Times New Roman" w:hAnsi="Times New Roman"/>
          <w:b/>
          <w:bCs/>
          <w:color w:val="000000" w:themeColor="text1"/>
          <w:sz w:val="24"/>
          <w:szCs w:val="24"/>
        </w:rPr>
        <w:t>-</w:t>
      </w:r>
      <w:r w:rsidRPr="000A26D0">
        <w:rPr>
          <w:rFonts w:ascii="Times New Roman" w:hAnsi="Times New Roman"/>
          <w:b/>
          <w:bCs/>
          <w:color w:val="000000" w:themeColor="text1"/>
          <w:sz w:val="24"/>
          <w:szCs w:val="24"/>
        </w:rPr>
        <w:t>2025 và phân tích kịch bản 2026</w:t>
      </w:r>
    </w:p>
    <w:p w14:paraId="01B1D2DD" w14:textId="77777777" w:rsidR="00936BBF" w:rsidRPr="000A26D0" w:rsidRDefault="00936BBF" w:rsidP="000A26D0">
      <w:pPr>
        <w:spacing w:before="120" w:after="0" w:line="280" w:lineRule="exact"/>
        <w:jc w:val="both"/>
        <w:rPr>
          <w:rFonts w:ascii="Times New Roman" w:hAnsi="Times New Roman"/>
          <w:b/>
          <w:bCs/>
          <w:color w:val="000000" w:themeColor="text1"/>
          <w:sz w:val="26"/>
          <w:szCs w:val="26"/>
        </w:rPr>
      </w:pPr>
    </w:p>
    <w:p w14:paraId="1DF31F49" w14:textId="77777777" w:rsidR="00936BBF" w:rsidRPr="000A26D0" w:rsidRDefault="00000000">
      <w:pPr>
        <w:spacing w:before="120" w:after="0" w:line="280" w:lineRule="exact"/>
        <w:ind w:left="720"/>
        <w:jc w:val="both"/>
        <w:rPr>
          <w:rFonts w:ascii="Times New Roman" w:hAnsi="Times New Roman"/>
          <w:b/>
          <w:bCs/>
          <w:color w:val="000000" w:themeColor="text1"/>
          <w:sz w:val="26"/>
          <w:szCs w:val="26"/>
        </w:rPr>
      </w:pPr>
      <w:r w:rsidRPr="000A26D0">
        <w:rPr>
          <w:rFonts w:ascii="Times New Roman" w:hAnsi="Times New Roman"/>
          <w:b/>
          <w:bCs/>
          <w:color w:val="000000" w:themeColor="text1"/>
          <w:sz w:val="26"/>
          <w:szCs w:val="26"/>
        </w:rPr>
        <w:t>4.1. Quy mô và diễn biến nợ thuế</w:t>
      </w:r>
    </w:p>
    <w:p w14:paraId="1303F370" w14:textId="6BEE182D" w:rsidR="00936BBF" w:rsidRPr="000A26D0" w:rsidRDefault="00936BBF" w:rsidP="000A26D0">
      <w:pPr>
        <w:spacing w:before="120" w:after="0" w:line="280" w:lineRule="exact"/>
        <w:ind w:left="720"/>
        <w:jc w:val="both"/>
        <w:rPr>
          <w:rFonts w:ascii="Times New Roman" w:hAnsi="Times New Roman"/>
          <w:b/>
          <w:bCs/>
          <w:color w:val="000000" w:themeColor="text1"/>
          <w:sz w:val="26"/>
          <w:szCs w:val="26"/>
        </w:rPr>
      </w:pPr>
    </w:p>
    <w:p w14:paraId="199ED7D9" w14:textId="55932950" w:rsidR="00936BBF" w:rsidRPr="000A26D0" w:rsidRDefault="00000000" w:rsidP="000A26D0">
      <w:pPr>
        <w:spacing w:before="120" w:after="0" w:line="280" w:lineRule="exact"/>
        <w:jc w:val="both"/>
        <w:rPr>
          <w:rFonts w:ascii="Times New Roman" w:hAnsi="Times New Roman"/>
          <w:color w:val="000000" w:themeColor="text1"/>
          <w:sz w:val="26"/>
          <w:szCs w:val="26"/>
          <w:lang w:val="en-GB"/>
        </w:rPr>
      </w:pPr>
      <w:r w:rsidRPr="000A26D0">
        <w:rPr>
          <w:rFonts w:ascii="Times New Roman" w:hAnsi="Times New Roman"/>
          <w:color w:val="000000" w:themeColor="text1"/>
          <w:sz w:val="26"/>
          <w:szCs w:val="26"/>
        </w:rPr>
        <w:t>Bảng 1. Tình hình nợ thuế và số thu do cơ quan thuế quản lý giai đoạn 2020</w:t>
      </w:r>
      <w:r w:rsidR="00B46DD2" w:rsidRPr="000A26D0">
        <w:rPr>
          <w:rFonts w:ascii="Times New Roman" w:hAnsi="Times New Roman"/>
          <w:color w:val="000000" w:themeColor="text1"/>
          <w:sz w:val="26"/>
          <w:szCs w:val="26"/>
        </w:rPr>
        <w:t>-</w:t>
      </w:r>
      <w:r w:rsidRPr="000A26D0">
        <w:rPr>
          <w:rFonts w:ascii="Times New Roman" w:hAnsi="Times New Roman"/>
          <w:color w:val="000000" w:themeColor="text1"/>
          <w:sz w:val="26"/>
          <w:szCs w:val="26"/>
        </w:rPr>
        <w:t>2025; minh họa kịch bản 2026</w:t>
      </w:r>
    </w:p>
    <w:p w14:paraId="7DCB503B" w14:textId="77777777" w:rsidR="00936BBF" w:rsidRPr="000A26D0" w:rsidRDefault="00000000" w:rsidP="000A26D0">
      <w:pPr>
        <w:spacing w:before="120" w:after="0" w:line="280" w:lineRule="exact"/>
        <w:ind w:left="5760" w:firstLineChars="526" w:firstLine="1368"/>
        <w:jc w:val="both"/>
        <w:rPr>
          <w:rFonts w:ascii="Times New Roman" w:hAnsi="Times New Roman"/>
          <w:color w:val="000000" w:themeColor="text1"/>
          <w:sz w:val="26"/>
          <w:szCs w:val="26"/>
          <w:lang w:val="en-GB"/>
        </w:rPr>
      </w:pPr>
      <w:r w:rsidRPr="000A26D0">
        <w:rPr>
          <w:rFonts w:ascii="Times New Roman" w:hAnsi="Times New Roman"/>
          <w:color w:val="000000" w:themeColor="text1"/>
          <w:sz w:val="26"/>
          <w:szCs w:val="26"/>
        </w:rPr>
        <w:t>Đơn vị: Tỷ đồng</w:t>
      </w:r>
      <w:r w:rsidRPr="000A26D0">
        <w:rPr>
          <w:rFonts w:ascii="Times New Roman" w:hAnsi="Times New Roman"/>
          <w:color w:val="000000" w:themeColor="text1"/>
          <w:sz w:val="26"/>
          <w:szCs w:val="26"/>
          <w:lang w:val="en-GB"/>
        </w:rPr>
        <w:t>, %</w:t>
      </w:r>
    </w:p>
    <w:tbl>
      <w:tblPr>
        <w:tblStyle w:val="TableGrid"/>
        <w:tblW w:w="0" w:type="auto"/>
        <w:jc w:val="center"/>
        <w:tblLook w:val="04A0" w:firstRow="1" w:lastRow="0" w:firstColumn="1" w:lastColumn="0" w:noHBand="0" w:noVBand="1"/>
      </w:tblPr>
      <w:tblGrid>
        <w:gridCol w:w="1084"/>
        <w:gridCol w:w="1180"/>
        <w:gridCol w:w="1181"/>
        <w:gridCol w:w="1181"/>
        <w:gridCol w:w="1181"/>
        <w:gridCol w:w="1181"/>
        <w:gridCol w:w="1181"/>
        <w:gridCol w:w="1181"/>
      </w:tblGrid>
      <w:tr w:rsidR="00936BBF" w:rsidRPr="000A26D0" w14:paraId="05BEE80B" w14:textId="77777777">
        <w:trPr>
          <w:jc w:val="center"/>
        </w:trPr>
        <w:tc>
          <w:tcPr>
            <w:tcW w:w="1183" w:type="dxa"/>
            <w:shd w:val="clear" w:color="auto" w:fill="EAF1F8"/>
            <w:vAlign w:val="center"/>
          </w:tcPr>
          <w:p w14:paraId="7BD1F4AC"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Chỉ tiêu</w:t>
            </w:r>
          </w:p>
        </w:tc>
        <w:tc>
          <w:tcPr>
            <w:tcW w:w="1183" w:type="dxa"/>
            <w:shd w:val="clear" w:color="auto" w:fill="EAF1F8"/>
            <w:vAlign w:val="center"/>
          </w:tcPr>
          <w:p w14:paraId="40A45376"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2020</w:t>
            </w:r>
          </w:p>
        </w:tc>
        <w:tc>
          <w:tcPr>
            <w:tcW w:w="1183" w:type="dxa"/>
            <w:shd w:val="clear" w:color="auto" w:fill="EAF1F8"/>
            <w:vAlign w:val="center"/>
          </w:tcPr>
          <w:p w14:paraId="7B229BC6"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2021</w:t>
            </w:r>
          </w:p>
        </w:tc>
        <w:tc>
          <w:tcPr>
            <w:tcW w:w="1183" w:type="dxa"/>
            <w:shd w:val="clear" w:color="auto" w:fill="EAF1F8"/>
            <w:vAlign w:val="center"/>
          </w:tcPr>
          <w:p w14:paraId="79BEE6D3"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2022</w:t>
            </w:r>
          </w:p>
        </w:tc>
        <w:tc>
          <w:tcPr>
            <w:tcW w:w="1183" w:type="dxa"/>
            <w:shd w:val="clear" w:color="auto" w:fill="EAF1F8"/>
            <w:vAlign w:val="center"/>
          </w:tcPr>
          <w:p w14:paraId="2BAA1C13"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2023</w:t>
            </w:r>
          </w:p>
        </w:tc>
        <w:tc>
          <w:tcPr>
            <w:tcW w:w="1183" w:type="dxa"/>
            <w:shd w:val="clear" w:color="auto" w:fill="EAF1F8"/>
            <w:vAlign w:val="center"/>
          </w:tcPr>
          <w:p w14:paraId="3803BC46"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2024</w:t>
            </w:r>
          </w:p>
        </w:tc>
        <w:tc>
          <w:tcPr>
            <w:tcW w:w="1183" w:type="dxa"/>
            <w:shd w:val="clear" w:color="auto" w:fill="EAF1F8"/>
            <w:vAlign w:val="center"/>
          </w:tcPr>
          <w:p w14:paraId="025AAC30"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2025</w:t>
            </w:r>
          </w:p>
        </w:tc>
        <w:tc>
          <w:tcPr>
            <w:tcW w:w="1183" w:type="dxa"/>
            <w:shd w:val="clear" w:color="auto" w:fill="EAF1F8"/>
            <w:vAlign w:val="center"/>
          </w:tcPr>
          <w:p w14:paraId="6B8C7059"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2026*</w:t>
            </w:r>
          </w:p>
        </w:tc>
      </w:tr>
      <w:tr w:rsidR="00936BBF" w:rsidRPr="000A26D0" w14:paraId="653E21AE" w14:textId="77777777" w:rsidTr="000A26D0">
        <w:trPr>
          <w:trHeight w:val="685"/>
          <w:jc w:val="center"/>
        </w:trPr>
        <w:tc>
          <w:tcPr>
            <w:tcW w:w="1183" w:type="dxa"/>
            <w:vAlign w:val="center"/>
          </w:tcPr>
          <w:p w14:paraId="07D8B329"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Tổng nợ thuế</w:t>
            </w:r>
          </w:p>
        </w:tc>
        <w:tc>
          <w:tcPr>
            <w:tcW w:w="1183" w:type="dxa"/>
            <w:vAlign w:val="center"/>
          </w:tcPr>
          <w:p w14:paraId="1F5DD21C"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89.796</w:t>
            </w:r>
          </w:p>
        </w:tc>
        <w:tc>
          <w:tcPr>
            <w:tcW w:w="1183" w:type="dxa"/>
            <w:vAlign w:val="center"/>
          </w:tcPr>
          <w:p w14:paraId="6D524812"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104.042</w:t>
            </w:r>
          </w:p>
        </w:tc>
        <w:tc>
          <w:tcPr>
            <w:tcW w:w="1183" w:type="dxa"/>
            <w:vAlign w:val="center"/>
          </w:tcPr>
          <w:p w14:paraId="08A3DAD2"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122.918</w:t>
            </w:r>
          </w:p>
        </w:tc>
        <w:tc>
          <w:tcPr>
            <w:tcW w:w="1183" w:type="dxa"/>
            <w:vAlign w:val="center"/>
          </w:tcPr>
          <w:p w14:paraId="110E5C92"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163.591</w:t>
            </w:r>
          </w:p>
        </w:tc>
        <w:tc>
          <w:tcPr>
            <w:tcW w:w="1183" w:type="dxa"/>
            <w:vAlign w:val="center"/>
          </w:tcPr>
          <w:p w14:paraId="6F01FBF1"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192.543</w:t>
            </w:r>
          </w:p>
        </w:tc>
        <w:tc>
          <w:tcPr>
            <w:tcW w:w="1183" w:type="dxa"/>
            <w:vAlign w:val="center"/>
          </w:tcPr>
          <w:p w14:paraId="3A2B4184"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228.926</w:t>
            </w:r>
          </w:p>
        </w:tc>
        <w:tc>
          <w:tcPr>
            <w:tcW w:w="1183" w:type="dxa"/>
            <w:vAlign w:val="center"/>
          </w:tcPr>
          <w:p w14:paraId="287D2D43"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272.422</w:t>
            </w:r>
          </w:p>
        </w:tc>
      </w:tr>
      <w:tr w:rsidR="00936BBF" w:rsidRPr="000A26D0" w14:paraId="6B3561A9" w14:textId="77777777">
        <w:trPr>
          <w:jc w:val="center"/>
        </w:trPr>
        <w:tc>
          <w:tcPr>
            <w:tcW w:w="1183" w:type="dxa"/>
            <w:vAlign w:val="center"/>
          </w:tcPr>
          <w:p w14:paraId="1B9EEED9"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Tăng nợ (%)</w:t>
            </w:r>
          </w:p>
        </w:tc>
        <w:tc>
          <w:tcPr>
            <w:tcW w:w="1183" w:type="dxa"/>
            <w:vAlign w:val="center"/>
          </w:tcPr>
          <w:p w14:paraId="3B3DBE1E"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w:t>
            </w:r>
          </w:p>
        </w:tc>
        <w:tc>
          <w:tcPr>
            <w:tcW w:w="1183" w:type="dxa"/>
            <w:vAlign w:val="center"/>
          </w:tcPr>
          <w:p w14:paraId="4AB36315"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15,86</w:t>
            </w:r>
          </w:p>
        </w:tc>
        <w:tc>
          <w:tcPr>
            <w:tcW w:w="1183" w:type="dxa"/>
            <w:vAlign w:val="center"/>
          </w:tcPr>
          <w:p w14:paraId="5EED02D4"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18,14</w:t>
            </w:r>
          </w:p>
        </w:tc>
        <w:tc>
          <w:tcPr>
            <w:tcW w:w="1183" w:type="dxa"/>
            <w:vAlign w:val="center"/>
          </w:tcPr>
          <w:p w14:paraId="459275ED"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33,09</w:t>
            </w:r>
          </w:p>
        </w:tc>
        <w:tc>
          <w:tcPr>
            <w:tcW w:w="1183" w:type="dxa"/>
            <w:vAlign w:val="center"/>
          </w:tcPr>
          <w:p w14:paraId="1EC2E90E"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17,70</w:t>
            </w:r>
          </w:p>
        </w:tc>
        <w:tc>
          <w:tcPr>
            <w:tcW w:w="1183" w:type="dxa"/>
            <w:vAlign w:val="center"/>
          </w:tcPr>
          <w:p w14:paraId="36737D67"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18,90</w:t>
            </w:r>
          </w:p>
        </w:tc>
        <w:tc>
          <w:tcPr>
            <w:tcW w:w="1183" w:type="dxa"/>
            <w:vAlign w:val="center"/>
          </w:tcPr>
          <w:p w14:paraId="079E9E8E"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19,00</w:t>
            </w:r>
          </w:p>
        </w:tc>
      </w:tr>
      <w:tr w:rsidR="00936BBF" w:rsidRPr="000A26D0" w14:paraId="7DD46607" w14:textId="77777777">
        <w:trPr>
          <w:jc w:val="center"/>
        </w:trPr>
        <w:tc>
          <w:tcPr>
            <w:tcW w:w="1183" w:type="dxa"/>
            <w:vAlign w:val="center"/>
          </w:tcPr>
          <w:p w14:paraId="79F07372"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Số thu NSNN</w:t>
            </w:r>
          </w:p>
        </w:tc>
        <w:tc>
          <w:tcPr>
            <w:tcW w:w="1183" w:type="dxa"/>
            <w:vAlign w:val="center"/>
          </w:tcPr>
          <w:p w14:paraId="1889E1B7"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1.276.219</w:t>
            </w:r>
          </w:p>
        </w:tc>
        <w:tc>
          <w:tcPr>
            <w:tcW w:w="1183" w:type="dxa"/>
            <w:vAlign w:val="center"/>
          </w:tcPr>
          <w:p w14:paraId="7CA4E259"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1.116.700</w:t>
            </w:r>
          </w:p>
        </w:tc>
        <w:tc>
          <w:tcPr>
            <w:tcW w:w="1183" w:type="dxa"/>
            <w:vAlign w:val="center"/>
          </w:tcPr>
          <w:p w14:paraId="5C8C6B5D"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1.174.900</w:t>
            </w:r>
          </w:p>
        </w:tc>
        <w:tc>
          <w:tcPr>
            <w:tcW w:w="1183" w:type="dxa"/>
            <w:vAlign w:val="center"/>
          </w:tcPr>
          <w:p w14:paraId="11FFB285"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1.373.244</w:t>
            </w:r>
          </w:p>
        </w:tc>
        <w:tc>
          <w:tcPr>
            <w:tcW w:w="1183" w:type="dxa"/>
            <w:vAlign w:val="center"/>
          </w:tcPr>
          <w:p w14:paraId="197042BA"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1.732.000</w:t>
            </w:r>
          </w:p>
        </w:tc>
        <w:tc>
          <w:tcPr>
            <w:tcW w:w="1183" w:type="dxa"/>
            <w:vAlign w:val="center"/>
          </w:tcPr>
          <w:p w14:paraId="02BCAC12"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2.236.900</w:t>
            </w:r>
          </w:p>
        </w:tc>
        <w:tc>
          <w:tcPr>
            <w:tcW w:w="1183" w:type="dxa"/>
            <w:vAlign w:val="center"/>
          </w:tcPr>
          <w:p w14:paraId="1B21E17E"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2.414.276</w:t>
            </w:r>
          </w:p>
        </w:tc>
      </w:tr>
      <w:tr w:rsidR="00936BBF" w:rsidRPr="000A26D0" w14:paraId="25829C4B" w14:textId="77777777">
        <w:trPr>
          <w:jc w:val="center"/>
        </w:trPr>
        <w:tc>
          <w:tcPr>
            <w:tcW w:w="1183" w:type="dxa"/>
            <w:vAlign w:val="center"/>
          </w:tcPr>
          <w:p w14:paraId="585B27C8"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lastRenderedPageBreak/>
              <w:t>Tăng thu (%)</w:t>
            </w:r>
          </w:p>
        </w:tc>
        <w:tc>
          <w:tcPr>
            <w:tcW w:w="1183" w:type="dxa"/>
            <w:vAlign w:val="center"/>
          </w:tcPr>
          <w:p w14:paraId="3C120CA2"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w:t>
            </w:r>
          </w:p>
        </w:tc>
        <w:tc>
          <w:tcPr>
            <w:tcW w:w="1183" w:type="dxa"/>
            <w:vAlign w:val="center"/>
          </w:tcPr>
          <w:p w14:paraId="1B7B68B0"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-12,50</w:t>
            </w:r>
          </w:p>
        </w:tc>
        <w:tc>
          <w:tcPr>
            <w:tcW w:w="1183" w:type="dxa"/>
            <w:vAlign w:val="center"/>
          </w:tcPr>
          <w:p w14:paraId="686BE680"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5,21</w:t>
            </w:r>
          </w:p>
        </w:tc>
        <w:tc>
          <w:tcPr>
            <w:tcW w:w="1183" w:type="dxa"/>
            <w:vAlign w:val="center"/>
          </w:tcPr>
          <w:p w14:paraId="0E76B00B"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16,88</w:t>
            </w:r>
          </w:p>
        </w:tc>
        <w:tc>
          <w:tcPr>
            <w:tcW w:w="1183" w:type="dxa"/>
            <w:vAlign w:val="center"/>
          </w:tcPr>
          <w:p w14:paraId="7A4C4CEA"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26,12</w:t>
            </w:r>
          </w:p>
        </w:tc>
        <w:tc>
          <w:tcPr>
            <w:tcW w:w="1183" w:type="dxa"/>
            <w:vAlign w:val="center"/>
          </w:tcPr>
          <w:p w14:paraId="5C2FB2AE"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29,15</w:t>
            </w:r>
          </w:p>
        </w:tc>
        <w:tc>
          <w:tcPr>
            <w:tcW w:w="1183" w:type="dxa"/>
            <w:vAlign w:val="center"/>
          </w:tcPr>
          <w:p w14:paraId="2CE698DA"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7,93</w:t>
            </w:r>
          </w:p>
        </w:tc>
      </w:tr>
      <w:tr w:rsidR="00936BBF" w:rsidRPr="000A26D0" w14:paraId="5020EE51" w14:textId="77777777">
        <w:trPr>
          <w:jc w:val="center"/>
        </w:trPr>
        <w:tc>
          <w:tcPr>
            <w:tcW w:w="1183" w:type="dxa"/>
            <w:vAlign w:val="center"/>
          </w:tcPr>
          <w:p w14:paraId="1EB2AC76"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Nợ/thu (%)</w:t>
            </w:r>
          </w:p>
        </w:tc>
        <w:tc>
          <w:tcPr>
            <w:tcW w:w="1183" w:type="dxa"/>
            <w:vAlign w:val="center"/>
          </w:tcPr>
          <w:p w14:paraId="478EDBB8"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7,04</w:t>
            </w:r>
          </w:p>
        </w:tc>
        <w:tc>
          <w:tcPr>
            <w:tcW w:w="1183" w:type="dxa"/>
            <w:vAlign w:val="center"/>
          </w:tcPr>
          <w:p w14:paraId="4E900C2B"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9,32</w:t>
            </w:r>
          </w:p>
        </w:tc>
        <w:tc>
          <w:tcPr>
            <w:tcW w:w="1183" w:type="dxa"/>
            <w:vAlign w:val="center"/>
          </w:tcPr>
          <w:p w14:paraId="072F9DCC"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10,46</w:t>
            </w:r>
          </w:p>
        </w:tc>
        <w:tc>
          <w:tcPr>
            <w:tcW w:w="1183" w:type="dxa"/>
            <w:vAlign w:val="center"/>
          </w:tcPr>
          <w:p w14:paraId="48C55C39"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11,91</w:t>
            </w:r>
          </w:p>
        </w:tc>
        <w:tc>
          <w:tcPr>
            <w:tcW w:w="1183" w:type="dxa"/>
            <w:vAlign w:val="center"/>
          </w:tcPr>
          <w:p w14:paraId="566FCAA0"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11,12</w:t>
            </w:r>
          </w:p>
        </w:tc>
        <w:tc>
          <w:tcPr>
            <w:tcW w:w="1183" w:type="dxa"/>
            <w:vAlign w:val="center"/>
          </w:tcPr>
          <w:p w14:paraId="19BD46C0"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10,23</w:t>
            </w:r>
          </w:p>
        </w:tc>
        <w:tc>
          <w:tcPr>
            <w:tcW w:w="1183" w:type="dxa"/>
            <w:vAlign w:val="center"/>
          </w:tcPr>
          <w:p w14:paraId="0D4FF970" w14:textId="77777777" w:rsidR="00936BBF" w:rsidRPr="000A26D0" w:rsidRDefault="00000000">
            <w:pPr>
              <w:spacing w:before="120" w:after="0" w:line="280" w:lineRule="exact"/>
              <w:jc w:val="both"/>
              <w:rPr>
                <w:rFonts w:ascii="Times New Roman" w:hAnsi="Times New Roman"/>
                <w:color w:val="000000" w:themeColor="text1"/>
                <w:sz w:val="24"/>
                <w:szCs w:val="24"/>
                <w:lang w:val="en-GB"/>
              </w:rPr>
            </w:pPr>
            <w:r w:rsidRPr="000A26D0">
              <w:rPr>
                <w:rFonts w:ascii="Times New Roman" w:hAnsi="Times New Roman"/>
                <w:color w:val="000000" w:themeColor="text1"/>
                <w:sz w:val="24"/>
                <w:szCs w:val="24"/>
                <w:lang w:val="en-GB"/>
              </w:rPr>
              <w:t>11,28</w:t>
            </w:r>
          </w:p>
        </w:tc>
      </w:tr>
    </w:tbl>
    <w:p w14:paraId="1A636ED9" w14:textId="77777777" w:rsidR="00936BBF" w:rsidRPr="000A26D0" w:rsidRDefault="00936BBF" w:rsidP="000A26D0">
      <w:pPr>
        <w:spacing w:before="120" w:after="0" w:line="280" w:lineRule="exact"/>
        <w:jc w:val="both"/>
        <w:rPr>
          <w:rFonts w:ascii="Times New Roman" w:hAnsi="Times New Roman"/>
          <w:color w:val="000000" w:themeColor="text1"/>
          <w:sz w:val="26"/>
          <w:szCs w:val="26"/>
          <w:lang w:val="en-GB"/>
        </w:rPr>
      </w:pPr>
    </w:p>
    <w:p w14:paraId="0AD06FE4" w14:textId="77777777" w:rsidR="00936BBF" w:rsidRPr="000A26D0" w:rsidRDefault="00000000" w:rsidP="000A26D0">
      <w:pPr>
        <w:pStyle w:val="BodyText"/>
        <w:spacing w:before="120" w:after="0" w:line="280" w:lineRule="exact"/>
        <w:jc w:val="both"/>
        <w:rPr>
          <w:color w:val="000000" w:themeColor="text1"/>
          <w:sz w:val="26"/>
          <w:szCs w:val="26"/>
        </w:rPr>
      </w:pPr>
      <w:r w:rsidRPr="000A26D0">
        <w:rPr>
          <w:color w:val="000000" w:themeColor="text1"/>
          <w:sz w:val="26"/>
          <w:szCs w:val="26"/>
        </w:rPr>
        <w:t>Nguồn: Tổng hợp báo cáo công tác thuế giai đoạn 2020</w:t>
      </w:r>
      <w:r w:rsidRPr="000A26D0">
        <w:rPr>
          <w:color w:val="000000" w:themeColor="text1"/>
          <w:sz w:val="26"/>
          <w:szCs w:val="26"/>
          <w:lang w:val="en-GB"/>
        </w:rPr>
        <w:t>-</w:t>
      </w:r>
      <w:r w:rsidRPr="000A26D0">
        <w:rPr>
          <w:color w:val="000000" w:themeColor="text1"/>
          <w:sz w:val="26"/>
          <w:szCs w:val="26"/>
        </w:rPr>
        <w:t>2025; số thu năm 2025 theo Cục Thuế; số liệu năm 2026 l</w:t>
      </w:r>
      <w:r w:rsidRPr="000A26D0">
        <w:rPr>
          <w:color w:val="000000" w:themeColor="text1"/>
          <w:sz w:val="26"/>
          <w:szCs w:val="26"/>
          <w:lang w:val="en-GB"/>
        </w:rPr>
        <w:t>à dự báo</w:t>
      </w:r>
      <w:r w:rsidRPr="000A26D0">
        <w:rPr>
          <w:color w:val="000000" w:themeColor="text1"/>
          <w:sz w:val="26"/>
          <w:szCs w:val="26"/>
        </w:rPr>
        <w:t xml:space="preserve"> tính toán của tác giả. </w:t>
      </w:r>
    </w:p>
    <w:p w14:paraId="7961466E" w14:textId="09A4B77C" w:rsidR="00936BBF" w:rsidRPr="000A26D0" w:rsidRDefault="00000000" w:rsidP="000A26D0">
      <w:pPr>
        <w:pStyle w:val="BodyText"/>
        <w:spacing w:before="120" w:after="0" w:line="280" w:lineRule="exact"/>
        <w:ind w:firstLine="720"/>
        <w:jc w:val="both"/>
        <w:rPr>
          <w:color w:val="000000" w:themeColor="text1"/>
          <w:sz w:val="26"/>
          <w:szCs w:val="26"/>
        </w:rPr>
      </w:pPr>
      <w:r w:rsidRPr="000A26D0">
        <w:rPr>
          <w:color w:val="000000" w:themeColor="text1"/>
          <w:sz w:val="26"/>
          <w:szCs w:val="26"/>
        </w:rPr>
        <w:t>Bảng 1 cho thấy, tổng nợ thuế tăng từ 89.796 tỷ đồng năm 2020 lên khoảng 228.926 tỷ đồng năm 2025, tăng 139.130 tỷ đồng, tương đương 154,9% và gấp 2,55 lần. Trong khi đó, số thu NSNN do cơ quan thuế quản lý năm 2025 ước đạt 2.236.900 tỷ đồng. Việc cập nhật số thu thực hiện thay cho số dự toán làm thay đổi đáng kể tỷ lệ nợ trên thu, vì vậy các chỉ tiêu so sánh cần được tính trên cùng phạm vi thống kê và cùng thời điểm chốt số liệu.</w:t>
      </w:r>
    </w:p>
    <w:p w14:paraId="23D7EA8A" w14:textId="77777777" w:rsidR="00936BBF" w:rsidRPr="000A26D0" w:rsidRDefault="00000000" w:rsidP="000A26D0">
      <w:pPr>
        <w:spacing w:before="120" w:after="0" w:line="280" w:lineRule="exact"/>
        <w:ind w:firstLine="720"/>
        <w:jc w:val="both"/>
        <w:rPr>
          <w:rFonts w:ascii="Times New Roman" w:hAnsi="Times New Roman"/>
          <w:color w:val="000000" w:themeColor="text1"/>
          <w:sz w:val="26"/>
          <w:szCs w:val="26"/>
        </w:rPr>
      </w:pPr>
      <w:r w:rsidRPr="000A26D0">
        <w:rPr>
          <w:rFonts w:ascii="Times New Roman" w:hAnsi="Times New Roman"/>
          <w:color w:val="000000" w:themeColor="text1"/>
          <w:sz w:val="26"/>
          <w:szCs w:val="26"/>
        </w:rPr>
        <w:t>Tỷ lệ nợ trên thu năm 2025 theo số liệu cập nhật vào khoảng 10,23%, thấp hơn năm 2024 nhưng vẫn cao hơn mức 7,04% của năm 2020. Diễn biến này cho thấy, tăng trưởng thu năm 2025 đã làm giảm áp lực nợ xét theo tỷ trọng, song chưa tạo ra sự thu hẹp về quy mô dư nợ. Do đó, đánh giá hiệu quả quản lý không nên chỉ dựa vào tỷ lệ tương đối mà cần đồng thời xem xét nợ mới phát sinh, số nợ thu hồi và cơ cấu nợ theo khả năng thu.</w:t>
      </w:r>
    </w:p>
    <w:p w14:paraId="2D4D7E49" w14:textId="0F1FC639" w:rsidR="00936BBF" w:rsidRPr="000A26D0" w:rsidRDefault="00000000" w:rsidP="000A26D0">
      <w:pPr>
        <w:spacing w:before="120" w:after="0" w:line="280" w:lineRule="exact"/>
        <w:ind w:firstLine="720"/>
        <w:jc w:val="both"/>
        <w:rPr>
          <w:rFonts w:ascii="Times New Roman" w:hAnsi="Times New Roman"/>
          <w:color w:val="000000" w:themeColor="text1"/>
          <w:sz w:val="26"/>
          <w:szCs w:val="26"/>
        </w:rPr>
      </w:pPr>
      <w:r w:rsidRPr="000A26D0">
        <w:rPr>
          <w:rFonts w:ascii="Times New Roman" w:hAnsi="Times New Roman"/>
          <w:color w:val="000000" w:themeColor="text1"/>
          <w:sz w:val="26"/>
          <w:szCs w:val="26"/>
        </w:rPr>
        <w:t>Diễn biến giai đoạn nghiên cứu có thể chia thành 3 trạng thái. Năm 2020</w:t>
      </w:r>
      <w:r w:rsidRPr="000A26D0">
        <w:rPr>
          <w:rFonts w:ascii="Times New Roman" w:hAnsi="Times New Roman"/>
          <w:color w:val="000000" w:themeColor="text1"/>
          <w:sz w:val="26"/>
          <w:szCs w:val="26"/>
          <w:lang w:val="en-GB"/>
        </w:rPr>
        <w:t>-</w:t>
      </w:r>
      <w:r w:rsidRPr="000A26D0">
        <w:rPr>
          <w:rFonts w:ascii="Times New Roman" w:hAnsi="Times New Roman"/>
          <w:color w:val="000000" w:themeColor="text1"/>
          <w:sz w:val="26"/>
          <w:szCs w:val="26"/>
        </w:rPr>
        <w:t>2021, thu ngân sách giảm trong khi nợ tăng, làm tỷ lệ nợ trên thu tăng mạnh. Giai đoạn 2022</w:t>
      </w:r>
      <w:r w:rsidRPr="000A26D0">
        <w:rPr>
          <w:rFonts w:ascii="Times New Roman" w:hAnsi="Times New Roman"/>
          <w:color w:val="000000" w:themeColor="text1"/>
          <w:sz w:val="26"/>
          <w:szCs w:val="26"/>
          <w:lang w:val="en-GB"/>
        </w:rPr>
        <w:t>-</w:t>
      </w:r>
      <w:r w:rsidRPr="000A26D0">
        <w:rPr>
          <w:rFonts w:ascii="Times New Roman" w:hAnsi="Times New Roman"/>
          <w:color w:val="000000" w:themeColor="text1"/>
          <w:sz w:val="26"/>
          <w:szCs w:val="26"/>
        </w:rPr>
        <w:t>2023, thu phục hồi nhưng chưa theo kịp tốc độ gia tăng nợ. Từ năm 2024 đến 2025, thu ngân sách tăng nhanh hơn, giúp tỷ lệ nợ trên thu cải thiện; tuy nhiên, dư nợ tuyệt đối tiếp tục tăng. Sự khác biệt giữa cải thiện tỷ trọng và gia tăng quy mô là điểm cần lưu ý khi đánh giá chất lượng quản lý nợ.</w:t>
      </w:r>
    </w:p>
    <w:p w14:paraId="10F27B4F" w14:textId="77777777" w:rsidR="00936BBF" w:rsidRPr="000A26D0" w:rsidRDefault="00000000" w:rsidP="000A26D0">
      <w:pPr>
        <w:spacing w:before="120" w:after="0" w:line="280" w:lineRule="exact"/>
        <w:ind w:firstLine="720"/>
        <w:jc w:val="both"/>
        <w:rPr>
          <w:rFonts w:ascii="Times New Roman" w:hAnsi="Times New Roman"/>
          <w:color w:val="000000" w:themeColor="text1"/>
          <w:sz w:val="26"/>
          <w:szCs w:val="26"/>
          <w:lang w:val="en-GB"/>
        </w:rPr>
      </w:pPr>
      <w:r w:rsidRPr="000A26D0">
        <w:rPr>
          <w:rFonts w:ascii="Times New Roman" w:hAnsi="Times New Roman"/>
          <w:color w:val="000000" w:themeColor="text1"/>
          <w:sz w:val="26"/>
          <w:szCs w:val="26"/>
          <w:lang w:val="en-GB"/>
        </w:rPr>
        <w:t>Dự báo</w:t>
      </w:r>
      <w:r w:rsidRPr="000A26D0">
        <w:rPr>
          <w:rFonts w:ascii="Times New Roman" w:hAnsi="Times New Roman"/>
          <w:color w:val="000000" w:themeColor="text1"/>
          <w:sz w:val="26"/>
          <w:szCs w:val="26"/>
        </w:rPr>
        <w:t xml:space="preserve"> năm 2026 được xây dựng nhằm lượng hóa rủi ro nếu xu hướng nợ chưa được kiểm soát. Với giả định nợ tăng 19% và thu do cơ quan thuế quản lý tăng 7,93% so với năm 2025, tổng nợ có thể đạt khoảng 272.422 tỷ đồng, tổng thu khoảng 2.414.286 tỷ đồng và tỷ lệ nợ trên thu khoảng 11,28%. Đây là </w:t>
      </w:r>
      <w:r w:rsidRPr="000A26D0">
        <w:rPr>
          <w:rFonts w:ascii="Times New Roman" w:hAnsi="Times New Roman"/>
          <w:color w:val="000000" w:themeColor="text1"/>
          <w:sz w:val="26"/>
          <w:szCs w:val="26"/>
          <w:lang w:val="en-GB"/>
        </w:rPr>
        <w:t>dự báo</w:t>
      </w:r>
      <w:r w:rsidRPr="000A26D0">
        <w:rPr>
          <w:rFonts w:ascii="Times New Roman" w:hAnsi="Times New Roman"/>
          <w:color w:val="000000" w:themeColor="text1"/>
          <w:sz w:val="26"/>
          <w:szCs w:val="26"/>
        </w:rPr>
        <w:t xml:space="preserve"> cảnh báo theo xu hướng, không phải dự báo điểm chắc chắn; kết quả cần được cập nhật khi có thay đổi về tăng trưởng kinh tế, chính sách thuế và hiệu quả thu hồi nợ.</w:t>
      </w:r>
    </w:p>
    <w:p w14:paraId="41712F6F" w14:textId="77777777" w:rsidR="00936BBF" w:rsidRPr="000A26D0" w:rsidRDefault="00000000" w:rsidP="000A26D0">
      <w:pPr>
        <w:spacing w:before="120" w:after="0" w:line="280" w:lineRule="exact"/>
        <w:ind w:left="720"/>
        <w:jc w:val="both"/>
        <w:rPr>
          <w:rFonts w:ascii="Times New Roman" w:hAnsi="Times New Roman"/>
          <w:b/>
          <w:bCs/>
          <w:color w:val="000000" w:themeColor="text1"/>
          <w:sz w:val="26"/>
          <w:szCs w:val="26"/>
        </w:rPr>
      </w:pPr>
      <w:r w:rsidRPr="000A26D0">
        <w:rPr>
          <w:rFonts w:ascii="Times New Roman" w:hAnsi="Times New Roman"/>
          <w:b/>
          <w:bCs/>
          <w:color w:val="000000" w:themeColor="text1"/>
          <w:sz w:val="26"/>
          <w:szCs w:val="26"/>
        </w:rPr>
        <w:t>4.2. Nợ thuế trong mối tương quan với thu ngân sách nhà nước</w:t>
      </w:r>
    </w:p>
    <w:p w14:paraId="2E3595D5" w14:textId="77777777" w:rsidR="00936BBF" w:rsidRPr="000A26D0" w:rsidRDefault="00000000" w:rsidP="000A26D0">
      <w:pPr>
        <w:spacing w:before="120" w:after="0" w:line="280" w:lineRule="exact"/>
        <w:ind w:firstLine="720"/>
        <w:jc w:val="both"/>
        <w:rPr>
          <w:rFonts w:ascii="Times New Roman" w:hAnsi="Times New Roman"/>
          <w:color w:val="000000" w:themeColor="text1"/>
          <w:sz w:val="26"/>
          <w:szCs w:val="26"/>
        </w:rPr>
      </w:pPr>
      <w:r w:rsidRPr="000A26D0">
        <w:rPr>
          <w:rFonts w:ascii="Times New Roman" w:hAnsi="Times New Roman"/>
          <w:color w:val="000000" w:themeColor="text1"/>
          <w:sz w:val="26"/>
          <w:szCs w:val="26"/>
        </w:rPr>
        <w:t>Xét trong tương quan với thu NSNN, nợ thuế tăng nhanh trong phần lớn giai đoạn 2020</w:t>
      </w:r>
      <w:r w:rsidRPr="000A26D0">
        <w:rPr>
          <w:rFonts w:ascii="Times New Roman" w:hAnsi="Times New Roman"/>
          <w:color w:val="000000" w:themeColor="text1"/>
          <w:sz w:val="26"/>
          <w:szCs w:val="26"/>
          <w:lang w:val="en-GB"/>
        </w:rPr>
        <w:t>-</w:t>
      </w:r>
      <w:r w:rsidRPr="000A26D0">
        <w:rPr>
          <w:rFonts w:ascii="Times New Roman" w:hAnsi="Times New Roman"/>
          <w:color w:val="000000" w:themeColor="text1"/>
          <w:sz w:val="26"/>
          <w:szCs w:val="26"/>
        </w:rPr>
        <w:t>2023, phản ánh độ trễ giữa việc xác lập nghĩa vụ thuế và chuyển hóa nghĩa vụ đó thành dòng tiền ngân sách. Tuy nhiên, tỷ lệ tổng nợ/tổng thu chỉ là chỉ báo về áp lực tài khóa; chỉ tiêu này không thể thay thế đánh giá về nợ có khả năng thu, tuổi nợ và kết quả thu hồi thực tế.</w:t>
      </w:r>
    </w:p>
    <w:p w14:paraId="58C1E46B" w14:textId="77777777" w:rsidR="00936BBF" w:rsidRPr="000A26D0" w:rsidRDefault="00000000" w:rsidP="000A26D0">
      <w:pPr>
        <w:spacing w:before="120" w:after="0" w:line="280" w:lineRule="exact"/>
        <w:ind w:firstLine="720"/>
        <w:jc w:val="both"/>
        <w:rPr>
          <w:rFonts w:ascii="Times New Roman" w:hAnsi="Times New Roman"/>
          <w:color w:val="000000" w:themeColor="text1"/>
          <w:sz w:val="26"/>
          <w:szCs w:val="26"/>
        </w:rPr>
      </w:pPr>
      <w:r w:rsidRPr="000A26D0">
        <w:rPr>
          <w:rFonts w:ascii="Times New Roman" w:hAnsi="Times New Roman"/>
          <w:color w:val="000000" w:themeColor="text1"/>
          <w:sz w:val="26"/>
          <w:szCs w:val="26"/>
        </w:rPr>
        <w:t>Năm 2024, tỷ lệ nợ trên thu giảm từ 11,91% xuống 11,12% nhờ thu NSNN tăng nhanh hơn nợ thuế, nhưng tổng nợ vẫn tăng 28.952 tỷ đồng. Điều này cho thấy, sự cải thiện chủ yếu đến từ mẫu số là tổng thu, chưa phản ánh sự đảo chiều của dư nợ. Vì vậy, kết quả kiểm soát nợ cần được kiểm chứng thêm bằng tốc độ phát sinh nợ mới và tỷ lệ thu hồi đối với từng nhóm nợ.</w:t>
      </w:r>
    </w:p>
    <w:p w14:paraId="2164C71F" w14:textId="77777777" w:rsidR="00936BBF" w:rsidRPr="000A26D0" w:rsidRDefault="00000000" w:rsidP="000A26D0">
      <w:pPr>
        <w:spacing w:before="120" w:after="0" w:line="280" w:lineRule="exact"/>
        <w:ind w:firstLine="720"/>
        <w:jc w:val="both"/>
        <w:rPr>
          <w:rFonts w:ascii="Times New Roman" w:hAnsi="Times New Roman"/>
          <w:color w:val="000000" w:themeColor="text1"/>
          <w:sz w:val="26"/>
          <w:szCs w:val="26"/>
        </w:rPr>
      </w:pPr>
      <w:r w:rsidRPr="000A26D0">
        <w:rPr>
          <w:rFonts w:ascii="Times New Roman" w:hAnsi="Times New Roman"/>
          <w:color w:val="000000" w:themeColor="text1"/>
          <w:sz w:val="26"/>
          <w:szCs w:val="26"/>
        </w:rPr>
        <w:lastRenderedPageBreak/>
        <w:t>Năm 2025, số thu do cơ quan thuế quản lý tăng mạnh, kéo tỷ lệ nợ trên thu xuống khoảng 10,23%. Dù vậy, tổng nợ cuối năm vẫn ở mức khoảng 228.926 tỷ đồng, cao hơn năm 2024. Hai xu hướng trái chiều cho thấy, năng lực tạo thu được cải thiện nhanh hơn năng lực giảm tồn nợ; đây là cơ sở để ưu tiên các biện pháp ngăn nợ mới thay vì chỉ mở rộng quy mô thu.</w:t>
      </w:r>
    </w:p>
    <w:p w14:paraId="3237B978" w14:textId="77777777" w:rsidR="00936BBF" w:rsidRPr="000A26D0" w:rsidRDefault="00000000" w:rsidP="000A26D0">
      <w:pPr>
        <w:spacing w:before="120" w:after="0" w:line="280" w:lineRule="exact"/>
        <w:ind w:firstLine="720"/>
        <w:jc w:val="both"/>
        <w:rPr>
          <w:rFonts w:ascii="Times New Roman" w:hAnsi="Times New Roman"/>
          <w:color w:val="000000" w:themeColor="text1"/>
          <w:sz w:val="26"/>
          <w:szCs w:val="26"/>
        </w:rPr>
      </w:pPr>
      <w:r w:rsidRPr="000A26D0">
        <w:rPr>
          <w:rFonts w:ascii="Times New Roman" w:hAnsi="Times New Roman"/>
          <w:color w:val="000000" w:themeColor="text1"/>
          <w:sz w:val="26"/>
          <w:szCs w:val="26"/>
        </w:rPr>
        <w:t xml:space="preserve">Theo </w:t>
      </w:r>
      <w:r w:rsidRPr="000A26D0">
        <w:rPr>
          <w:rFonts w:ascii="Times New Roman" w:hAnsi="Times New Roman"/>
          <w:color w:val="000000" w:themeColor="text1"/>
          <w:sz w:val="26"/>
          <w:szCs w:val="26"/>
          <w:lang w:val="en-GB"/>
        </w:rPr>
        <w:t>dự báo</w:t>
      </w:r>
      <w:r w:rsidRPr="000A26D0">
        <w:rPr>
          <w:rFonts w:ascii="Times New Roman" w:hAnsi="Times New Roman"/>
          <w:color w:val="000000" w:themeColor="text1"/>
          <w:sz w:val="26"/>
          <w:szCs w:val="26"/>
        </w:rPr>
        <w:t xml:space="preserve"> cơ sở, tỷ lệ nợ trên thu có thể tăng lên khoảng 11,28% năm 2026 nếu nợ tăng 19% trong khi thu chỉ tăng 7,93%. Khoảng cách tốc độ tăng giữa hai biến là tín hiệu cảnh báo: nếu không cải thiện phân loại, cảnh báo sớm và thu hồi các khoản còn khả năng thu, áp lực nợ có thể quay trở lại ngay cả khi tổng thu tiếp tục tăng.</w:t>
      </w:r>
    </w:p>
    <w:p w14:paraId="1ED2F5D4" w14:textId="77777777" w:rsidR="00936BBF" w:rsidRPr="000A26D0" w:rsidRDefault="00000000" w:rsidP="000A26D0">
      <w:pPr>
        <w:spacing w:before="120" w:after="0" w:line="280" w:lineRule="exact"/>
        <w:ind w:left="720"/>
        <w:jc w:val="both"/>
        <w:rPr>
          <w:rFonts w:ascii="Times New Roman" w:hAnsi="Times New Roman"/>
          <w:b/>
          <w:bCs/>
          <w:color w:val="000000" w:themeColor="text1"/>
          <w:sz w:val="26"/>
          <w:szCs w:val="26"/>
        </w:rPr>
      </w:pPr>
      <w:r w:rsidRPr="000A26D0">
        <w:rPr>
          <w:rFonts w:ascii="Times New Roman" w:hAnsi="Times New Roman"/>
          <w:b/>
          <w:bCs/>
          <w:color w:val="000000" w:themeColor="text1"/>
          <w:sz w:val="26"/>
          <w:szCs w:val="26"/>
        </w:rPr>
        <w:t>4.3. Kết quả quản lý và thu hồi nợ thuế</w:t>
      </w:r>
    </w:p>
    <w:p w14:paraId="1E2D9990" w14:textId="510438B2" w:rsidR="00936BBF" w:rsidRPr="000A26D0" w:rsidRDefault="00000000" w:rsidP="000A26D0">
      <w:pPr>
        <w:spacing w:before="120" w:after="0" w:line="280" w:lineRule="exact"/>
        <w:ind w:firstLine="720"/>
        <w:jc w:val="both"/>
        <w:rPr>
          <w:rFonts w:ascii="Times New Roman" w:hAnsi="Times New Roman"/>
          <w:color w:val="000000" w:themeColor="text1"/>
          <w:sz w:val="26"/>
          <w:szCs w:val="26"/>
        </w:rPr>
      </w:pPr>
      <w:r w:rsidRPr="000A26D0">
        <w:rPr>
          <w:rFonts w:ascii="Times New Roman" w:hAnsi="Times New Roman"/>
          <w:color w:val="000000" w:themeColor="text1"/>
          <w:sz w:val="26"/>
          <w:szCs w:val="26"/>
        </w:rPr>
        <w:t>Số liệu tổng hợp cho thấy, quản lý nợ chưa tạo ra xu hướng giảm bền vững về dư nợ tuyệt đối. Tuy nhiên, không thể đồng nhất việc tổng nợ tăng với hiệu quả thu hồi thấp, bởi dư nợ cuối kỳ còn chịu tác động của nợ mới phát sinh, điều chỉnh nghĩa vụ và các khoản đang khiếu nại hoặc khó thu. Vì vậy, đánh giá kết quả quản lý cần tách riêng 3 dòng vận động: nợ đầu kỳ, nợ phát sinh và nợ đã thu hồi hoặc xử lý trong kỳ.</w:t>
      </w:r>
    </w:p>
    <w:p w14:paraId="5668F118" w14:textId="77777777" w:rsidR="00936BBF" w:rsidRPr="000A26D0" w:rsidRDefault="00000000" w:rsidP="000A26D0">
      <w:pPr>
        <w:spacing w:before="120" w:after="0" w:line="280" w:lineRule="exact"/>
        <w:ind w:firstLine="720"/>
        <w:jc w:val="both"/>
        <w:rPr>
          <w:rFonts w:ascii="Times New Roman" w:hAnsi="Times New Roman"/>
          <w:color w:val="000000" w:themeColor="text1"/>
          <w:sz w:val="26"/>
          <w:szCs w:val="26"/>
        </w:rPr>
      </w:pPr>
      <w:r w:rsidRPr="000A26D0">
        <w:rPr>
          <w:rFonts w:ascii="Times New Roman" w:hAnsi="Times New Roman"/>
          <w:color w:val="000000" w:themeColor="text1"/>
          <w:sz w:val="26"/>
          <w:szCs w:val="26"/>
        </w:rPr>
        <w:t>Sự cải thiện tỷ lệ nợ trên thu trong năm 2024</w:t>
      </w:r>
      <w:r w:rsidRPr="000A26D0">
        <w:rPr>
          <w:rFonts w:ascii="Times New Roman" w:hAnsi="Times New Roman"/>
          <w:color w:val="000000" w:themeColor="text1"/>
          <w:sz w:val="26"/>
          <w:szCs w:val="26"/>
          <w:lang w:val="en-GB"/>
        </w:rPr>
        <w:t>-</w:t>
      </w:r>
      <w:r w:rsidRPr="000A26D0">
        <w:rPr>
          <w:rFonts w:ascii="Times New Roman" w:hAnsi="Times New Roman"/>
          <w:color w:val="000000" w:themeColor="text1"/>
          <w:sz w:val="26"/>
          <w:szCs w:val="26"/>
        </w:rPr>
        <w:t>2025 chủ yếu phản ánh tốc độ tăng thu cao. Kết quả này tạo thêm dư địa tài khóa nhưng chưa đủ chứng minh chất lượng danh mục nợ được cải thiện. Chỉ khi nợ có khả năng thu giảm, thời gian tồn nợ được rút ngắn và tỷ lệ thu hồi tăng thì mới có thể khẳng định hiệu quả quản lý đã chuyển biến thực chất.</w:t>
      </w:r>
    </w:p>
    <w:p w14:paraId="12F60003" w14:textId="77777777" w:rsidR="00936BBF" w:rsidRPr="000A26D0" w:rsidRDefault="00000000" w:rsidP="000A26D0">
      <w:pPr>
        <w:spacing w:before="120" w:after="0" w:line="280" w:lineRule="exact"/>
        <w:ind w:firstLine="720"/>
        <w:jc w:val="both"/>
        <w:rPr>
          <w:rFonts w:ascii="Times New Roman" w:hAnsi="Times New Roman"/>
          <w:color w:val="000000" w:themeColor="text1"/>
          <w:sz w:val="26"/>
          <w:szCs w:val="26"/>
        </w:rPr>
      </w:pPr>
      <w:r w:rsidRPr="000A26D0">
        <w:rPr>
          <w:rFonts w:ascii="Times New Roman" w:hAnsi="Times New Roman"/>
          <w:color w:val="000000" w:themeColor="text1"/>
          <w:sz w:val="26"/>
          <w:szCs w:val="26"/>
          <w:lang w:val="en-GB"/>
        </w:rPr>
        <w:t>Dự báo</w:t>
      </w:r>
      <w:r w:rsidRPr="000A26D0">
        <w:rPr>
          <w:rFonts w:ascii="Times New Roman" w:hAnsi="Times New Roman"/>
          <w:color w:val="000000" w:themeColor="text1"/>
          <w:sz w:val="26"/>
          <w:szCs w:val="26"/>
        </w:rPr>
        <w:t xml:space="preserve"> năm 2026 cho thấy, áp lực nợ có thể tăng trở lại nếu tốc độ phát sinh nợ cao hơn tăng thu. Do đó, tiêu chí quản lý cần chuyển từ mục tiêu xử lý tổng số nợ sang kiểm soát dòng nợ mới, rút ngắn tuổi nợ và ưu tiên các khoản có xác suất thu hồi cao. Cách tiếp cận này giúp phân bổ nguồn lực cưỡng chế và hỗ trợ người nộp thuế hiệu quả hơn.</w:t>
      </w:r>
    </w:p>
    <w:p w14:paraId="026B21D9" w14:textId="77777777" w:rsidR="00936BBF" w:rsidRPr="000A26D0" w:rsidRDefault="00000000" w:rsidP="000A26D0">
      <w:pPr>
        <w:spacing w:before="120" w:after="0" w:line="280" w:lineRule="exact"/>
        <w:ind w:firstLine="720"/>
        <w:jc w:val="both"/>
        <w:rPr>
          <w:rFonts w:ascii="Times New Roman" w:hAnsi="Times New Roman"/>
          <w:color w:val="000000" w:themeColor="text1"/>
          <w:sz w:val="26"/>
          <w:szCs w:val="26"/>
        </w:rPr>
      </w:pPr>
      <w:r w:rsidRPr="000A26D0">
        <w:rPr>
          <w:rFonts w:ascii="Times New Roman" w:hAnsi="Times New Roman"/>
          <w:color w:val="000000" w:themeColor="text1"/>
          <w:sz w:val="26"/>
          <w:szCs w:val="26"/>
        </w:rPr>
        <w:t>Từ kết quả trên, quản lý nợ cần được triển khai đồng thời ở hai lớp: phòng ngừa nợ mới bằng cảnh báo sớm và xử lý nợ tồn theo khả năng thu hồi. Việc công bố riêng nợ có khả năng thu, nợ khó thu, nợ đang xử lý và số thu hồi trong kỳ sẽ nâng cao khả năng kiểm chứng, đồng thời tạo cơ sở đánh giá chính xác hơn tác động của chuyển đổi số đối với quản lý nợ thuế.</w:t>
      </w:r>
    </w:p>
    <w:p w14:paraId="4F49D29D" w14:textId="7D5F87AB" w:rsidR="00936BBF" w:rsidRPr="000A26D0" w:rsidRDefault="00000000" w:rsidP="000A26D0">
      <w:pPr>
        <w:pStyle w:val="NormalWeb"/>
        <w:numPr>
          <w:ilvl w:val="0"/>
          <w:numId w:val="3"/>
        </w:numPr>
        <w:spacing w:before="120" w:beforeAutospacing="0" w:after="0" w:afterAutospacing="0" w:line="280" w:lineRule="exact"/>
        <w:ind w:left="720"/>
        <w:jc w:val="both"/>
        <w:rPr>
          <w:b/>
          <w:bCs/>
          <w:color w:val="000000" w:themeColor="text1"/>
        </w:rPr>
      </w:pPr>
      <w:r w:rsidRPr="000A26D0">
        <w:rPr>
          <w:b/>
          <w:bCs/>
          <w:color w:val="000000" w:themeColor="text1"/>
        </w:rPr>
        <w:t>Thảo luận và đối chiếu với kinh nghiệm quốc tế</w:t>
      </w:r>
    </w:p>
    <w:p w14:paraId="5E219EA9"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Bảng 2. Đối chiếu bằng chứng quốc tế, thực trạng đã xác định ở Việt Nam và khoảng trống cần nghiên cứu</w:t>
      </w:r>
    </w:p>
    <w:tbl>
      <w:tblPr>
        <w:tblStyle w:val="TableGrid"/>
        <w:tblW w:w="0" w:type="auto"/>
        <w:tblLook w:val="04A0" w:firstRow="1" w:lastRow="0" w:firstColumn="1" w:lastColumn="0" w:noHBand="0" w:noVBand="1"/>
      </w:tblPr>
      <w:tblGrid>
        <w:gridCol w:w="2336"/>
        <w:gridCol w:w="2338"/>
        <w:gridCol w:w="2338"/>
        <w:gridCol w:w="2338"/>
      </w:tblGrid>
      <w:tr w:rsidR="00936BBF" w:rsidRPr="000A26D0" w14:paraId="27270CA2" w14:textId="77777777">
        <w:tc>
          <w:tcPr>
            <w:tcW w:w="2365" w:type="dxa"/>
          </w:tcPr>
          <w:p w14:paraId="4AD09A20"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Tiêu chí</w:t>
            </w:r>
          </w:p>
        </w:tc>
        <w:tc>
          <w:tcPr>
            <w:tcW w:w="2365" w:type="dxa"/>
          </w:tcPr>
          <w:p w14:paraId="3FB5AA92"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Bằng chứng quốc tế</w:t>
            </w:r>
          </w:p>
        </w:tc>
        <w:tc>
          <w:tcPr>
            <w:tcW w:w="2365" w:type="dxa"/>
          </w:tcPr>
          <w:p w14:paraId="375D80ED"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Thực trạng Việt Nam xác định được</w:t>
            </w:r>
          </w:p>
        </w:tc>
        <w:tc>
          <w:tcPr>
            <w:tcW w:w="2365" w:type="dxa"/>
          </w:tcPr>
          <w:p w14:paraId="1927CE6E"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Khoảng trống và định hướng</w:t>
            </w:r>
          </w:p>
        </w:tc>
      </w:tr>
      <w:tr w:rsidR="00936BBF" w:rsidRPr="000A26D0" w14:paraId="0CF354B7" w14:textId="77777777">
        <w:tc>
          <w:tcPr>
            <w:tcW w:w="2365" w:type="dxa"/>
          </w:tcPr>
          <w:p w14:paraId="201C5EF2"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Thanh toán số</w:t>
            </w:r>
          </w:p>
        </w:tc>
        <w:tc>
          <w:tcPr>
            <w:tcW w:w="2365" w:type="dxa"/>
          </w:tcPr>
          <w:p w14:paraId="7B733750" w14:textId="77777777" w:rsidR="00936BBF" w:rsidRPr="000A26D0" w:rsidRDefault="00000000">
            <w:pPr>
              <w:rPr>
                <w:rFonts w:ascii="Times New Roman" w:hAnsi="Times New Roman"/>
                <w:color w:val="000000" w:themeColor="text1"/>
                <w:sz w:val="24"/>
                <w:szCs w:val="24"/>
                <w:lang w:val="pt-BR"/>
              </w:rPr>
            </w:pPr>
            <w:r w:rsidRPr="000A26D0">
              <w:rPr>
                <w:rFonts w:ascii="Times New Roman" w:hAnsi="Times New Roman"/>
                <w:color w:val="000000" w:themeColor="text1"/>
                <w:sz w:val="24"/>
                <w:szCs w:val="24"/>
                <w:lang w:val="pt-BR"/>
              </w:rPr>
              <w:t>IRAS: myTax Portal, e-GIRO</w:t>
            </w:r>
          </w:p>
        </w:tc>
        <w:tc>
          <w:tcPr>
            <w:tcW w:w="2365" w:type="dxa"/>
          </w:tcPr>
          <w:p w14:paraId="0E1DEA42" w14:textId="77777777" w:rsidR="00936BBF" w:rsidRPr="000A26D0" w:rsidRDefault="00000000">
            <w:pPr>
              <w:rPr>
                <w:rFonts w:ascii="Times New Roman" w:hAnsi="Times New Roman"/>
                <w:color w:val="000000" w:themeColor="text1"/>
                <w:sz w:val="24"/>
                <w:szCs w:val="24"/>
                <w:lang w:val="pt-BR"/>
              </w:rPr>
            </w:pPr>
            <w:r w:rsidRPr="000A26D0">
              <w:rPr>
                <w:rFonts w:ascii="Times New Roman" w:hAnsi="Times New Roman"/>
                <w:color w:val="000000" w:themeColor="text1"/>
                <w:sz w:val="24"/>
                <w:szCs w:val="24"/>
                <w:lang w:val="pt-BR"/>
              </w:rPr>
              <w:t>Đã triển khai khai, nộp thuế điện tử và hóa đơn điện tử</w:t>
            </w:r>
          </w:p>
        </w:tc>
        <w:tc>
          <w:tcPr>
            <w:tcW w:w="2365" w:type="dxa"/>
          </w:tcPr>
          <w:p w14:paraId="2CB0928F" w14:textId="77777777" w:rsidR="00936BBF" w:rsidRPr="000A26D0" w:rsidRDefault="00000000">
            <w:pPr>
              <w:rPr>
                <w:rFonts w:ascii="Times New Roman" w:hAnsi="Times New Roman"/>
                <w:color w:val="000000" w:themeColor="text1"/>
                <w:sz w:val="24"/>
                <w:szCs w:val="24"/>
                <w:lang w:val="pt-BR"/>
              </w:rPr>
            </w:pPr>
            <w:r w:rsidRPr="000A26D0">
              <w:rPr>
                <w:rFonts w:ascii="Times New Roman" w:hAnsi="Times New Roman"/>
                <w:color w:val="000000" w:themeColor="text1"/>
                <w:sz w:val="24"/>
                <w:szCs w:val="24"/>
                <w:lang w:val="pt-BR"/>
              </w:rPr>
              <w:t>Đánh giá tỷ lệ nộp đúng hạn, hiệu quả nhắc nợ</w:t>
            </w:r>
          </w:p>
        </w:tc>
      </w:tr>
      <w:tr w:rsidR="00936BBF" w:rsidRPr="000A26D0" w14:paraId="738F365C" w14:textId="77777777">
        <w:tc>
          <w:tcPr>
            <w:tcW w:w="2365" w:type="dxa"/>
          </w:tcPr>
          <w:p w14:paraId="6E059F02"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lastRenderedPageBreak/>
              <w:t>Phân loại rủi ro</w:t>
            </w:r>
          </w:p>
        </w:tc>
        <w:tc>
          <w:tcPr>
            <w:tcW w:w="2365" w:type="dxa"/>
          </w:tcPr>
          <w:p w14:paraId="68B20836"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ATO: phân tích dữ liệu và ưu tiên hồ sơ</w:t>
            </w:r>
          </w:p>
        </w:tc>
        <w:tc>
          <w:tcPr>
            <w:tcW w:w="2365" w:type="dxa"/>
          </w:tcPr>
          <w:p w14:paraId="10F1DC75"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Có quy trình phân loại và quản lý nợ; mức tích hợp chỉ dấu hành vi chưa đo được từ dữ liệu bài</w:t>
            </w:r>
          </w:p>
        </w:tc>
        <w:tc>
          <w:tcPr>
            <w:tcW w:w="2365" w:type="dxa"/>
          </w:tcPr>
          <w:p w14:paraId="29A32A01"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Bổ sung chỉ số thu hồi theo nhóm rủi ro và tuổi nợ</w:t>
            </w:r>
          </w:p>
        </w:tc>
      </w:tr>
      <w:tr w:rsidR="00936BBF" w:rsidRPr="000A26D0" w14:paraId="11D52401" w14:textId="77777777">
        <w:tc>
          <w:tcPr>
            <w:tcW w:w="2365" w:type="dxa"/>
          </w:tcPr>
          <w:p w14:paraId="58256AFF"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Hỗ trợ trả nợ</w:t>
            </w:r>
          </w:p>
        </w:tc>
        <w:tc>
          <w:tcPr>
            <w:tcW w:w="2365" w:type="dxa"/>
          </w:tcPr>
          <w:p w14:paraId="2E8690FB"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HMRC: Time to Pay, báo cáo dư nợ và dòng xử lý</w:t>
            </w:r>
          </w:p>
        </w:tc>
        <w:tc>
          <w:tcPr>
            <w:tcW w:w="2365" w:type="dxa"/>
          </w:tcPr>
          <w:p w14:paraId="7B74A693"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Có các cơ chế xử lý nghĩa vụ theo pháp luật; nghiên cứu chưa có số liệu đo hiệu quả từng kênh</w:t>
            </w:r>
          </w:p>
        </w:tc>
        <w:tc>
          <w:tcPr>
            <w:tcW w:w="2365" w:type="dxa"/>
          </w:tcPr>
          <w:p w14:paraId="45275ADA"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Thống kê kết quả hỗ trợ và tỷ lệ hoàn thành thanh toán</w:t>
            </w:r>
          </w:p>
        </w:tc>
      </w:tr>
      <w:tr w:rsidR="00936BBF" w:rsidRPr="000A26D0" w14:paraId="4FD2221A" w14:textId="77777777">
        <w:tc>
          <w:tcPr>
            <w:tcW w:w="2365" w:type="dxa"/>
          </w:tcPr>
          <w:p w14:paraId="38D306CA"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Chỉ tiêu hiệu quả</w:t>
            </w:r>
          </w:p>
        </w:tc>
        <w:tc>
          <w:tcPr>
            <w:tcW w:w="2365" w:type="dxa"/>
          </w:tcPr>
          <w:p w14:paraId="12B857B7"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Ba cơ quan công bố chỉ tiêu nợ khác định nghĩa</w:t>
            </w:r>
          </w:p>
        </w:tc>
        <w:tc>
          <w:tcPr>
            <w:tcW w:w="2365" w:type="dxa"/>
          </w:tcPr>
          <w:p w14:paraId="4509C346"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Chuỗi bài sử dụng tổng nợ/tổng thu; thiếu dòng phát sinh và thu hồi</w:t>
            </w:r>
          </w:p>
        </w:tc>
        <w:tc>
          <w:tcPr>
            <w:tcW w:w="2365" w:type="dxa"/>
          </w:tcPr>
          <w:p w14:paraId="22952C53"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Công bố quy tắc đo, nguồn dữ liệu và chỉ tiêu dòng nợ</w:t>
            </w:r>
          </w:p>
        </w:tc>
      </w:tr>
    </w:tbl>
    <w:p w14:paraId="4B7310E4"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Đối chiếu cho thấy các mô hình IRAS, ATO và HMRC không hoàn toàn chuyển giao được vì khác biệt về thiết chế pháp lý, dữ liệu, cấu trúc người nộp thuế và cách đo lường nợ. Ở Việt Nam, hóa đơn điện tử, khai/nộp thuế điện tử và quy trình quản lý nợ đã hình thành hạ tầng nghiệp vụ; tuy nhiên dữ liệu tổng hợp của nghiên cứu chưa đo được tỷ lệ thanh toán sau nhắc nợ, mức cải thiện thu hồi theo nhóm rủi ro hay hiệu quả hỗ trợ trả nợ. Vì vậy, khoảng trống chủ yếu được xác định ở năng lực đo lường và khai thác dữ liệu, chứ chưa đủ chứng cứ để kết luận các công cụ chưa được triển khai.</w:t>
      </w:r>
    </w:p>
    <w:p w14:paraId="185BE5AE" w14:textId="61377BCC"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Bài học chính sách được rút ra theo điều kiện thực thi: (i) ưu tiên đo lường dòng phát sinh</w:t>
      </w:r>
      <w:r w:rsidR="001A7DF5" w:rsidRPr="000A26D0">
        <w:rPr>
          <w:rFonts w:ascii="Times New Roman" w:hAnsi="Times New Roman"/>
          <w:color w:val="000000" w:themeColor="text1"/>
          <w:sz w:val="24"/>
          <w:szCs w:val="24"/>
        </w:rPr>
        <w:t>-</w:t>
      </w:r>
      <w:r w:rsidRPr="000A26D0">
        <w:rPr>
          <w:rFonts w:ascii="Times New Roman" w:hAnsi="Times New Roman"/>
          <w:color w:val="000000" w:themeColor="text1"/>
          <w:sz w:val="24"/>
          <w:szCs w:val="24"/>
        </w:rPr>
        <w:t>thu hồi</w:t>
      </w:r>
      <w:r w:rsidR="001A7DF5" w:rsidRPr="000A26D0">
        <w:rPr>
          <w:rFonts w:ascii="Times New Roman" w:hAnsi="Times New Roman"/>
          <w:color w:val="000000" w:themeColor="text1"/>
          <w:sz w:val="24"/>
          <w:szCs w:val="24"/>
        </w:rPr>
        <w:t>-</w:t>
      </w:r>
      <w:r w:rsidRPr="000A26D0">
        <w:rPr>
          <w:rFonts w:ascii="Times New Roman" w:hAnsi="Times New Roman"/>
          <w:color w:val="000000" w:themeColor="text1"/>
          <w:sz w:val="24"/>
          <w:szCs w:val="24"/>
        </w:rPr>
        <w:t>xử lý nợ trước khi triển khai mô hình đánh giá phức tạp; (ii) kết hợp phân loại pháp lý với chỉ dấu hành vi và khả năng thu hồi; (iii) đánh giá thử nghiệm biện pháp nhắc nợ, hỗ trợ và cưỡng chế theo cùng bộ chỉ tiêu; (iv) đặt yêu cầu bảo vệ dữ liệu và quyền giải trình của người nộp thuế trong toàn bộ quy trình. Không so sánh trực tiếp tỷ lệ nợ 0,66% của IRAS, 8,1% của ATO và 5,0% của HMRC vì tử số, mẫu số, kỳ và cách tính khác nhau.</w:t>
      </w:r>
    </w:p>
    <w:p w14:paraId="0474BF14" w14:textId="546BF83C" w:rsidR="00936BBF" w:rsidRPr="000A26D0" w:rsidRDefault="00000000" w:rsidP="000A26D0">
      <w:pPr>
        <w:numPr>
          <w:ilvl w:val="0"/>
          <w:numId w:val="3"/>
        </w:numPr>
        <w:spacing w:before="120" w:after="0" w:line="280" w:lineRule="exact"/>
        <w:ind w:left="720"/>
        <w:jc w:val="both"/>
        <w:rPr>
          <w:rFonts w:ascii="Times New Roman" w:hAnsi="Times New Roman"/>
          <w:b/>
          <w:bCs/>
          <w:color w:val="000000" w:themeColor="text1"/>
          <w:sz w:val="26"/>
          <w:szCs w:val="26"/>
        </w:rPr>
      </w:pPr>
      <w:r w:rsidRPr="000A26D0">
        <w:rPr>
          <w:rFonts w:ascii="Times New Roman" w:hAnsi="Times New Roman"/>
          <w:b/>
          <w:bCs/>
          <w:color w:val="000000" w:themeColor="text1"/>
          <w:sz w:val="26"/>
          <w:szCs w:val="26"/>
        </w:rPr>
        <w:t xml:space="preserve">Hàm ý chính sách cho quản lý nợ thuế trong bối cảnh chuyển đổi số </w:t>
      </w:r>
    </w:p>
    <w:p w14:paraId="0DD32003" w14:textId="77777777" w:rsidR="00936BBF" w:rsidRPr="000A26D0" w:rsidRDefault="00000000">
      <w:pPr>
        <w:spacing w:after="100" w:line="293" w:lineRule="auto"/>
        <w:rPr>
          <w:rFonts w:ascii="Times New Roman" w:hAnsi="Times New Roman"/>
          <w:color w:val="000000" w:themeColor="text1"/>
          <w:sz w:val="24"/>
          <w:szCs w:val="24"/>
          <w:lang w:eastAsia="en-US"/>
        </w:rPr>
      </w:pPr>
      <w:r w:rsidRPr="000A26D0">
        <w:rPr>
          <w:rFonts w:ascii="Times New Roman" w:hAnsi="Times New Roman"/>
          <w:color w:val="000000" w:themeColor="text1"/>
          <w:sz w:val="24"/>
          <w:szCs w:val="24"/>
          <w:lang w:eastAsia="en-US"/>
        </w:rPr>
        <w:t>Thứ nhất, phát triển cảnh báo sớm trên cơ sở dữ liệu kê khai, lịch sử nộp thuế và thay đổi hành vi thực hiện nghĩa vụ, với nguyên tắc thử nghiệm, đánh giá sai số và giám sát nghiệp vụ trước khi mở rộng. Chỉ số theo dõi gồm tỷ lệ phát hiện đúng trường hợp nguy cơ cao và tỷ lệ thanh toán sau nhắc nợ.</w:t>
      </w:r>
    </w:p>
    <w:p w14:paraId="777FB9F9" w14:textId="77777777" w:rsidR="00936BBF" w:rsidRPr="000A26D0" w:rsidRDefault="00000000">
      <w:pPr>
        <w:spacing w:after="100" w:line="293" w:lineRule="auto"/>
        <w:rPr>
          <w:rFonts w:ascii="Times New Roman" w:hAnsi="Times New Roman"/>
          <w:color w:val="000000" w:themeColor="text1"/>
          <w:sz w:val="24"/>
          <w:szCs w:val="24"/>
          <w:lang w:eastAsia="en-US"/>
        </w:rPr>
      </w:pPr>
      <w:r w:rsidRPr="000A26D0">
        <w:rPr>
          <w:rFonts w:ascii="Times New Roman" w:hAnsi="Times New Roman"/>
          <w:color w:val="000000" w:themeColor="text1"/>
          <w:sz w:val="24"/>
          <w:szCs w:val="24"/>
          <w:lang w:eastAsia="en-US"/>
        </w:rPr>
        <w:t>Thứ hai, hoàn thiện phân loại danh mục nợ theo tính chất pháp lý, tuổi nợ, khả năng thu hồi và phản hồi của người nộp thuế; tránh cơ chế can thiệp đồng nhất đối với tất cả khoản nợ. Kết quả cần được đánh giá bằng tỷ lệ thu hồi theo nhóm, chi phí xử lý và tỷ lệ tái phát sinh nợ.</w:t>
      </w:r>
    </w:p>
    <w:p w14:paraId="7A0E9012" w14:textId="77777777" w:rsidR="00936BBF" w:rsidRPr="000A26D0" w:rsidRDefault="00000000">
      <w:pPr>
        <w:spacing w:after="100" w:line="293" w:lineRule="auto"/>
        <w:rPr>
          <w:rFonts w:ascii="Times New Roman" w:hAnsi="Times New Roman"/>
          <w:color w:val="000000" w:themeColor="text1"/>
          <w:sz w:val="24"/>
          <w:szCs w:val="24"/>
          <w:lang w:eastAsia="en-US"/>
        </w:rPr>
      </w:pPr>
      <w:r w:rsidRPr="000A26D0">
        <w:rPr>
          <w:rFonts w:ascii="Times New Roman" w:hAnsi="Times New Roman"/>
          <w:color w:val="000000" w:themeColor="text1"/>
          <w:sz w:val="24"/>
          <w:szCs w:val="24"/>
          <w:lang w:eastAsia="en-US"/>
        </w:rPr>
        <w:lastRenderedPageBreak/>
        <w:t>Thứ ba, chuẩn hóa dữ liệu và quy trình phối hợp liên cơ quan trong khuôn khổ pháp luật về quản lý thuế, bảo vệ dữ liệu và thủ tục cưỡng chế; ưu tiên tính chính xác, cập nhật và truy xuất nguồn gốc thông tin để hạn chế quyết định dựa trên dữ liệu thiếu hoặc sai.</w:t>
      </w:r>
    </w:p>
    <w:p w14:paraId="1BBA043E" w14:textId="77777777" w:rsidR="00936BBF" w:rsidRPr="000A26D0" w:rsidRDefault="00000000" w:rsidP="000A26D0">
      <w:pPr>
        <w:numPr>
          <w:ilvl w:val="255"/>
          <w:numId w:val="0"/>
        </w:numPr>
        <w:spacing w:after="100" w:line="293" w:lineRule="auto"/>
        <w:rPr>
          <w:rFonts w:ascii="Times New Roman" w:hAnsi="Times New Roman"/>
          <w:b/>
          <w:bCs/>
          <w:color w:val="000000" w:themeColor="text1"/>
          <w:sz w:val="26"/>
          <w:szCs w:val="26"/>
        </w:rPr>
      </w:pPr>
      <w:r w:rsidRPr="000A26D0">
        <w:rPr>
          <w:rFonts w:ascii="Times New Roman" w:hAnsi="Times New Roman"/>
          <w:color w:val="000000" w:themeColor="text1"/>
          <w:sz w:val="24"/>
          <w:szCs w:val="24"/>
          <w:lang w:eastAsia="en-US"/>
        </w:rPr>
        <w:t>Thứ tư, gắn chuyển đổi số với chỉ tiêu đầu ra: số nợ mới phát sinh, thời gian nhận diện nợ quá hạn, tỷ lệ nhắc nợ thành công, tỷ lệ hoàn thành phương án trả nợ và tỷ lệ thu hồi nợ có khả năng thu. Công bố nhất quán định nghĩa, phạm vi và thời điểm đo của các chỉ tiêu để phục vụ đánh giá qua các năm.</w:t>
      </w:r>
    </w:p>
    <w:p w14:paraId="3DF2F2CC" w14:textId="77777777" w:rsidR="00936BBF" w:rsidRPr="000A26D0" w:rsidRDefault="00000000" w:rsidP="000A26D0">
      <w:pPr>
        <w:spacing w:before="120" w:after="0" w:line="280" w:lineRule="exact"/>
        <w:ind w:left="720"/>
        <w:jc w:val="both"/>
        <w:rPr>
          <w:rFonts w:ascii="Times New Roman" w:hAnsi="Times New Roman"/>
          <w:b/>
          <w:bCs/>
          <w:color w:val="000000" w:themeColor="text1"/>
          <w:sz w:val="26"/>
          <w:szCs w:val="26"/>
        </w:rPr>
      </w:pPr>
      <w:r w:rsidRPr="000A26D0">
        <w:rPr>
          <w:rFonts w:ascii="Times New Roman" w:hAnsi="Times New Roman"/>
          <w:b/>
          <w:color w:val="000000" w:themeColor="text1"/>
          <w:sz w:val="26"/>
          <w:szCs w:val="26"/>
        </w:rPr>
        <w:t>7. Kết luận</w:t>
      </w:r>
    </w:p>
    <w:p w14:paraId="2C594BC2" w14:textId="3258614C" w:rsidR="00936BBF" w:rsidRPr="000A26D0" w:rsidRDefault="00000000" w:rsidP="000A26D0">
      <w:pPr>
        <w:jc w:val="both"/>
        <w:rPr>
          <w:rFonts w:ascii="Times New Roman" w:hAnsi="Times New Roman"/>
          <w:color w:val="000000" w:themeColor="text1"/>
          <w:sz w:val="24"/>
          <w:szCs w:val="24"/>
        </w:rPr>
      </w:pPr>
      <w:r w:rsidRPr="000A26D0">
        <w:rPr>
          <w:rFonts w:ascii="Times New Roman" w:hAnsi="Times New Roman"/>
          <w:color w:val="000000" w:themeColor="text1"/>
          <w:sz w:val="24"/>
          <w:szCs w:val="24"/>
        </w:rPr>
        <w:t>Bài viết kết hợp thống kê mô tả quản lý nợ thuế Việt Nam giai đoạn 2020</w:t>
      </w:r>
      <w:r w:rsidR="001A7DF5" w:rsidRPr="000A26D0">
        <w:rPr>
          <w:rFonts w:ascii="Times New Roman" w:hAnsi="Times New Roman"/>
          <w:color w:val="000000" w:themeColor="text1"/>
          <w:sz w:val="24"/>
          <w:szCs w:val="24"/>
        </w:rPr>
        <w:t>-</w:t>
      </w:r>
      <w:r w:rsidRPr="000A26D0">
        <w:rPr>
          <w:rFonts w:ascii="Times New Roman" w:hAnsi="Times New Roman"/>
          <w:color w:val="000000" w:themeColor="text1"/>
          <w:sz w:val="24"/>
          <w:szCs w:val="24"/>
        </w:rPr>
        <w:t>2025 với kinh nghiệm Singapore, Australia và Vương quốc Anh nhằm xác định các công cụ quản lý có khả năng tham khảo. Dữ liệu cho thấy dư nợ tuyệt đối tăng, trong khi tỷ lệ nợ trên thu bị chi phối bởi thay đổi đồng thời của nợ và số thu. Kinh nghiệm quốc tế nhấn mạnh vai trò của thuận tiện hóa nghĩa vụ, lựa chọn can thiệp trên cơ sở dữ liệu, hỗ trợ trả nợ và đo lường kết quả theo nhiều chỉ tiêu.</w:t>
      </w:r>
    </w:p>
    <w:p w14:paraId="78BC2E89" w14:textId="77777777" w:rsidR="00936BBF" w:rsidRPr="000A26D0" w:rsidRDefault="00000000" w:rsidP="000A26D0">
      <w:pPr>
        <w:jc w:val="both"/>
        <w:rPr>
          <w:rFonts w:ascii="Times New Roman" w:hAnsi="Times New Roman"/>
          <w:color w:val="000000" w:themeColor="text1"/>
          <w:sz w:val="24"/>
          <w:szCs w:val="24"/>
        </w:rPr>
      </w:pPr>
      <w:r w:rsidRPr="000A26D0">
        <w:rPr>
          <w:rFonts w:ascii="Times New Roman" w:hAnsi="Times New Roman"/>
          <w:color w:val="000000" w:themeColor="text1"/>
          <w:sz w:val="24"/>
          <w:szCs w:val="24"/>
        </w:rPr>
        <w:t>Hàm ý cốt lõi là chuyển từ quản lý một con số tồn nợ cuối kỳ sang quản lý dòng nợ, khả năng thu hồi và hiệu quả từng bước can thiệp. Kịch bản năm 2026 có giá trị cảnh báo phụ thuộc giả định, không đủ để khẳng định giá trị nợ thực tế hay tác động nhân quả của chuyển đổi số. Nghiên cứu tiếp theo cần bổ sung dữ liệu theo nhóm nợ và thời gian để kiểm định hiệu quả các công cụ quản lý.</w:t>
      </w:r>
    </w:p>
    <w:p w14:paraId="4148B4C6" w14:textId="77777777" w:rsidR="00936BBF" w:rsidRPr="000A26D0" w:rsidRDefault="00000000" w:rsidP="000A26D0">
      <w:pPr>
        <w:spacing w:before="120" w:after="0" w:line="280" w:lineRule="exact"/>
        <w:ind w:firstLine="720"/>
        <w:jc w:val="both"/>
        <w:rPr>
          <w:rFonts w:ascii="Times New Roman" w:hAnsi="Times New Roman"/>
          <w:b/>
          <w:bCs/>
          <w:color w:val="000000" w:themeColor="text1"/>
          <w:sz w:val="26"/>
          <w:szCs w:val="26"/>
        </w:rPr>
      </w:pPr>
      <w:r w:rsidRPr="000A26D0">
        <w:rPr>
          <w:rFonts w:ascii="Times New Roman" w:hAnsi="Times New Roman"/>
          <w:b/>
          <w:color w:val="000000" w:themeColor="text1"/>
          <w:sz w:val="26"/>
          <w:szCs w:val="26"/>
        </w:rPr>
        <w:t>Tài liệu tham khảo:</w:t>
      </w:r>
    </w:p>
    <w:p w14:paraId="315AE778" w14:textId="688ADD49" w:rsidR="00936BBF" w:rsidRPr="000A26D0" w:rsidRDefault="001A7DF5">
      <w:pPr>
        <w:rPr>
          <w:rFonts w:ascii="Times New Roman" w:hAnsi="Times New Roman"/>
          <w:color w:val="000000" w:themeColor="text1"/>
          <w:sz w:val="24"/>
          <w:szCs w:val="24"/>
        </w:rPr>
      </w:pPr>
      <w:r w:rsidRPr="000A26D0">
        <w:rPr>
          <w:rFonts w:ascii="Times New Roman" w:eastAsia="Times New Roman" w:hAnsi="Times New Roman"/>
          <w:color w:val="000000" w:themeColor="text1"/>
          <w:sz w:val="24"/>
          <w:szCs w:val="24"/>
        </w:rPr>
        <w:t>Huy Thắng</w:t>
      </w:r>
      <w:r w:rsidR="00000000" w:rsidRPr="000A26D0">
        <w:rPr>
          <w:rFonts w:ascii="Times New Roman" w:hAnsi="Times New Roman"/>
          <w:color w:val="000000" w:themeColor="text1"/>
          <w:sz w:val="24"/>
          <w:szCs w:val="24"/>
        </w:rPr>
        <w:t xml:space="preserve">. (2025). Ngành Thuế năm 2025: Lần đầu thu ngân sách vượt mốc 2 triệu tỷ đồng. </w:t>
      </w:r>
      <w:r w:rsidRPr="000A26D0">
        <w:rPr>
          <w:rFonts w:ascii="Times New Roman" w:hAnsi="Times New Roman"/>
          <w:color w:val="000000" w:themeColor="text1"/>
          <w:sz w:val="24"/>
          <w:szCs w:val="24"/>
        </w:rPr>
        <w:t xml:space="preserve">Báo Điện tử Chính phủ. </w:t>
      </w:r>
    </w:p>
    <w:p w14:paraId="076EABE8" w14:textId="4C1B3304"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Bộ Tài chính. (2021). Thông tư số 78/2021/TT-BTC ngày 17</w:t>
      </w:r>
      <w:r w:rsidR="00116550" w:rsidRPr="000A26D0">
        <w:rPr>
          <w:rFonts w:ascii="Times New Roman" w:hAnsi="Times New Roman"/>
          <w:color w:val="000000" w:themeColor="text1"/>
          <w:sz w:val="24"/>
          <w:szCs w:val="24"/>
        </w:rPr>
        <w:t>/</w:t>
      </w:r>
      <w:r w:rsidRPr="000A26D0">
        <w:rPr>
          <w:rFonts w:ascii="Times New Roman" w:hAnsi="Times New Roman"/>
          <w:color w:val="000000" w:themeColor="text1"/>
          <w:sz w:val="24"/>
          <w:szCs w:val="24"/>
        </w:rPr>
        <w:t>9</w:t>
      </w:r>
      <w:r w:rsidR="00116550" w:rsidRPr="000A26D0">
        <w:rPr>
          <w:rFonts w:ascii="Times New Roman" w:hAnsi="Times New Roman"/>
          <w:color w:val="000000" w:themeColor="text1"/>
          <w:sz w:val="24"/>
          <w:szCs w:val="24"/>
        </w:rPr>
        <w:t>/</w:t>
      </w:r>
      <w:r w:rsidRPr="000A26D0">
        <w:rPr>
          <w:rFonts w:ascii="Times New Roman" w:hAnsi="Times New Roman"/>
          <w:color w:val="000000" w:themeColor="text1"/>
          <w:sz w:val="24"/>
          <w:szCs w:val="24"/>
        </w:rPr>
        <w:t xml:space="preserve">2021 hướng dẫn thực hiện một số điều của Luật Quản lý thuế và Nghị định số 123/2020/NĐ-CP về hóa đơn, chứng từ. </w:t>
      </w:r>
    </w:p>
    <w:p w14:paraId="3BC5976F" w14:textId="78618A68"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 xml:space="preserve">Bộ Tài chính. (2026). Báo cáo tổng kết cơ quan Bộ Tài chính năm 2025. </w:t>
      </w:r>
    </w:p>
    <w:p w14:paraId="264F40FD" w14:textId="64BABC30"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Chính phủ. (2020). Nghị định số 123/2020/NĐ-CP ngày 19</w:t>
      </w:r>
      <w:r w:rsidR="00116550" w:rsidRPr="000A26D0">
        <w:rPr>
          <w:rFonts w:ascii="Times New Roman" w:hAnsi="Times New Roman"/>
          <w:color w:val="000000" w:themeColor="text1"/>
          <w:sz w:val="24"/>
          <w:szCs w:val="24"/>
        </w:rPr>
        <w:t>/</w:t>
      </w:r>
      <w:r w:rsidRPr="000A26D0">
        <w:rPr>
          <w:rFonts w:ascii="Times New Roman" w:hAnsi="Times New Roman"/>
          <w:color w:val="000000" w:themeColor="text1"/>
          <w:sz w:val="24"/>
          <w:szCs w:val="24"/>
        </w:rPr>
        <w:t>10</w:t>
      </w:r>
      <w:r w:rsidR="00116550" w:rsidRPr="000A26D0">
        <w:rPr>
          <w:rFonts w:ascii="Times New Roman" w:hAnsi="Times New Roman"/>
          <w:color w:val="000000" w:themeColor="text1"/>
          <w:sz w:val="24"/>
          <w:szCs w:val="24"/>
        </w:rPr>
        <w:t>/</w:t>
      </w:r>
      <w:r w:rsidRPr="000A26D0">
        <w:rPr>
          <w:rFonts w:ascii="Times New Roman" w:hAnsi="Times New Roman"/>
          <w:color w:val="000000" w:themeColor="text1"/>
          <w:sz w:val="24"/>
          <w:szCs w:val="24"/>
        </w:rPr>
        <w:t xml:space="preserve">2020 quy định về hóa đơn, chứng từ. </w:t>
      </w:r>
    </w:p>
    <w:p w14:paraId="497CDE36" w14:textId="3719CDD8"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Cục Thuế. (2025). Báo cáo kết quả công tác thuế năm 2025 và nhiệm vụ, giải pháp năm 2026. Hà Nội.</w:t>
      </w:r>
    </w:p>
    <w:p w14:paraId="41989FA4" w14:textId="151D1CE3" w:rsidR="00116550" w:rsidRPr="000A26D0" w:rsidRDefault="00116550" w:rsidP="00116550">
      <w:pPr>
        <w:rPr>
          <w:rFonts w:ascii="Times New Roman" w:hAnsi="Times New Roman"/>
          <w:color w:val="000000" w:themeColor="text1"/>
          <w:sz w:val="24"/>
          <w:szCs w:val="24"/>
        </w:rPr>
      </w:pPr>
      <w:r w:rsidRPr="000A26D0">
        <w:rPr>
          <w:rFonts w:ascii="Times New Roman" w:hAnsi="Times New Roman"/>
          <w:color w:val="000000" w:themeColor="text1"/>
          <w:sz w:val="24"/>
          <w:szCs w:val="24"/>
        </w:rPr>
        <w:t xml:space="preserve">Quốc hội. (2019). Luật Quản lý thuế số 38/2019/QH14 ngày 13/6/2019. </w:t>
      </w:r>
    </w:p>
    <w:p w14:paraId="17313F1B" w14:textId="211F7463" w:rsidR="00116550" w:rsidRPr="000A26D0" w:rsidRDefault="00116550" w:rsidP="00116550">
      <w:pPr>
        <w:rPr>
          <w:rFonts w:ascii="Times New Roman" w:hAnsi="Times New Roman"/>
          <w:color w:val="000000" w:themeColor="text1"/>
          <w:sz w:val="24"/>
          <w:szCs w:val="24"/>
        </w:rPr>
      </w:pPr>
      <w:r w:rsidRPr="000A26D0">
        <w:rPr>
          <w:rFonts w:ascii="Times New Roman" w:hAnsi="Times New Roman"/>
          <w:color w:val="000000" w:themeColor="text1"/>
          <w:sz w:val="24"/>
          <w:szCs w:val="24"/>
        </w:rPr>
        <w:t xml:space="preserve">Thủ tướng Chính phủ. (2020). Quyết định số 749/QĐ-TTg ngày 03/6/2020 phê duyệt Chương trình Chuyển đổi số quốc gia đến năm 2025, định hướng đến năm 2030. </w:t>
      </w:r>
    </w:p>
    <w:p w14:paraId="574EB132" w14:textId="25552DFD" w:rsidR="00116550" w:rsidRPr="000A26D0" w:rsidRDefault="00116550" w:rsidP="00116550">
      <w:pPr>
        <w:rPr>
          <w:rFonts w:ascii="Times New Roman" w:hAnsi="Times New Roman"/>
          <w:color w:val="000000" w:themeColor="text1"/>
          <w:sz w:val="24"/>
          <w:szCs w:val="24"/>
        </w:rPr>
      </w:pPr>
      <w:r w:rsidRPr="000A26D0">
        <w:rPr>
          <w:rFonts w:ascii="Times New Roman" w:hAnsi="Times New Roman"/>
          <w:color w:val="000000" w:themeColor="text1"/>
          <w:sz w:val="24"/>
          <w:szCs w:val="24"/>
        </w:rPr>
        <w:t xml:space="preserve">Tổng cục Thuế. (2020-2024). Báo cáo tổng kết công tác thuế các năm 2020, 2021, 2022, 2023 và 2024. </w:t>
      </w:r>
    </w:p>
    <w:p w14:paraId="00F0A276" w14:textId="17DBE45D" w:rsidR="00116550" w:rsidRPr="000A26D0" w:rsidRDefault="00116550" w:rsidP="00116550">
      <w:pPr>
        <w:rPr>
          <w:rFonts w:ascii="Times New Roman" w:hAnsi="Times New Roman"/>
          <w:color w:val="000000" w:themeColor="text1"/>
          <w:sz w:val="24"/>
          <w:szCs w:val="24"/>
        </w:rPr>
      </w:pPr>
      <w:r w:rsidRPr="000A26D0">
        <w:rPr>
          <w:rFonts w:ascii="Times New Roman" w:hAnsi="Times New Roman"/>
          <w:color w:val="000000" w:themeColor="text1"/>
          <w:sz w:val="24"/>
          <w:szCs w:val="24"/>
        </w:rPr>
        <w:lastRenderedPageBreak/>
        <w:t xml:space="preserve">Tổng cục Thuế. (2022). Quyết định số 1129/QĐ-TCT ngày 20 tháng 7 năm 2022 về việc ban hành Quy trình quản lý nợ. </w:t>
      </w:r>
    </w:p>
    <w:p w14:paraId="2A952D6F" w14:textId="19545B78" w:rsidR="00116550" w:rsidRPr="000A26D0" w:rsidRDefault="00116550" w:rsidP="00116550">
      <w:pPr>
        <w:rPr>
          <w:rFonts w:ascii="Times New Roman" w:hAnsi="Times New Roman"/>
          <w:color w:val="000000" w:themeColor="text1"/>
          <w:sz w:val="24"/>
          <w:szCs w:val="24"/>
        </w:rPr>
      </w:pPr>
      <w:r w:rsidRPr="000A26D0">
        <w:rPr>
          <w:rFonts w:ascii="Times New Roman" w:hAnsi="Times New Roman"/>
          <w:color w:val="000000" w:themeColor="text1"/>
          <w:sz w:val="24"/>
          <w:szCs w:val="24"/>
        </w:rPr>
        <w:t>Trương Thị Thảo. (2026). Quản lý nợ thuế trong bối cảnh chuyển đổi số tại Việt Nam</w:t>
      </w:r>
      <w:r w:rsidR="001A7DF5" w:rsidRPr="000A26D0">
        <w:rPr>
          <w:rFonts w:ascii="Times New Roman" w:hAnsi="Times New Roman"/>
          <w:color w:val="000000" w:themeColor="text1"/>
          <w:sz w:val="24"/>
          <w:szCs w:val="24"/>
        </w:rPr>
        <w:t xml:space="preserve">. </w:t>
      </w:r>
      <w:r w:rsidRPr="000A26D0">
        <w:rPr>
          <w:rFonts w:ascii="Times New Roman" w:hAnsi="Times New Roman"/>
          <w:color w:val="000000" w:themeColor="text1"/>
          <w:sz w:val="24"/>
          <w:szCs w:val="24"/>
        </w:rPr>
        <w:t>Luận án tiến sĩ, Học viện Tài chính.</w:t>
      </w:r>
    </w:p>
    <w:p w14:paraId="56658F37"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OECD. (2004). Compliance Risk Management: Managing and Improving Tax Compliance. Paris: OECD.</w:t>
      </w:r>
    </w:p>
    <w:p w14:paraId="11340368"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OECD. (2014). Working Smarter in Tax Debt Management. Paris: OECD Publishing.</w:t>
      </w:r>
    </w:p>
    <w:p w14:paraId="137358C4"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OECD. (2017). Tax Administration 2017: Comparative Information on OECD and Other Advanced and Emerging Economies. Paris: OECD Publishing.</w:t>
      </w:r>
    </w:p>
    <w:p w14:paraId="4B212295"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OECD. (2019). Successful Tax Debt Management: Measuring Maturity and Supporting Change. Paris: OECD Publishing.</w:t>
      </w:r>
    </w:p>
    <w:p w14:paraId="51387DA1"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OECD. (2020). Tax Administration 3.0: The Digital Transformation of Tax Administration. Paris: OECD Publishing.</w:t>
      </w:r>
    </w:p>
    <w:p w14:paraId="76C695D0" w14:textId="77777777"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Inland Revenue Authority of Singapore (IRAS). (2025). IRAS Annual Report FY2024/25. https://www.iras.gov.sg/news-events/newsroom/iras-annual-report-fy2024-25</w:t>
      </w:r>
    </w:p>
    <w:p w14:paraId="3B6E48F2" w14:textId="7B0FC5F2" w:rsidR="00936BBF"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Australian Taxation Office (ATO). (2025). Commissioner of Taxation Annual Report 2024</w:t>
      </w:r>
      <w:r w:rsidR="001A7DF5" w:rsidRPr="000A26D0">
        <w:rPr>
          <w:rFonts w:ascii="Times New Roman" w:hAnsi="Times New Roman"/>
          <w:color w:val="000000" w:themeColor="text1"/>
          <w:sz w:val="24"/>
          <w:szCs w:val="24"/>
        </w:rPr>
        <w:t>-</w:t>
      </w:r>
      <w:r w:rsidRPr="000A26D0">
        <w:rPr>
          <w:rFonts w:ascii="Times New Roman" w:hAnsi="Times New Roman"/>
          <w:color w:val="000000" w:themeColor="text1"/>
          <w:sz w:val="24"/>
          <w:szCs w:val="24"/>
        </w:rPr>
        <w:t>25, chỉ tiêu “Ratio of collectable debt to net tax collections”. Tài liệu đối chiếu: Australian Government Department of Finance, Audit of the 2024</w:t>
      </w:r>
      <w:r w:rsidR="001A7DF5" w:rsidRPr="000A26D0">
        <w:rPr>
          <w:rFonts w:ascii="Times New Roman" w:hAnsi="Times New Roman"/>
          <w:color w:val="000000" w:themeColor="text1"/>
          <w:sz w:val="24"/>
          <w:szCs w:val="24"/>
        </w:rPr>
        <w:t>-</w:t>
      </w:r>
      <w:r w:rsidRPr="000A26D0">
        <w:rPr>
          <w:rFonts w:ascii="Times New Roman" w:hAnsi="Times New Roman"/>
          <w:color w:val="000000" w:themeColor="text1"/>
          <w:sz w:val="24"/>
          <w:szCs w:val="24"/>
        </w:rPr>
        <w:t>25 Annual Performance Statements of the Australian Taxation Office. https://www.finance.gov.au/sites/default/files/2025-12/audit-report-of-the-2024%E2%80%9325-annual-performance-statements-australian-taxation-office.pdf</w:t>
      </w:r>
    </w:p>
    <w:p w14:paraId="32915251" w14:textId="2729E0FF" w:rsidR="0011659C" w:rsidRPr="000A26D0" w:rsidRDefault="00000000">
      <w:pPr>
        <w:rPr>
          <w:rFonts w:ascii="Times New Roman" w:hAnsi="Times New Roman"/>
          <w:color w:val="000000" w:themeColor="text1"/>
          <w:sz w:val="24"/>
          <w:szCs w:val="24"/>
        </w:rPr>
      </w:pPr>
      <w:r w:rsidRPr="000A26D0">
        <w:rPr>
          <w:rFonts w:ascii="Times New Roman" w:hAnsi="Times New Roman"/>
          <w:color w:val="000000" w:themeColor="text1"/>
          <w:sz w:val="24"/>
          <w:szCs w:val="24"/>
        </w:rPr>
        <w:t xml:space="preserve">HM Revenue &amp; Customs (HMRC). (2025). Annual Report and Accounts 2024 to 2025. </w:t>
      </w:r>
      <w:hyperlink r:id="rId8" w:history="1">
        <w:r w:rsidR="0011659C" w:rsidRPr="000A26D0">
          <w:rPr>
            <w:rStyle w:val="Hyperlink"/>
            <w:rFonts w:ascii="Times New Roman" w:hAnsi="Times New Roman"/>
            <w:color w:val="000000" w:themeColor="text1"/>
            <w:sz w:val="24"/>
            <w:szCs w:val="24"/>
          </w:rPr>
          <w:t>https://www.gov.uk/government/publications/hmrc-annual-report-and-accounts-2024-to-2025</w:t>
        </w:r>
      </w:hyperlink>
    </w:p>
    <w:p w14:paraId="22BA7DE9" w14:textId="77777777" w:rsidR="0011659C" w:rsidRPr="000A26D0" w:rsidRDefault="0011659C" w:rsidP="0011659C">
      <w:pPr>
        <w:rPr>
          <w:rFonts w:ascii="Times New Roman" w:hAnsi="Times New Roman"/>
          <w:color w:val="000000" w:themeColor="text1"/>
          <w:sz w:val="24"/>
          <w:szCs w:val="24"/>
        </w:rPr>
      </w:pPr>
      <w:r w:rsidRPr="000A26D0">
        <w:rPr>
          <w:rFonts w:ascii="Times New Roman" w:hAnsi="Times New Roman"/>
          <w:b/>
          <w:bCs/>
          <w:color w:val="000000" w:themeColor="text1"/>
          <w:sz w:val="24"/>
          <w:szCs w:val="24"/>
        </w:rPr>
        <w:t>Tax Debt Management in the Context of Digital Transformation: A Risk Management Approach, International Experience, and Implications for Vietnam</w:t>
      </w:r>
    </w:p>
    <w:p w14:paraId="677D1162" w14:textId="77777777" w:rsidR="0011659C" w:rsidRPr="000A26D0" w:rsidRDefault="0011659C" w:rsidP="0011659C">
      <w:pPr>
        <w:rPr>
          <w:rFonts w:ascii="Times New Roman" w:hAnsi="Times New Roman"/>
          <w:color w:val="000000" w:themeColor="text1"/>
          <w:sz w:val="24"/>
          <w:szCs w:val="24"/>
        </w:rPr>
      </w:pPr>
      <w:r w:rsidRPr="000A26D0">
        <w:rPr>
          <w:rFonts w:ascii="Times New Roman" w:hAnsi="Times New Roman"/>
          <w:color w:val="000000" w:themeColor="text1"/>
          <w:sz w:val="24"/>
          <w:szCs w:val="24"/>
        </w:rPr>
        <w:t>Truong Thi Thao</w:t>
      </w:r>
      <w:r w:rsidRPr="000A26D0">
        <w:rPr>
          <w:rFonts w:ascii="Times New Roman" w:hAnsi="Times New Roman"/>
          <w:color w:val="000000" w:themeColor="text1"/>
          <w:sz w:val="24"/>
          <w:szCs w:val="24"/>
        </w:rPr>
        <w:br/>
        <w:t>Faculty of Finance, Banking and Insurance</w:t>
      </w:r>
      <w:r w:rsidRPr="000A26D0">
        <w:rPr>
          <w:rFonts w:ascii="Times New Roman" w:hAnsi="Times New Roman"/>
          <w:color w:val="000000" w:themeColor="text1"/>
          <w:sz w:val="24"/>
          <w:szCs w:val="24"/>
        </w:rPr>
        <w:br/>
        <w:t>University of Economics – Technology for Industries</w:t>
      </w:r>
      <w:r w:rsidRPr="000A26D0">
        <w:rPr>
          <w:rFonts w:ascii="Times New Roman" w:hAnsi="Times New Roman"/>
          <w:color w:val="000000" w:themeColor="text1"/>
          <w:sz w:val="24"/>
          <w:szCs w:val="24"/>
        </w:rPr>
        <w:br/>
        <w:t xml:space="preserve">Email: </w:t>
      </w:r>
      <w:hyperlink r:id="rId9" w:history="1">
        <w:r w:rsidRPr="000A26D0">
          <w:rPr>
            <w:rStyle w:val="Hyperlink"/>
            <w:rFonts w:ascii="Times New Roman" w:hAnsi="Times New Roman"/>
            <w:color w:val="000000" w:themeColor="text1"/>
            <w:sz w:val="24"/>
            <w:szCs w:val="24"/>
          </w:rPr>
          <w:t>ttthao@uneti.edu.vn</w:t>
        </w:r>
      </w:hyperlink>
    </w:p>
    <w:p w14:paraId="4410D037" w14:textId="77777777" w:rsidR="0011659C" w:rsidRPr="000A26D0" w:rsidRDefault="0011659C" w:rsidP="0011659C">
      <w:pPr>
        <w:rPr>
          <w:rFonts w:ascii="Times New Roman" w:hAnsi="Times New Roman"/>
          <w:color w:val="000000" w:themeColor="text1"/>
          <w:sz w:val="24"/>
          <w:szCs w:val="24"/>
        </w:rPr>
      </w:pPr>
      <w:r w:rsidRPr="000A26D0">
        <w:rPr>
          <w:rFonts w:ascii="Times New Roman" w:hAnsi="Times New Roman"/>
          <w:b/>
          <w:bCs/>
          <w:color w:val="000000" w:themeColor="text1"/>
          <w:sz w:val="24"/>
          <w:szCs w:val="24"/>
        </w:rPr>
        <w:t>Abstract</w:t>
      </w:r>
    </w:p>
    <w:p w14:paraId="5410B23C" w14:textId="013E3614" w:rsidR="0011659C" w:rsidRPr="000A26D0" w:rsidRDefault="0011659C" w:rsidP="0011659C">
      <w:pPr>
        <w:rPr>
          <w:rFonts w:ascii="Times New Roman" w:hAnsi="Times New Roman"/>
          <w:color w:val="000000" w:themeColor="text1"/>
          <w:sz w:val="24"/>
          <w:szCs w:val="24"/>
        </w:rPr>
      </w:pPr>
      <w:r w:rsidRPr="000A26D0">
        <w:rPr>
          <w:rFonts w:ascii="Times New Roman" w:hAnsi="Times New Roman"/>
          <w:color w:val="000000" w:themeColor="text1"/>
          <w:sz w:val="24"/>
          <w:szCs w:val="24"/>
        </w:rPr>
        <w:t>This study analyzes tax debt management in Vietnam during the 2020–2025 period in the context of digital transformation, drawing on a literature synthesis, descriptive statistics, a 2026 early-</w:t>
      </w:r>
      <w:r w:rsidRPr="000A26D0">
        <w:rPr>
          <w:rFonts w:ascii="Times New Roman" w:hAnsi="Times New Roman"/>
          <w:color w:val="000000" w:themeColor="text1"/>
          <w:sz w:val="24"/>
          <w:szCs w:val="24"/>
        </w:rPr>
        <w:lastRenderedPageBreak/>
        <w:t>warning scenario analysis, and case studies of Singapore, Australia, and the United Kingdom. The findings show that the scale of tax debt has increased, while the ratio of tax debt to revenue fluctuates in response to both outstanding debt and revenue collected. International experience emphasizes the digitalization of taxpayer interaction and payment, data-driven selection of interventions, debt classification, and taxpayer support tailored to payment status. The study proposes shifting the focus from monitoring end-of-period outstanding debt to managing the flow of newly arising debt, early warning, classification by collectability, and the publication of performance indicators. The 2026 analysis is a conditional scenario analysis only and does not constitute a forecast calibrated using an econometric model.</w:t>
      </w:r>
    </w:p>
    <w:p w14:paraId="1F9282FD" w14:textId="77777777" w:rsidR="0011659C" w:rsidRPr="000A26D0" w:rsidRDefault="0011659C" w:rsidP="0011659C">
      <w:pPr>
        <w:rPr>
          <w:rFonts w:ascii="Times New Roman" w:hAnsi="Times New Roman"/>
          <w:color w:val="000000" w:themeColor="text1"/>
          <w:sz w:val="24"/>
          <w:szCs w:val="24"/>
        </w:rPr>
      </w:pPr>
      <w:r w:rsidRPr="000A26D0">
        <w:rPr>
          <w:rFonts w:ascii="Times New Roman" w:hAnsi="Times New Roman"/>
          <w:b/>
          <w:bCs/>
          <w:color w:val="000000" w:themeColor="text1"/>
          <w:sz w:val="24"/>
          <w:szCs w:val="24"/>
        </w:rPr>
        <w:t>Keywords:</w:t>
      </w:r>
      <w:r w:rsidRPr="000A26D0">
        <w:rPr>
          <w:rFonts w:ascii="Times New Roman" w:hAnsi="Times New Roman"/>
          <w:color w:val="000000" w:themeColor="text1"/>
          <w:sz w:val="24"/>
          <w:szCs w:val="24"/>
        </w:rPr>
        <w:t xml:space="preserve"> tax debt management, digital transformation, risk management, international experience, early warning</w:t>
      </w:r>
    </w:p>
    <w:p w14:paraId="65B847A8" w14:textId="77777777" w:rsidR="0011659C" w:rsidRPr="000A26D0" w:rsidRDefault="0011659C">
      <w:pPr>
        <w:rPr>
          <w:rFonts w:ascii="Times New Roman" w:hAnsi="Times New Roman"/>
          <w:color w:val="000000" w:themeColor="text1"/>
          <w:sz w:val="24"/>
          <w:szCs w:val="24"/>
        </w:rPr>
      </w:pPr>
    </w:p>
    <w:p w14:paraId="10506E58" w14:textId="77777777" w:rsidR="00936BBF" w:rsidRPr="000A26D0" w:rsidRDefault="00936BBF" w:rsidP="000A26D0">
      <w:pPr>
        <w:rPr>
          <w:rFonts w:ascii="Times New Roman" w:hAnsi="Times New Roman"/>
          <w:color w:val="000000" w:themeColor="text1"/>
          <w:sz w:val="24"/>
          <w:szCs w:val="24"/>
        </w:rPr>
      </w:pPr>
    </w:p>
    <w:sectPr w:rsidR="00936BBF" w:rsidRPr="000A26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AA552" w14:textId="77777777" w:rsidR="0026136E" w:rsidRDefault="0026136E">
      <w:pPr>
        <w:spacing w:line="240" w:lineRule="auto"/>
      </w:pPr>
      <w:r>
        <w:separator/>
      </w:r>
    </w:p>
  </w:endnote>
  <w:endnote w:type="continuationSeparator" w:id="0">
    <w:p w14:paraId="63D85218" w14:textId="77777777" w:rsidR="0026136E" w:rsidRDefault="002613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BAE5C" w14:textId="77777777" w:rsidR="0026136E" w:rsidRDefault="0026136E">
      <w:pPr>
        <w:spacing w:after="0"/>
      </w:pPr>
      <w:r>
        <w:separator/>
      </w:r>
    </w:p>
  </w:footnote>
  <w:footnote w:type="continuationSeparator" w:id="0">
    <w:p w14:paraId="7A32633E" w14:textId="77777777" w:rsidR="0026136E" w:rsidRDefault="0026136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1A6DB9"/>
    <w:multiLevelType w:val="singleLevel"/>
    <w:tmpl w:val="821A6DB9"/>
    <w:lvl w:ilvl="0">
      <w:start w:val="5"/>
      <w:numFmt w:val="decimal"/>
      <w:suff w:val="space"/>
      <w:lvlText w:val="%1."/>
      <w:lvlJc w:val="left"/>
    </w:lvl>
  </w:abstractNum>
  <w:abstractNum w:abstractNumId="1" w15:restartNumberingAfterBreak="0">
    <w:nsid w:val="7BB89F3C"/>
    <w:multiLevelType w:val="singleLevel"/>
    <w:tmpl w:val="7BB89F3C"/>
    <w:lvl w:ilvl="0">
      <w:start w:val="3"/>
      <w:numFmt w:val="decimal"/>
      <w:suff w:val="space"/>
      <w:lvlText w:val="%1."/>
      <w:lvlJc w:val="left"/>
    </w:lvl>
  </w:abstractNum>
  <w:abstractNum w:abstractNumId="2" w15:restartNumberingAfterBreak="0">
    <w:nsid w:val="7D62B86E"/>
    <w:multiLevelType w:val="multilevel"/>
    <w:tmpl w:val="7D62B86E"/>
    <w:lvl w:ilvl="0">
      <w:start w:val="2"/>
      <w:numFmt w:val="decimal"/>
      <w:suff w:val="space"/>
      <w:lvlText w:val="%1."/>
      <w:lvlJc w:val="left"/>
    </w:lvl>
    <w:lvl w:ilvl="1">
      <w:start w:val="1"/>
      <w:numFmt w:val="decimal"/>
      <w:suff w:val="space"/>
      <w:lvlText w:val="%1.%2."/>
      <w:lvlJc w:val="left"/>
      <w:pPr>
        <w:ind w:left="720" w:firstLine="0"/>
      </w:pPr>
      <w:rPr>
        <w:rFonts w:hint="default"/>
      </w:rPr>
    </w:lvl>
    <w:lvl w:ilvl="2">
      <w:start w:val="1"/>
      <w:numFmt w:val="decimal"/>
      <w:suff w:val="space"/>
      <w:lvlText w:val="%1.%2.%3."/>
      <w:lvlJc w:val="left"/>
      <w:pPr>
        <w:ind w:left="720" w:firstLine="0"/>
      </w:pPr>
      <w:rPr>
        <w:rFonts w:hint="default"/>
      </w:rPr>
    </w:lvl>
    <w:lvl w:ilvl="3">
      <w:start w:val="1"/>
      <w:numFmt w:val="decimal"/>
      <w:suff w:val="space"/>
      <w:lvlText w:val="%1.%2.%3.%4."/>
      <w:lvlJc w:val="left"/>
      <w:pPr>
        <w:ind w:left="720" w:firstLine="0"/>
      </w:pPr>
      <w:rPr>
        <w:rFonts w:hint="default"/>
      </w:rPr>
    </w:lvl>
    <w:lvl w:ilvl="4">
      <w:start w:val="1"/>
      <w:numFmt w:val="decimal"/>
      <w:suff w:val="space"/>
      <w:lvlText w:val="%1.%2.%3.%4.%5."/>
      <w:lvlJc w:val="left"/>
      <w:pPr>
        <w:ind w:left="720" w:firstLine="0"/>
      </w:pPr>
      <w:rPr>
        <w:rFonts w:hint="default"/>
      </w:rPr>
    </w:lvl>
    <w:lvl w:ilvl="5">
      <w:start w:val="1"/>
      <w:numFmt w:val="decimal"/>
      <w:suff w:val="space"/>
      <w:lvlText w:val="%1.%2.%3.%4.%5.%6."/>
      <w:lvlJc w:val="left"/>
      <w:pPr>
        <w:ind w:left="720" w:firstLine="0"/>
      </w:pPr>
      <w:rPr>
        <w:rFonts w:hint="default"/>
      </w:rPr>
    </w:lvl>
    <w:lvl w:ilvl="6">
      <w:start w:val="1"/>
      <w:numFmt w:val="decimal"/>
      <w:suff w:val="space"/>
      <w:lvlText w:val="%1.%2.%3.%4.%5.%6.%7."/>
      <w:lvlJc w:val="left"/>
      <w:pPr>
        <w:ind w:left="720" w:firstLine="0"/>
      </w:pPr>
      <w:rPr>
        <w:rFonts w:hint="default"/>
      </w:rPr>
    </w:lvl>
    <w:lvl w:ilvl="7">
      <w:start w:val="1"/>
      <w:numFmt w:val="decimal"/>
      <w:suff w:val="space"/>
      <w:lvlText w:val="%1.%2.%3.%4.%5.%6.%7.%8."/>
      <w:lvlJc w:val="left"/>
      <w:pPr>
        <w:ind w:left="720" w:firstLine="0"/>
      </w:pPr>
      <w:rPr>
        <w:rFonts w:hint="default"/>
      </w:rPr>
    </w:lvl>
    <w:lvl w:ilvl="8">
      <w:start w:val="1"/>
      <w:numFmt w:val="decimal"/>
      <w:suff w:val="space"/>
      <w:lvlText w:val="%1.%2.%3.%4.%5.%6.%7.%8.%9."/>
      <w:lvlJc w:val="left"/>
      <w:pPr>
        <w:ind w:left="720" w:firstLine="0"/>
      </w:pPr>
      <w:rPr>
        <w:rFonts w:hint="default"/>
      </w:rPr>
    </w:lvl>
  </w:abstractNum>
  <w:num w:numId="1" w16cid:durableId="1650671984">
    <w:abstractNumId w:val="1"/>
  </w:num>
  <w:num w:numId="2" w16cid:durableId="682167030">
    <w:abstractNumId w:val="2"/>
  </w:num>
  <w:num w:numId="3" w16cid:durableId="850950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hideSpellingErrors/>
  <w:defaultTabStop w:val="720"/>
  <w:noPunctuationKerning/>
  <w:characterSpacingControl w:val="doNotCompress"/>
  <w:footnotePr>
    <w:footnote w:id="-1"/>
    <w:footnote w:id="0"/>
  </w:footnotePr>
  <w:endnotePr>
    <w:endnote w:id="-1"/>
    <w:endnote w:id="0"/>
  </w:endnotePr>
  <w:compat>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C06"/>
    <w:rsid w:val="000117A5"/>
    <w:rsid w:val="00012C9B"/>
    <w:rsid w:val="00015171"/>
    <w:rsid w:val="00016C9B"/>
    <w:rsid w:val="0003084A"/>
    <w:rsid w:val="00033084"/>
    <w:rsid w:val="00090084"/>
    <w:rsid w:val="000A26D0"/>
    <w:rsid w:val="000E225C"/>
    <w:rsid w:val="000F52AD"/>
    <w:rsid w:val="001121BA"/>
    <w:rsid w:val="00116550"/>
    <w:rsid w:val="0011659C"/>
    <w:rsid w:val="00134DF3"/>
    <w:rsid w:val="001A7DF5"/>
    <w:rsid w:val="001D0DA1"/>
    <w:rsid w:val="001D65EC"/>
    <w:rsid w:val="001E580F"/>
    <w:rsid w:val="001F0E74"/>
    <w:rsid w:val="002506F4"/>
    <w:rsid w:val="0026136E"/>
    <w:rsid w:val="00277C0A"/>
    <w:rsid w:val="00321F91"/>
    <w:rsid w:val="00334830"/>
    <w:rsid w:val="00455280"/>
    <w:rsid w:val="00485ADA"/>
    <w:rsid w:val="004B3D0A"/>
    <w:rsid w:val="00525742"/>
    <w:rsid w:val="00544CD7"/>
    <w:rsid w:val="00545F14"/>
    <w:rsid w:val="005F332E"/>
    <w:rsid w:val="005F71EB"/>
    <w:rsid w:val="00601161"/>
    <w:rsid w:val="00607D3B"/>
    <w:rsid w:val="00622091"/>
    <w:rsid w:val="00631577"/>
    <w:rsid w:val="00642FD3"/>
    <w:rsid w:val="006766A7"/>
    <w:rsid w:val="0068714E"/>
    <w:rsid w:val="00692C29"/>
    <w:rsid w:val="006B0DF7"/>
    <w:rsid w:val="00755D5F"/>
    <w:rsid w:val="007630F6"/>
    <w:rsid w:val="00764ABA"/>
    <w:rsid w:val="007C778F"/>
    <w:rsid w:val="007E101C"/>
    <w:rsid w:val="00862D53"/>
    <w:rsid w:val="00863E6A"/>
    <w:rsid w:val="00864282"/>
    <w:rsid w:val="008A3C07"/>
    <w:rsid w:val="008D009B"/>
    <w:rsid w:val="009036F4"/>
    <w:rsid w:val="00936BBF"/>
    <w:rsid w:val="009413C1"/>
    <w:rsid w:val="009B18D3"/>
    <w:rsid w:val="009D234E"/>
    <w:rsid w:val="009F666B"/>
    <w:rsid w:val="00A17431"/>
    <w:rsid w:val="00A35B7A"/>
    <w:rsid w:val="00A843D4"/>
    <w:rsid w:val="00A97831"/>
    <w:rsid w:val="00AC751F"/>
    <w:rsid w:val="00AF527A"/>
    <w:rsid w:val="00B46DD2"/>
    <w:rsid w:val="00B90FB3"/>
    <w:rsid w:val="00BA0784"/>
    <w:rsid w:val="00BA35A5"/>
    <w:rsid w:val="00C4353A"/>
    <w:rsid w:val="00C7491B"/>
    <w:rsid w:val="00C9792C"/>
    <w:rsid w:val="00C97A10"/>
    <w:rsid w:val="00CC0902"/>
    <w:rsid w:val="00CC38F5"/>
    <w:rsid w:val="00D71FE8"/>
    <w:rsid w:val="00D7745C"/>
    <w:rsid w:val="00DF457F"/>
    <w:rsid w:val="00E96AB6"/>
    <w:rsid w:val="00EA2C30"/>
    <w:rsid w:val="00EE75F5"/>
    <w:rsid w:val="00F5504C"/>
    <w:rsid w:val="00F61C06"/>
    <w:rsid w:val="025C116B"/>
    <w:rsid w:val="026033F5"/>
    <w:rsid w:val="02C76B94"/>
    <w:rsid w:val="033C405D"/>
    <w:rsid w:val="03546AF7"/>
    <w:rsid w:val="04405E89"/>
    <w:rsid w:val="04A64CA7"/>
    <w:rsid w:val="05FF12E2"/>
    <w:rsid w:val="06362AC0"/>
    <w:rsid w:val="0682513E"/>
    <w:rsid w:val="07123728"/>
    <w:rsid w:val="094B7B50"/>
    <w:rsid w:val="094C55D1"/>
    <w:rsid w:val="0A110812"/>
    <w:rsid w:val="0A4849E7"/>
    <w:rsid w:val="0AA8200A"/>
    <w:rsid w:val="0B4E021A"/>
    <w:rsid w:val="0C1A6669"/>
    <w:rsid w:val="0C9E6C42"/>
    <w:rsid w:val="0CFF59E2"/>
    <w:rsid w:val="0D876BC0"/>
    <w:rsid w:val="0DC82EAC"/>
    <w:rsid w:val="0DF471F4"/>
    <w:rsid w:val="0E9D0906"/>
    <w:rsid w:val="0EA20611"/>
    <w:rsid w:val="0EDA076B"/>
    <w:rsid w:val="0FBF1CE2"/>
    <w:rsid w:val="107D339A"/>
    <w:rsid w:val="10BB432C"/>
    <w:rsid w:val="10E55348"/>
    <w:rsid w:val="127B2E60"/>
    <w:rsid w:val="135D1254"/>
    <w:rsid w:val="15491CF9"/>
    <w:rsid w:val="15AC7E63"/>
    <w:rsid w:val="1606592F"/>
    <w:rsid w:val="16317A78"/>
    <w:rsid w:val="164E15A7"/>
    <w:rsid w:val="17240306"/>
    <w:rsid w:val="17EB6A4A"/>
    <w:rsid w:val="1B3D71C1"/>
    <w:rsid w:val="1B5D1DE4"/>
    <w:rsid w:val="1BBD770F"/>
    <w:rsid w:val="1C725F39"/>
    <w:rsid w:val="1CDB5968"/>
    <w:rsid w:val="1D1A1BCA"/>
    <w:rsid w:val="1DFD34C1"/>
    <w:rsid w:val="1E19756E"/>
    <w:rsid w:val="1E7C50C8"/>
    <w:rsid w:val="1EA374D2"/>
    <w:rsid w:val="1F404DD2"/>
    <w:rsid w:val="216834DE"/>
    <w:rsid w:val="217E1DFE"/>
    <w:rsid w:val="219F0766"/>
    <w:rsid w:val="22261312"/>
    <w:rsid w:val="225A62E9"/>
    <w:rsid w:val="2443630F"/>
    <w:rsid w:val="24AE54B9"/>
    <w:rsid w:val="26436BD4"/>
    <w:rsid w:val="268E7F4D"/>
    <w:rsid w:val="26B40B71"/>
    <w:rsid w:val="277258A9"/>
    <w:rsid w:val="27F84FA1"/>
    <w:rsid w:val="28726E69"/>
    <w:rsid w:val="28B24203"/>
    <w:rsid w:val="29200286"/>
    <w:rsid w:val="29A94967"/>
    <w:rsid w:val="2A257B34"/>
    <w:rsid w:val="2AAB580F"/>
    <w:rsid w:val="2AB925A6"/>
    <w:rsid w:val="2C3503CA"/>
    <w:rsid w:val="2CCB328B"/>
    <w:rsid w:val="2CE03230"/>
    <w:rsid w:val="2D283624"/>
    <w:rsid w:val="2E082C92"/>
    <w:rsid w:val="2E447274"/>
    <w:rsid w:val="2E9D7F19"/>
    <w:rsid w:val="2F226C62"/>
    <w:rsid w:val="30FF53F9"/>
    <w:rsid w:val="311F3225"/>
    <w:rsid w:val="32385EF0"/>
    <w:rsid w:val="331A0A72"/>
    <w:rsid w:val="34032843"/>
    <w:rsid w:val="34756B1F"/>
    <w:rsid w:val="34937510"/>
    <w:rsid w:val="34DC77C8"/>
    <w:rsid w:val="350D7F97"/>
    <w:rsid w:val="366B11D8"/>
    <w:rsid w:val="367C1473"/>
    <w:rsid w:val="36A04B2A"/>
    <w:rsid w:val="39303A80"/>
    <w:rsid w:val="3A0A2948"/>
    <w:rsid w:val="3A82130D"/>
    <w:rsid w:val="3B3458AE"/>
    <w:rsid w:val="3B8159AD"/>
    <w:rsid w:val="3BA96B71"/>
    <w:rsid w:val="3BC30D6B"/>
    <w:rsid w:val="3C7F204D"/>
    <w:rsid w:val="3CAC18B0"/>
    <w:rsid w:val="3DC448E2"/>
    <w:rsid w:val="3DEF0FAA"/>
    <w:rsid w:val="3F333BBF"/>
    <w:rsid w:val="3FFD3288"/>
    <w:rsid w:val="40934A80"/>
    <w:rsid w:val="40985685"/>
    <w:rsid w:val="415A31C5"/>
    <w:rsid w:val="41E221A4"/>
    <w:rsid w:val="42E7780B"/>
    <w:rsid w:val="43461A6B"/>
    <w:rsid w:val="44B90BC0"/>
    <w:rsid w:val="46052A1B"/>
    <w:rsid w:val="46CE1038"/>
    <w:rsid w:val="46CE6E39"/>
    <w:rsid w:val="46DE70D4"/>
    <w:rsid w:val="471362A9"/>
    <w:rsid w:val="47CF5F14"/>
    <w:rsid w:val="48E20AA3"/>
    <w:rsid w:val="491621F6"/>
    <w:rsid w:val="491F5084"/>
    <w:rsid w:val="493A6F33"/>
    <w:rsid w:val="49CE6922"/>
    <w:rsid w:val="4A344BCC"/>
    <w:rsid w:val="4A423EE2"/>
    <w:rsid w:val="4ADB2DDC"/>
    <w:rsid w:val="4B8435F5"/>
    <w:rsid w:val="4BD50557"/>
    <w:rsid w:val="4C804791"/>
    <w:rsid w:val="4DFC3C7E"/>
    <w:rsid w:val="4EAC18A3"/>
    <w:rsid w:val="4F1756CF"/>
    <w:rsid w:val="50701184"/>
    <w:rsid w:val="51C67537"/>
    <w:rsid w:val="521B4A42"/>
    <w:rsid w:val="52D2096E"/>
    <w:rsid w:val="557B66CE"/>
    <w:rsid w:val="55861E45"/>
    <w:rsid w:val="55910872"/>
    <w:rsid w:val="56C86370"/>
    <w:rsid w:val="56C93DF1"/>
    <w:rsid w:val="56D70B89"/>
    <w:rsid w:val="57121C67"/>
    <w:rsid w:val="57F10C0E"/>
    <w:rsid w:val="58C838B7"/>
    <w:rsid w:val="5AA91FAF"/>
    <w:rsid w:val="5B0D5CEF"/>
    <w:rsid w:val="5B117F79"/>
    <w:rsid w:val="5CBF0F39"/>
    <w:rsid w:val="5CF44725"/>
    <w:rsid w:val="5D0F1FBD"/>
    <w:rsid w:val="5D107A3F"/>
    <w:rsid w:val="5D21575A"/>
    <w:rsid w:val="5D443390"/>
    <w:rsid w:val="5DB9334F"/>
    <w:rsid w:val="5E666CEB"/>
    <w:rsid w:val="5EE7053E"/>
    <w:rsid w:val="5F184590"/>
    <w:rsid w:val="5F702A21"/>
    <w:rsid w:val="5FCD2DBA"/>
    <w:rsid w:val="60106D27"/>
    <w:rsid w:val="614D02CB"/>
    <w:rsid w:val="624C1ED5"/>
    <w:rsid w:val="638C2861"/>
    <w:rsid w:val="640D22E7"/>
    <w:rsid w:val="641C68CD"/>
    <w:rsid w:val="645E4DB7"/>
    <w:rsid w:val="64E0380C"/>
    <w:rsid w:val="6505684A"/>
    <w:rsid w:val="652A1008"/>
    <w:rsid w:val="65605C5F"/>
    <w:rsid w:val="67010066"/>
    <w:rsid w:val="674412F8"/>
    <w:rsid w:val="6749577F"/>
    <w:rsid w:val="67B1772D"/>
    <w:rsid w:val="680E2045"/>
    <w:rsid w:val="68D92A13"/>
    <w:rsid w:val="68F56AC0"/>
    <w:rsid w:val="6A025EBD"/>
    <w:rsid w:val="6A4B15F0"/>
    <w:rsid w:val="6BE07E60"/>
    <w:rsid w:val="6BE2620E"/>
    <w:rsid w:val="6BE54C14"/>
    <w:rsid w:val="6DBA222A"/>
    <w:rsid w:val="6E6D3339"/>
    <w:rsid w:val="6EB5372D"/>
    <w:rsid w:val="6FD917D6"/>
    <w:rsid w:val="7029110B"/>
    <w:rsid w:val="70734988"/>
    <w:rsid w:val="70920AC0"/>
    <w:rsid w:val="70BC6081"/>
    <w:rsid w:val="717E613F"/>
    <w:rsid w:val="72E077F4"/>
    <w:rsid w:val="73C4767E"/>
    <w:rsid w:val="749331CE"/>
    <w:rsid w:val="74D6713B"/>
    <w:rsid w:val="74E74E70"/>
    <w:rsid w:val="75171D00"/>
    <w:rsid w:val="751C78AF"/>
    <w:rsid w:val="753B48E1"/>
    <w:rsid w:val="75BC19B7"/>
    <w:rsid w:val="769709A2"/>
    <w:rsid w:val="788D5058"/>
    <w:rsid w:val="78B16511"/>
    <w:rsid w:val="7B4A03D4"/>
    <w:rsid w:val="7D7776E4"/>
    <w:rsid w:val="7F990663"/>
    <w:rsid w:val="7FBB5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E4137"/>
  <w15:docId w15:val="{48DD1B1B-5D83-40E6-AE03-BD6A6E60B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hAnsi="Calibri"/>
      <w:sz w:val="22"/>
      <w:szCs w:val="22"/>
      <w:lang w:eastAsia="zh-CN"/>
    </w:rPr>
  </w:style>
  <w:style w:type="paragraph" w:styleId="Heading1">
    <w:name w:val="heading 1"/>
    <w:basedOn w:val="Normal"/>
    <w:next w:val="Normal"/>
    <w:uiPriority w:val="9"/>
    <w:qFormat/>
    <w:pPr>
      <w:keepNext/>
      <w:keepLines/>
      <w:spacing w:before="200" w:after="100"/>
      <w:outlineLvl w:val="0"/>
    </w:pPr>
    <w:rPr>
      <w:rFonts w:asciiTheme="majorHAnsi" w:eastAsiaTheme="majorEastAsia" w:hAnsiTheme="majorHAnsi" w:cstheme="majorBidi"/>
      <w:b/>
      <w:bCs/>
      <w:color w:val="102A4B"/>
      <w:sz w:val="26"/>
      <w:szCs w:val="28"/>
    </w:rPr>
  </w:style>
  <w:style w:type="paragraph" w:styleId="Heading2">
    <w:name w:val="heading 2"/>
    <w:basedOn w:val="Normal"/>
    <w:next w:val="Normal"/>
    <w:uiPriority w:val="9"/>
    <w:qFormat/>
    <w:pPr>
      <w:spacing w:before="100" w:beforeAutospacing="1" w:after="100" w:afterAutospacing="1"/>
      <w:outlineLvl w:val="1"/>
    </w:pPr>
    <w:rPr>
      <w:rFonts w:ascii="SimSun" w:hAnsi="SimSun" w:hint="eastAsia"/>
      <w:b/>
      <w:bCs/>
      <w:sz w:val="36"/>
      <w:szCs w:val="3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uiPriority w:val="1"/>
    <w:qFormat/>
    <w:rPr>
      <w:rFonts w:ascii="Times New Roman" w:eastAsia="Times New Roman" w:hAnsi="Times New Roman"/>
      <w:sz w:val="28"/>
    </w:rPr>
  </w:style>
  <w:style w:type="character" w:styleId="Emphasis">
    <w:name w:val="Emphasis"/>
    <w:uiPriority w:val="20"/>
    <w:qFormat/>
    <w:rPr>
      <w:i/>
      <w:iCs/>
    </w:rPr>
  </w:style>
  <w:style w:type="paragraph" w:styleId="Header">
    <w:name w:val="header"/>
    <w:basedOn w:val="Normal"/>
    <w:link w:val="HeaderChar"/>
    <w:unhideWhenUsed/>
    <w:qFormat/>
    <w:pPr>
      <w:tabs>
        <w:tab w:val="center" w:pos="4680"/>
        <w:tab w:val="right" w:pos="9360"/>
      </w:tabs>
      <w:spacing w:beforeAutospacing="1" w:after="0" w:afterAutospacing="1" w:line="240" w:lineRule="auto"/>
    </w:pPr>
    <w:rPr>
      <w:rFonts w:ascii="Times New Roman" w:eastAsiaTheme="minorHAnsi" w:hAnsi="Times New Roman" w:cstheme="minorBidi"/>
      <w:kern w:val="2"/>
      <w:sz w:val="24"/>
      <w:lang w:eastAsia="en-US"/>
      <w14:ligatures w14:val="standardContextual"/>
    </w:rPr>
  </w:style>
  <w:style w:type="character" w:styleId="Hyperlink">
    <w:name w:val="Hyperlink"/>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sz w:val="24"/>
      <w:szCs w:val="24"/>
      <w:lang w:eastAsia="en-US"/>
    </w:rPr>
  </w:style>
  <w:style w:type="character" w:styleId="Strong">
    <w:name w:val="Strong"/>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qFormat/>
    <w:rPr>
      <w:rFonts w:ascii="Times New Roman" w:eastAsia="Times New Roman" w:hAnsi="Times New Roman" w:cs="Times New Roman"/>
      <w:b/>
      <w:bCs/>
      <w:sz w:val="27"/>
      <w:szCs w:val="27"/>
    </w:rPr>
  </w:style>
  <w:style w:type="paragraph" w:styleId="ListParagraph">
    <w:name w:val="List Paragraph"/>
    <w:basedOn w:val="Normal"/>
    <w:uiPriority w:val="34"/>
    <w:qFormat/>
    <w:pPr>
      <w:ind w:left="720"/>
      <w:contextualSpacing/>
    </w:pPr>
  </w:style>
  <w:style w:type="paragraph" w:customStyle="1" w:styleId="bang">
    <w:name w:val="bang"/>
    <w:basedOn w:val="Normal"/>
    <w:qFormat/>
    <w:pPr>
      <w:spacing w:line="360" w:lineRule="auto"/>
      <w:jc w:val="center"/>
    </w:pPr>
    <w:rPr>
      <w:rFonts w:ascii="Times New Roman" w:hAnsi="Times New Roman"/>
      <w:b/>
      <w:bCs/>
      <w:sz w:val="27"/>
      <w:szCs w:val="27"/>
      <w:lang w:val="pt-PT"/>
    </w:rPr>
  </w:style>
  <w:style w:type="character" w:customStyle="1" w:styleId="HeaderChar">
    <w:name w:val="Header Char"/>
    <w:basedOn w:val="DefaultParagraphFont"/>
    <w:link w:val="Header"/>
    <w:qFormat/>
    <w:rPr>
      <w:rFonts w:eastAsiaTheme="minorHAnsi" w:cstheme="minorBidi"/>
      <w:kern w:val="2"/>
      <w:sz w:val="24"/>
      <w:szCs w:val="22"/>
      <w14:ligatures w14:val="standardContextual"/>
    </w:rPr>
  </w:style>
  <w:style w:type="character" w:customStyle="1" w:styleId="BalloonTextChar">
    <w:name w:val="Balloon Text Char"/>
    <w:basedOn w:val="DefaultParagraphFont"/>
    <w:link w:val="BalloonText"/>
    <w:uiPriority w:val="99"/>
    <w:semiHidden/>
    <w:qFormat/>
    <w:rPr>
      <w:rFonts w:ascii="Segoe UI" w:hAnsi="Segoe UI" w:cs="Segoe UI"/>
      <w:sz w:val="18"/>
      <w:szCs w:val="18"/>
      <w:lang w:eastAsia="zh-CN"/>
    </w:rPr>
  </w:style>
  <w:style w:type="paragraph" w:customStyle="1" w:styleId="Revision1">
    <w:name w:val="Revision1"/>
    <w:hidden/>
    <w:uiPriority w:val="99"/>
    <w:semiHidden/>
    <w:qFormat/>
    <w:rPr>
      <w:rFonts w:ascii="Calibri" w:hAnsi="Calibri"/>
      <w:sz w:val="22"/>
      <w:szCs w:val="22"/>
      <w:lang w:eastAsia="zh-CN"/>
    </w:rPr>
  </w:style>
  <w:style w:type="paragraph" w:styleId="Revision">
    <w:name w:val="Revision"/>
    <w:hidden/>
    <w:uiPriority w:val="99"/>
    <w:unhideWhenUsed/>
    <w:rsid w:val="00116550"/>
    <w:rPr>
      <w:rFonts w:ascii="Calibri" w:hAnsi="Calibri"/>
      <w:sz w:val="22"/>
      <w:szCs w:val="22"/>
      <w:lang w:eastAsia="zh-CN"/>
    </w:rPr>
  </w:style>
  <w:style w:type="character" w:styleId="UnresolvedMention">
    <w:name w:val="Unresolved Mention"/>
    <w:basedOn w:val="DefaultParagraphFont"/>
    <w:uiPriority w:val="99"/>
    <w:semiHidden/>
    <w:unhideWhenUsed/>
    <w:rsid w:val="001165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hmrc-annual-report-and-accounts-2024-to-2025" TargetMode="External"/><Relationship Id="rId3" Type="http://schemas.openxmlformats.org/officeDocument/2006/relationships/settings" Target="settings.xml"/><Relationship Id="rId7" Type="http://schemas.openxmlformats.org/officeDocument/2006/relationships/hyperlink" Target="mailto:ttthao@uneti.edu.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tthao@uneti.edu.vn"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10</Pages>
  <Words>3637</Words>
  <Characters>20732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14</cp:revision>
  <dcterms:created xsi:type="dcterms:W3CDTF">2026-09-07T10:05:00Z</dcterms:created>
  <dcterms:modified xsi:type="dcterms:W3CDTF">2026-10-16T12:24:00Z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AE63E49BAE8F41B4BFF3DCEEEC51F2AF_13</vt:lpwstr>
  </property>
  <property fmtid="{D5CDD505-2E9C-101B-9397-08002B2CF9AE}" pid="4" name="KSOTemplateDocerSaveRecord">
    <vt:lpwstr>eyJoZGlkIjoiOWUzYWVlMjMxMDQ4MTQyODkxYjVlNzQ4MzIwYjlhYTQiLCJ1c2VySWQiOiI4ODEzODUwNzQxOTQ4In0=</vt:lpwstr>
  </property>
</Properties>
</file>