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BA477" w14:textId="77777777" w:rsidR="0098505D" w:rsidRPr="00667BB9" w:rsidRDefault="00000000">
      <w:pPr>
        <w:jc w:val="center"/>
      </w:pPr>
      <w:r w:rsidRPr="00667BB9">
        <w:rPr>
          <w:b/>
          <w:bCs/>
          <w:sz w:val="34"/>
          <w:szCs w:val="34"/>
        </w:rPr>
        <w:t>Các nhân tố ảnh hưởng đến hành vi sử dụng trí tuệ nhân tạo trong marketing xanh tại doanh nghiệp du lịch, khách sạn Việt Nam</w:t>
      </w:r>
    </w:p>
    <w:p w14:paraId="14416205" w14:textId="77777777" w:rsidR="0098505D" w:rsidRPr="00667BB9" w:rsidRDefault="00000000">
      <w:pPr>
        <w:jc w:val="center"/>
      </w:pPr>
      <w:r w:rsidRPr="00667BB9">
        <w:rPr>
          <w:b/>
          <w:bCs/>
        </w:rPr>
        <w:t>Nguyễn Thị Loan Anh</w:t>
      </w:r>
    </w:p>
    <w:p w14:paraId="2B5A05CD" w14:textId="77777777" w:rsidR="0098505D" w:rsidRPr="00667BB9" w:rsidRDefault="00000000">
      <w:pPr>
        <w:jc w:val="center"/>
      </w:pPr>
      <w:r w:rsidRPr="00667BB9">
        <w:t>Công ty TNHH Công Nghệ Tri-Good</w:t>
      </w:r>
    </w:p>
    <w:p w14:paraId="379D54DA" w14:textId="77777777" w:rsidR="0098505D" w:rsidRPr="00667BB9" w:rsidRDefault="00000000">
      <w:pPr>
        <w:jc w:val="center"/>
      </w:pPr>
      <w:r w:rsidRPr="00667BB9">
        <w:t>Tri-Good Technology Company Limited</w:t>
      </w:r>
    </w:p>
    <w:p w14:paraId="29CCFEB2" w14:textId="1FEBF911" w:rsidR="0098505D" w:rsidRPr="00667BB9" w:rsidRDefault="00000000">
      <w:pPr>
        <w:jc w:val="center"/>
      </w:pPr>
      <w:r w:rsidRPr="00667BB9">
        <w:t xml:space="preserve">Tác giả liên hệ - Email: </w:t>
      </w:r>
      <w:hyperlink r:id="rId7" w:history="1">
        <w:r w:rsidR="001C08A8" w:rsidRPr="00667BB9">
          <w:rPr>
            <w:rStyle w:val="Hyperlink"/>
          </w:rPr>
          <w:t>Nguyenloananh88@gmail.com</w:t>
        </w:r>
      </w:hyperlink>
    </w:p>
    <w:p w14:paraId="747AB83C" w14:textId="77777777" w:rsidR="001C08A8" w:rsidRPr="00667BB9" w:rsidRDefault="001C08A8">
      <w:pPr>
        <w:jc w:val="center"/>
      </w:pPr>
    </w:p>
    <w:p w14:paraId="449B2A17" w14:textId="48B7F6DA" w:rsidR="008467C2" w:rsidRPr="00667BB9" w:rsidRDefault="008467C2">
      <w:pPr>
        <w:jc w:val="both"/>
      </w:pPr>
    </w:p>
    <w:p w14:paraId="3B552448" w14:textId="77777777" w:rsidR="008467C2" w:rsidRPr="00667BB9" w:rsidRDefault="008467C2" w:rsidP="008467C2">
      <w:pPr>
        <w:jc w:val="both"/>
      </w:pPr>
      <w:r w:rsidRPr="00667BB9">
        <w:t>Ngày nhận bài: 10/8/2026</w:t>
      </w:r>
    </w:p>
    <w:p w14:paraId="4C5DBA51" w14:textId="77777777" w:rsidR="008467C2" w:rsidRPr="00667BB9" w:rsidRDefault="008467C2" w:rsidP="008467C2">
      <w:pPr>
        <w:jc w:val="both"/>
      </w:pPr>
      <w:r w:rsidRPr="00667BB9">
        <w:t>Ngày sửa bài: 27/8/2026</w:t>
      </w:r>
    </w:p>
    <w:p w14:paraId="0C8F1B13" w14:textId="42C19F4D" w:rsidR="001C08A8" w:rsidRPr="00667BB9" w:rsidRDefault="008467C2" w:rsidP="008467C2">
      <w:pPr>
        <w:jc w:val="both"/>
      </w:pPr>
      <w:r w:rsidRPr="00667BB9">
        <w:t>Ngày duyệt đăng bài: 10/9/2026</w:t>
      </w:r>
    </w:p>
    <w:p w14:paraId="2A473521" w14:textId="77777777" w:rsidR="0098505D" w:rsidRPr="00667BB9" w:rsidRDefault="00000000">
      <w:pPr>
        <w:jc w:val="both"/>
      </w:pPr>
      <w:r w:rsidRPr="00667BB9">
        <w:rPr>
          <w:b/>
          <w:bCs/>
        </w:rPr>
        <w:t>Tóm tắt:</w:t>
      </w:r>
    </w:p>
    <w:p w14:paraId="08CDEBB6" w14:textId="77777777" w:rsidR="0098505D" w:rsidRPr="00667BB9" w:rsidRDefault="00000000">
      <w:pPr>
        <w:jc w:val="both"/>
      </w:pPr>
      <w:r w:rsidRPr="00667BB9">
        <w:t>Nghiên cứu phân tích các nhân tố ảnh hưởng đến hành vi sử dụng trí tuệ nhân tạo (AI) trong marketing xanh của người làm marketing tại doanh nghiệp du lịch, khách sạn Việt Nam. Trên cơ sở tích hợp TAM, TPB, TOE và VBN, nghiên cứu sử dụng dữ liệu từ 380 phiếu khảo sát hợp lệ, kiểm định mô hình bằng CB-SEM với ước lượng MLR, bootstrap 5.000 lần và hồi quy tương tác trên điểm nhân tố. Kết quả cho thấy, nhận thức hữu ích, nhận thức dễ sử dụng, sự quan tâm môi trường và sự hỗ trợ của ban lãnh đạo tác động tích cực đến thái độ. Thái độ, chuẩn chủ quan và hỗ trợ lãnh đạo làm tăng ý định; ý định tác động tích cực đến hành vi thực tế (β = 0,542; p &lt; 0,001). Cam kết xanh tổ chức điều tiết dương mối quan hệ ý định - hành vi nhưng hiệu ứng nhỏ (β = 0,081; p = 0,041). Kết quả bổ sung bằng chứng về cơ chế chuyển hóa nhận thức thành hành vi AI phục vụ marketing xanh.</w:t>
      </w:r>
    </w:p>
    <w:p w14:paraId="5ED86BD9" w14:textId="77777777" w:rsidR="0098505D" w:rsidRPr="00667BB9" w:rsidRDefault="00000000">
      <w:pPr>
        <w:jc w:val="both"/>
      </w:pPr>
      <w:r w:rsidRPr="00667BB9">
        <w:t>Từ khóa: trí tuệ nhân tạo, marketing xanh, du lịch và khách sạn, ý định hành vi, cam kết xanh tổ chức.</w:t>
      </w:r>
    </w:p>
    <w:p w14:paraId="43397E71" w14:textId="729A8CC1" w:rsidR="00B53D8D" w:rsidRPr="00667BB9" w:rsidRDefault="00B53D8D">
      <w:pPr>
        <w:jc w:val="center"/>
      </w:pPr>
      <w:r w:rsidRPr="00667BB9">
        <w:rPr>
          <w:b/>
          <w:bCs/>
          <w:sz w:val="28"/>
          <w:szCs w:val="28"/>
        </w:rPr>
        <w:t>Factors influencing artificial intelligence use behavior in green marketing among Vietnamese tourism and hospitality firms</w:t>
      </w:r>
    </w:p>
    <w:p w14:paraId="4D32A21E" w14:textId="77777777" w:rsidR="0098505D" w:rsidRPr="00667BB9" w:rsidRDefault="00000000">
      <w:pPr>
        <w:jc w:val="both"/>
      </w:pPr>
      <w:r w:rsidRPr="00667BB9">
        <w:rPr>
          <w:b/>
          <w:bCs/>
        </w:rPr>
        <w:t>Abstract:</w:t>
      </w:r>
    </w:p>
    <w:p w14:paraId="467AE7B5" w14:textId="15F3F035" w:rsidR="00215242" w:rsidRPr="00667BB9" w:rsidRDefault="00215242" w:rsidP="00215242">
      <w:pPr>
        <w:jc w:val="both"/>
      </w:pPr>
      <w:r w:rsidRPr="00667BB9">
        <w:t>This study examines the factors influencing artificial intelligence (AI) use behavior in green marketing among marketers working in Vietnamese tourism and hospitality firms. Integrating the Technology Acceptance Model (TAM), Theory of Planned Behavior (TPB), Technology</w:t>
      </w:r>
      <w:r w:rsidR="00B84B83" w:rsidRPr="00667BB9">
        <w:t xml:space="preserve"> -</w:t>
      </w:r>
      <w:r w:rsidRPr="00667BB9">
        <w:t>Organization</w:t>
      </w:r>
      <w:r w:rsidR="00B84B83" w:rsidRPr="00667BB9">
        <w:t xml:space="preserve"> - </w:t>
      </w:r>
      <w:r w:rsidRPr="00667BB9">
        <w:t>Environment (TOE) framework, and Value</w:t>
      </w:r>
      <w:r w:rsidR="00B84B83" w:rsidRPr="00667BB9">
        <w:t xml:space="preserve"> – </w:t>
      </w:r>
      <w:r w:rsidRPr="00667BB9">
        <w:t>Belief</w:t>
      </w:r>
      <w:r w:rsidR="00B84B83" w:rsidRPr="00667BB9">
        <w:t xml:space="preserve"> - </w:t>
      </w:r>
      <w:r w:rsidRPr="00667BB9">
        <w:t xml:space="preserve">Norm (VBN) theory, the study analyzes data from 380 valid questionnaires using covariance-based structural equation modeling (CB-SEM) with robust maximum likelihood estimation, 5,000 bootstrap resamples, and interaction regression based on factor scores. The results show that perceived usefulness, perceived ease of use, environmental concern, and top management support positively influence attitude. </w:t>
      </w:r>
      <w:r w:rsidRPr="00667BB9">
        <w:lastRenderedPageBreak/>
        <w:t>Attitude, subjective norms, and top management support positively affect behavioral intention, which in turn has a positive effect on actual AI use behavior (β = 0.542; p &lt; 0.001). Organizational green commitment positively moderates the intention–behavior relationship, although the interaction effect is small (β = 0.081; p = 0.041). The findings provide additional evidence on the mechanisms through which technological perceptions, environmental values, and organizational conditions are translated into actual AI use in green marketing.</w:t>
      </w:r>
    </w:p>
    <w:p w14:paraId="0C25AE23" w14:textId="5340D077" w:rsidR="00215242" w:rsidRPr="00667BB9" w:rsidRDefault="00215242" w:rsidP="00215242">
      <w:pPr>
        <w:jc w:val="both"/>
      </w:pPr>
      <w:r w:rsidRPr="00667BB9">
        <w:rPr>
          <w:b/>
          <w:bCs/>
        </w:rPr>
        <w:t>Keywords:</w:t>
      </w:r>
      <w:r w:rsidRPr="00667BB9">
        <w:t xml:space="preserve"> artificial intelligence, green marketing, tourism and hospitality, behavioral intention, organizational green commitment</w:t>
      </w:r>
    </w:p>
    <w:p w14:paraId="64E32048" w14:textId="77777777" w:rsidR="001C08A8" w:rsidRPr="00667BB9" w:rsidRDefault="001C08A8">
      <w:pPr>
        <w:jc w:val="both"/>
      </w:pPr>
    </w:p>
    <w:p w14:paraId="0AAEC4AF" w14:textId="77777777" w:rsidR="0098505D" w:rsidRPr="00667BB9" w:rsidRDefault="00000000">
      <w:pPr>
        <w:jc w:val="both"/>
      </w:pPr>
      <w:r w:rsidRPr="00667BB9">
        <w:rPr>
          <w:b/>
          <w:bCs/>
        </w:rPr>
        <w:t>1. Đặt vấn đề</w:t>
      </w:r>
    </w:p>
    <w:p w14:paraId="6DBC16C8" w14:textId="6E797AFB" w:rsidR="0098505D" w:rsidRPr="00667BB9" w:rsidRDefault="00000000">
      <w:pPr>
        <w:jc w:val="both"/>
      </w:pPr>
      <w:r w:rsidRPr="00667BB9">
        <w:t xml:space="preserve">Sự phát triển đồng thời của chuyển đổi số và chuyển đổi xanh đang đặt ra yêu cầu mới đối với marketing trong ngành du lịch, khách sạn. AI hỗ trợ sáng tạo nội dung, phân tích dữ liệu khách hàng, cá nhân hóa thông điệp và tối ưu hóa chiến dịch; trong khi marketing xanh đòi hỏi doanh nghiệp truyền thông có trách nhiệm, dựa trên các cam kết môi trường có thể kiểm chứng (Peattie &amp; Crane, 2005; Bulchand-Gidumal và cộng sự, 2024). </w:t>
      </w:r>
      <w:r w:rsidR="001C08A8" w:rsidRPr="00667BB9">
        <w:t xml:space="preserve">Do đó, việc ứng dụng AI cho các mục tiêu xanh không chỉ là vấn đề chấp nhận công nghệ mới mà còn gắn với động cơ cá nhân và điều kiện triển khai trong tổ chức. </w:t>
      </w:r>
    </w:p>
    <w:p w14:paraId="63C2F31C" w14:textId="77777777" w:rsidR="0098505D" w:rsidRPr="00667BB9" w:rsidRDefault="00000000">
      <w:pPr>
        <w:jc w:val="both"/>
      </w:pPr>
      <w:r w:rsidRPr="00667BB9">
        <w:t>Mô hình chấp nhận công nghệ TAM nhấn mạnh nhận thức hữu ích và dễ sử dụng (Davis, 1989); lý thuyết hành vi hoạch định TPB bổ sung thái độ, chuẩn chủ quan và ý định (Ajzen, 1991). Trong khi đó, khung công nghệ - tổ chức - môi trường TOE và lý thuyết giá trị - niềm tin - chuẩn mực VBN cung cấp thêm các góc nhìn tổ chức và môi trường (Tornatzky và cộng sự, 1990; Stern, 2000). Tuy nhiên, việc giải thích hành vi sử dụng AI trong marketing xanh từ góc độ người trực tiếp thực hiện marketing cần kết nối các cơ chế này, đặc biệt là phân biệt ý định với hành vi thực tế.</w:t>
      </w:r>
    </w:p>
    <w:p w14:paraId="48F56E22" w14:textId="456FD29D" w:rsidR="0098505D" w:rsidRPr="00667BB9" w:rsidRDefault="00000000">
      <w:pPr>
        <w:jc w:val="both"/>
      </w:pPr>
      <w:r w:rsidRPr="00667BB9">
        <w:t xml:space="preserve">Nghiên cứu gốc tổng hợp 307 tài liệu Scopus giai đoạn </w:t>
      </w:r>
      <w:r w:rsidR="001C08A8" w:rsidRPr="00667BB9">
        <w:t xml:space="preserve">từ năm </w:t>
      </w:r>
      <w:r w:rsidRPr="00667BB9">
        <w:t>2018</w:t>
      </w:r>
      <w:r w:rsidR="001C08A8" w:rsidRPr="00667BB9">
        <w:t xml:space="preserve"> </w:t>
      </w:r>
      <w:r w:rsidR="001C08A8" w:rsidRPr="00667BB9">
        <w:rPr>
          <w:highlight w:val="yellow"/>
        </w:rPr>
        <w:t xml:space="preserve">đến </w:t>
      </w:r>
      <w:r w:rsidRPr="00667BB9">
        <w:rPr>
          <w:highlight w:val="yellow"/>
        </w:rPr>
        <w:t>tháng 7/2026</w:t>
      </w:r>
      <w:r w:rsidRPr="00667BB9">
        <w:t xml:space="preserve"> và xác định nhu cầu kiểm định mô hình tích hợp trong bối cảnh doanh nghiệp du lịch, khách sạn Việt Nam. Bài báo tập trung: (i) xác định các tiền tố của thái độ và ý định; (ii) kiểm định tác động trực tiếp, gián tiếp đến hành vi sử dụng AI trong marketing xanh; và (iii) đánh giá vai trò điều tiết của cam kết xanh tổ chức. Kết quả có thể cung cấp căn cứ để doanh nghiệp kết hợp đào tạo AI, hỗ trợ quản trị và triển khai marketing xanh có trách nhiệm.</w:t>
      </w:r>
    </w:p>
    <w:p w14:paraId="0A8EFCF3" w14:textId="77777777" w:rsidR="0098505D" w:rsidRPr="00667BB9" w:rsidRDefault="00000000">
      <w:pPr>
        <w:jc w:val="both"/>
      </w:pPr>
      <w:r w:rsidRPr="00667BB9">
        <w:rPr>
          <w:b/>
          <w:bCs/>
        </w:rPr>
        <w:t>2. Cơ sở lý thuyết và phương pháp nghiên cứu</w:t>
      </w:r>
    </w:p>
    <w:p w14:paraId="2A8AADA7" w14:textId="77777777" w:rsidR="0098505D" w:rsidRPr="00667BB9" w:rsidRDefault="00000000">
      <w:pPr>
        <w:jc w:val="both"/>
      </w:pPr>
      <w:r w:rsidRPr="00667BB9">
        <w:rPr>
          <w:b/>
          <w:bCs/>
        </w:rPr>
        <w:t>2.1. Cơ sở lý thuyết</w:t>
      </w:r>
    </w:p>
    <w:p w14:paraId="25349C10" w14:textId="77777777" w:rsidR="0098505D" w:rsidRPr="00667BB9" w:rsidRDefault="00000000">
      <w:pPr>
        <w:jc w:val="both"/>
      </w:pPr>
      <w:r w:rsidRPr="00667BB9">
        <w:t>Hành vi sử dụng AI trong marketing xanh (AIGMB) được hiểu là mức độ người làm marketing thực tế sử dụng công cụ AI để xây dựng nội dung về môi trường, phân tích nhu cầu du lịch bền vững, cá nhân hóa thông điệp và tối ưu hóa hoạt động marketing xanh. Theo TAM, nhận thức hữu ích (PU) và nhận thức dễ sử dụng (PEOU) có thể hình thành thái độ (ATT) thuận lợi đối với hành vi sử dụng AI. Theo TPB, thái độ và chuẩn chủ quan (SN) góp phần hình thành ý định (INT), từ đó dự báo hành vi (Davis, 1989; Ajzen, 1991).</w:t>
      </w:r>
    </w:p>
    <w:p w14:paraId="6E53D4B9" w14:textId="77777777" w:rsidR="0098505D" w:rsidRPr="00667BB9" w:rsidRDefault="00000000">
      <w:pPr>
        <w:jc w:val="both"/>
      </w:pPr>
      <w:r w:rsidRPr="00667BB9">
        <w:t xml:space="preserve">Bên cạnh yếu tố công nghệ và xã hội, sự quan tâm môi trường (EC) phản ánh mối quan tâm của </w:t>
      </w:r>
      <w:r w:rsidRPr="00667BB9">
        <w:lastRenderedPageBreak/>
        <w:t>marketer đối với tác động sinh thái và giá trị của hoạt động marketing có trách nhiệm. Sự hỗ trợ của ban lãnh đạo (TMS) thể hiện qua chính sách, đào tạo, nguồn lực và định hướng triển khai. Cam kết xanh tổ chức (GC) được xem là điều kiện có thể tăng cường khả năng chuyển hóa ý định của cá nhân thành hành vi thực tế. Các biến này được tích hợp dựa trên cách tiếp cận TAM, TPB, TOE và VBN của nghiên cứu nguồn.</w:t>
      </w:r>
    </w:p>
    <w:p w14:paraId="21149EEA" w14:textId="77777777" w:rsidR="0098505D" w:rsidRPr="00667BB9" w:rsidRDefault="00000000">
      <w:pPr>
        <w:jc w:val="both"/>
      </w:pPr>
      <w:r w:rsidRPr="00667BB9">
        <w:rPr>
          <w:b/>
          <w:bCs/>
        </w:rPr>
        <w:t>2.2. Mô hình và giả thuyết nghiên cứu</w:t>
      </w:r>
    </w:p>
    <w:p w14:paraId="2F214B74" w14:textId="77777777" w:rsidR="0098505D" w:rsidRPr="00667BB9" w:rsidRDefault="00000000">
      <w:pPr>
        <w:jc w:val="both"/>
      </w:pPr>
      <w:r w:rsidRPr="00667BB9">
        <w:t>Mô hình nghiên cứu đề xuất các mối quan hệ: PU, PEOU, EC và TMS → ATT; ATT, SN và TMS → INT; INT → AIGMB. ATT đóng vai trò trung gian trong 4 quan hệ từ PU, PEOU, EC, TMS đến INT; INT đóng vai trò trung gian giữa ATT và AIGMB; GC điều tiết đường dẫn INT → AIGMB. Mô hình bao gồm 11 nhóm giả thuyết, trong đó nhóm H9 được phân thành H9a-H9d.</w:t>
      </w:r>
    </w:p>
    <w:p w14:paraId="2B586FD1" w14:textId="77777777" w:rsidR="0098505D" w:rsidRPr="00667BB9" w:rsidRDefault="00000000">
      <w:pPr>
        <w:keepNext/>
        <w:jc w:val="center"/>
      </w:pPr>
      <w:r w:rsidRPr="00667BB9">
        <w:rPr>
          <w:b/>
          <w:bCs/>
        </w:rPr>
        <w:t>Hình 1. Mô hình nghiên cứu tích hợp</w:t>
      </w:r>
    </w:p>
    <w:p w14:paraId="7AC6741F" w14:textId="77777777" w:rsidR="0098505D" w:rsidRPr="00667BB9" w:rsidRDefault="00000000">
      <w:pPr>
        <w:spacing w:before="60" w:after="60" w:line="240" w:lineRule="auto"/>
        <w:jc w:val="center"/>
      </w:pPr>
      <w:r w:rsidRPr="00667BB9">
        <w:rPr>
          <w:noProof/>
        </w:rPr>
        <w:drawing>
          <wp:inline distT="0" distB="0" distL="0" distR="0" wp14:anchorId="18250E94" wp14:editId="60AD1510">
            <wp:extent cx="5650992" cy="3111332"/>
            <wp:effectExtent l="0" t="0" r="0" b="0"/>
            <wp:docPr id="174861868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650992" cy="3111332"/>
                    </a:xfrm>
                    <a:prstGeom prst="rect">
                      <a:avLst/>
                    </a:prstGeom>
                    <a:ln/>
                  </pic:spPr>
                </pic:pic>
              </a:graphicData>
            </a:graphic>
          </wp:inline>
        </w:drawing>
      </w:r>
    </w:p>
    <w:p w14:paraId="2A61C93E" w14:textId="77777777" w:rsidR="0098505D" w:rsidRPr="00667BB9" w:rsidRDefault="00000000">
      <w:pPr>
        <w:jc w:val="right"/>
      </w:pPr>
      <w:r w:rsidRPr="00667BB9">
        <w:t>Nguồn: Mô hình nghiên cứu đề xuất của tác giả (trích từ luận án gốc).</w:t>
      </w:r>
    </w:p>
    <w:p w14:paraId="04720C4B" w14:textId="77777777" w:rsidR="0098505D" w:rsidRPr="00667BB9" w:rsidRDefault="00000000">
      <w:pPr>
        <w:jc w:val="both"/>
      </w:pPr>
      <w:r w:rsidRPr="00667BB9">
        <w:rPr>
          <w:b/>
          <w:bCs/>
        </w:rPr>
        <w:t>2.3. Phương pháp nghiên cứu</w:t>
      </w:r>
    </w:p>
    <w:p w14:paraId="264E58A3" w14:textId="77777777" w:rsidR="0098505D" w:rsidRPr="00667BB9" w:rsidRDefault="00000000">
      <w:pPr>
        <w:jc w:val="both"/>
      </w:pPr>
      <w:r w:rsidRPr="00667BB9">
        <w:t>Nghiên cứu gốc triển khai tổng quan tài liệu và phân tích thư mục, phỏng vấn sâu 10-15 chuyên gia/nhà quản lý, khảo sát sơ bộ (n ≥ 50) và khảo sát chính thức bằng bảng hỏi Likert 5 mức. Mẫu chính thức gồm 380 người làm marketing hoặc phụ trách hoạt động marketing tại doanh nghiệp du lịch, khách sạn ở Việt Nam, được tuyển chọn bằng phương pháp phi xác suất kết hợp thuận tiện và có chủ đích. Các bảng hỏi được sàng lọc, phân tích mô tả và kiểm tra độ tin cậy bằng Cronbach’s Alpha.</w:t>
      </w:r>
    </w:p>
    <w:p w14:paraId="26AB3251" w14:textId="77777777" w:rsidR="0098505D" w:rsidRPr="00667BB9" w:rsidRDefault="00000000">
      <w:pPr>
        <w:jc w:val="both"/>
      </w:pPr>
      <w:r w:rsidRPr="00667BB9">
        <w:t xml:space="preserve">Từ 37 biến quan sát ban đầu, 2 biến PEOU4 và GC4 bị loại sau đánh giá độ tin cậy; mô hình còn 35 biến quan sát thuộc 9 khái niệm. Phân tích EFA và CFA được dùng để kiểm tra thang đo. CB-SEM được thực hiện với ước lượng Maximum Likelihood Robust (MLR) trên Jamovi/SEMLj (nền tảng R lavaan); tác động gián tiếp kiểm định bằng bootstrap 5.000 lần. Tác động điều tiết GC được </w:t>
      </w:r>
      <w:r w:rsidRPr="00667BB9">
        <w:lastRenderedPageBreak/>
        <w:t>kiểm định riêng bằng hồi quy trên factor scores của INT, GC và AIGMB với biến tương tác INT × GC; do đó không diễn giải đây là tương tác biến tiềm ẩn trong CB-SEM.</w:t>
      </w:r>
    </w:p>
    <w:p w14:paraId="10B623BF" w14:textId="77777777" w:rsidR="0098505D" w:rsidRPr="00667BB9" w:rsidRDefault="00000000">
      <w:pPr>
        <w:jc w:val="both"/>
      </w:pPr>
      <w:r w:rsidRPr="00667BB9">
        <w:rPr>
          <w:b/>
          <w:bCs/>
        </w:rPr>
        <w:t>3. Kết quả và thảo luận kết quả nghiên cứu</w:t>
      </w:r>
    </w:p>
    <w:p w14:paraId="36861374" w14:textId="77777777" w:rsidR="0098505D" w:rsidRPr="00667BB9" w:rsidRDefault="00000000">
      <w:pPr>
        <w:jc w:val="both"/>
      </w:pPr>
      <w:r w:rsidRPr="00667BB9">
        <w:rPr>
          <w:b/>
          <w:bCs/>
        </w:rPr>
        <w:t>3.1. Kết quả đánh giá mô hình đo lường</w:t>
      </w:r>
    </w:p>
    <w:p w14:paraId="50A52467" w14:textId="77777777" w:rsidR="0098505D" w:rsidRPr="00667BB9" w:rsidRDefault="00000000">
      <w:pPr>
        <w:jc w:val="both"/>
      </w:pPr>
      <w:r w:rsidRPr="00667BB9">
        <w:t>Sau điều chỉnh, 35 biến quan sát đo lường 9 nhân tố đạt yêu cầu về độ tin cậy và giá trị thang đo. Độ tin cậy tổng hợp (CR) dao động 0,836-0,871; phương sai trích trung bình (AVE) dao động 0,561-0,668. Mô hình CFA có χ² scaled = 551 (df = 524; p = 0,203), RMSEA robust = 0,012; SRMR = 0,031; CFI robust = 0,996 và TLI robust = 0,995. Các chỉ số cho thấy cấu trúc đo lường phù hợp với dữ liệu theo kết quả nghiên cứu nguồn.</w:t>
      </w:r>
    </w:p>
    <w:p w14:paraId="6A726665" w14:textId="77777777" w:rsidR="0098505D" w:rsidRPr="00667BB9" w:rsidRDefault="00000000">
      <w:pPr>
        <w:jc w:val="both"/>
      </w:pPr>
      <w:r w:rsidRPr="00667BB9">
        <w:rPr>
          <w:b/>
          <w:bCs/>
        </w:rPr>
        <w:t>3.2. Mức độ phù hợp và các tác động trực tiếp</w:t>
      </w:r>
    </w:p>
    <w:p w14:paraId="41CF2EDF" w14:textId="77777777" w:rsidR="0098505D" w:rsidRPr="00667BB9" w:rsidRDefault="00000000">
      <w:pPr>
        <w:jc w:val="both"/>
      </w:pPr>
      <w:r w:rsidRPr="00667BB9">
        <w:t>Mô hình cấu trúc đạt χ² scaled = 559 (df = 537; p = 0,244), χ²/df = 1,041, RMSEA robust = 0,010, SRMR = 0,034, CFI robust = 0,996 và TLI robust = 0,996. Trong 8 đường dẫn trực tiếp đều có ý nghĩa thống kê. Kết quả chi tiết được trình bày tại Bảng 1.</w:t>
      </w:r>
    </w:p>
    <w:p w14:paraId="4445F65B" w14:textId="77777777" w:rsidR="0098505D" w:rsidRPr="00667BB9" w:rsidRDefault="00000000">
      <w:pPr>
        <w:jc w:val="center"/>
      </w:pPr>
      <w:r w:rsidRPr="00667BB9">
        <w:rPr>
          <w:b/>
          <w:bCs/>
        </w:rPr>
        <w:t>Bảng 1. Kết quả tác động trực tiếp trong mô hình CB-SEM</w:t>
      </w:r>
    </w:p>
    <w:tbl>
      <w:tblPr>
        <w:tblStyle w:val="a"/>
        <w:tblW w:w="9356" w:type="dxa"/>
        <w:jc w:val="center"/>
        <w:tblLayout w:type="fixed"/>
        <w:tblLook w:val="0400" w:firstRow="0" w:lastRow="0" w:firstColumn="0" w:lastColumn="0" w:noHBand="0" w:noVBand="1"/>
      </w:tblPr>
      <w:tblGrid>
        <w:gridCol w:w="2339"/>
        <w:gridCol w:w="2339"/>
        <w:gridCol w:w="2339"/>
        <w:gridCol w:w="2339"/>
      </w:tblGrid>
      <w:tr w:rsidR="0098505D" w:rsidRPr="00667BB9" w14:paraId="58919A70" w14:textId="77777777">
        <w:trPr>
          <w:jc w:val="center"/>
        </w:trPr>
        <w:tc>
          <w:tcPr>
            <w:tcW w:w="2339" w:type="dxa"/>
            <w:shd w:val="clear" w:color="auto" w:fill="E5E5E5"/>
            <w:vAlign w:val="center"/>
          </w:tcPr>
          <w:p w14:paraId="4B08D6A0" w14:textId="77777777" w:rsidR="0098505D" w:rsidRPr="00667BB9" w:rsidRDefault="00000000">
            <w:pPr>
              <w:spacing w:before="0" w:after="0"/>
            </w:pPr>
            <w:r w:rsidRPr="00667BB9">
              <w:rPr>
                <w:b/>
                <w:bCs/>
                <w:sz w:val="20"/>
                <w:szCs w:val="20"/>
              </w:rPr>
              <w:t>Giả thuyết</w:t>
            </w:r>
          </w:p>
        </w:tc>
        <w:tc>
          <w:tcPr>
            <w:tcW w:w="2339" w:type="dxa"/>
            <w:shd w:val="clear" w:color="auto" w:fill="E5E5E5"/>
            <w:vAlign w:val="center"/>
          </w:tcPr>
          <w:p w14:paraId="2D1EA299" w14:textId="77777777" w:rsidR="0098505D" w:rsidRPr="00667BB9" w:rsidRDefault="00000000">
            <w:pPr>
              <w:spacing w:before="0" w:after="0"/>
            </w:pPr>
            <w:r w:rsidRPr="00667BB9">
              <w:rPr>
                <w:b/>
                <w:bCs/>
                <w:sz w:val="20"/>
                <w:szCs w:val="20"/>
              </w:rPr>
              <w:t>Mối quan hệ</w:t>
            </w:r>
          </w:p>
        </w:tc>
        <w:tc>
          <w:tcPr>
            <w:tcW w:w="2339" w:type="dxa"/>
            <w:shd w:val="clear" w:color="auto" w:fill="E5E5E5"/>
            <w:vAlign w:val="center"/>
          </w:tcPr>
          <w:p w14:paraId="0B50A5B2" w14:textId="77777777" w:rsidR="0098505D" w:rsidRPr="00667BB9" w:rsidRDefault="00000000">
            <w:pPr>
              <w:spacing w:before="0" w:after="0"/>
            </w:pPr>
            <w:r w:rsidRPr="00667BB9">
              <w:rPr>
                <w:b/>
                <w:bCs/>
                <w:sz w:val="20"/>
                <w:szCs w:val="20"/>
              </w:rPr>
              <w:t>β chuẩn hóa</w:t>
            </w:r>
          </w:p>
        </w:tc>
        <w:tc>
          <w:tcPr>
            <w:tcW w:w="2339" w:type="dxa"/>
            <w:shd w:val="clear" w:color="auto" w:fill="E5E5E5"/>
            <w:vAlign w:val="center"/>
          </w:tcPr>
          <w:p w14:paraId="2FF15689" w14:textId="77777777" w:rsidR="0098505D" w:rsidRPr="00667BB9" w:rsidRDefault="00000000">
            <w:pPr>
              <w:spacing w:before="0" w:after="0"/>
            </w:pPr>
            <w:r w:rsidRPr="00667BB9">
              <w:rPr>
                <w:b/>
                <w:bCs/>
                <w:sz w:val="20"/>
                <w:szCs w:val="20"/>
              </w:rPr>
              <w:t>Giá trị p</w:t>
            </w:r>
          </w:p>
        </w:tc>
      </w:tr>
      <w:tr w:rsidR="0098505D" w:rsidRPr="00667BB9" w14:paraId="61DB3FE1" w14:textId="77777777">
        <w:trPr>
          <w:jc w:val="center"/>
        </w:trPr>
        <w:tc>
          <w:tcPr>
            <w:tcW w:w="2339" w:type="dxa"/>
            <w:vAlign w:val="center"/>
          </w:tcPr>
          <w:p w14:paraId="64DE9E44" w14:textId="77777777" w:rsidR="0098505D" w:rsidRPr="00667BB9" w:rsidRDefault="00000000">
            <w:pPr>
              <w:spacing w:before="0" w:after="0"/>
            </w:pPr>
            <w:r w:rsidRPr="00667BB9">
              <w:rPr>
                <w:sz w:val="20"/>
                <w:szCs w:val="20"/>
              </w:rPr>
              <w:t>H1</w:t>
            </w:r>
          </w:p>
        </w:tc>
        <w:tc>
          <w:tcPr>
            <w:tcW w:w="2339" w:type="dxa"/>
            <w:vAlign w:val="center"/>
          </w:tcPr>
          <w:p w14:paraId="4B6A7FE7" w14:textId="77777777" w:rsidR="0098505D" w:rsidRPr="00667BB9" w:rsidRDefault="00000000">
            <w:pPr>
              <w:spacing w:before="0" w:after="0"/>
            </w:pPr>
            <w:sdt>
              <w:sdtPr>
                <w:tag w:val="goog_rdk_0"/>
                <w:id w:val="1350831907"/>
              </w:sdtPr>
              <w:sdtContent>
                <w:r w:rsidRPr="00667BB9">
                  <w:rPr>
                    <w:rFonts w:ascii="Cardo" w:eastAsia="Cardo" w:hAnsi="Cardo" w:cs="Cardo"/>
                    <w:sz w:val="20"/>
                    <w:szCs w:val="20"/>
                  </w:rPr>
                  <w:t>PU → ATT</w:t>
                </w:r>
              </w:sdtContent>
            </w:sdt>
          </w:p>
        </w:tc>
        <w:tc>
          <w:tcPr>
            <w:tcW w:w="2339" w:type="dxa"/>
            <w:vAlign w:val="center"/>
          </w:tcPr>
          <w:p w14:paraId="4FB99BA8" w14:textId="77777777" w:rsidR="0098505D" w:rsidRPr="00667BB9" w:rsidRDefault="00000000">
            <w:pPr>
              <w:spacing w:before="0" w:after="0"/>
            </w:pPr>
            <w:r w:rsidRPr="00667BB9">
              <w:rPr>
                <w:sz w:val="20"/>
                <w:szCs w:val="20"/>
              </w:rPr>
              <w:t>0,360</w:t>
            </w:r>
          </w:p>
        </w:tc>
        <w:tc>
          <w:tcPr>
            <w:tcW w:w="2339" w:type="dxa"/>
            <w:vAlign w:val="center"/>
          </w:tcPr>
          <w:p w14:paraId="1E955499" w14:textId="77777777" w:rsidR="0098505D" w:rsidRPr="00667BB9" w:rsidRDefault="00000000">
            <w:pPr>
              <w:spacing w:before="0" w:after="0"/>
            </w:pPr>
            <w:r w:rsidRPr="00667BB9">
              <w:rPr>
                <w:sz w:val="20"/>
                <w:szCs w:val="20"/>
              </w:rPr>
              <w:t>&lt; 0,001</w:t>
            </w:r>
          </w:p>
        </w:tc>
      </w:tr>
      <w:tr w:rsidR="0098505D" w:rsidRPr="00667BB9" w14:paraId="22A7D866" w14:textId="77777777">
        <w:trPr>
          <w:jc w:val="center"/>
        </w:trPr>
        <w:tc>
          <w:tcPr>
            <w:tcW w:w="2339" w:type="dxa"/>
            <w:vAlign w:val="center"/>
          </w:tcPr>
          <w:p w14:paraId="332E93D3" w14:textId="77777777" w:rsidR="0098505D" w:rsidRPr="00667BB9" w:rsidRDefault="00000000">
            <w:pPr>
              <w:spacing w:before="0" w:after="0"/>
            </w:pPr>
            <w:r w:rsidRPr="00667BB9">
              <w:rPr>
                <w:sz w:val="20"/>
                <w:szCs w:val="20"/>
              </w:rPr>
              <w:t>H2</w:t>
            </w:r>
          </w:p>
        </w:tc>
        <w:tc>
          <w:tcPr>
            <w:tcW w:w="2339" w:type="dxa"/>
            <w:vAlign w:val="center"/>
          </w:tcPr>
          <w:p w14:paraId="1CE9CD83" w14:textId="77777777" w:rsidR="0098505D" w:rsidRPr="00667BB9" w:rsidRDefault="00000000">
            <w:pPr>
              <w:spacing w:before="0" w:after="0"/>
            </w:pPr>
            <w:sdt>
              <w:sdtPr>
                <w:tag w:val="goog_rdk_1"/>
                <w:id w:val="-360782492"/>
              </w:sdtPr>
              <w:sdtContent>
                <w:r w:rsidRPr="00667BB9">
                  <w:rPr>
                    <w:rFonts w:ascii="Cardo" w:eastAsia="Cardo" w:hAnsi="Cardo" w:cs="Cardo"/>
                    <w:sz w:val="20"/>
                    <w:szCs w:val="20"/>
                  </w:rPr>
                  <w:t>PEOU → ATT</w:t>
                </w:r>
              </w:sdtContent>
            </w:sdt>
          </w:p>
        </w:tc>
        <w:tc>
          <w:tcPr>
            <w:tcW w:w="2339" w:type="dxa"/>
            <w:vAlign w:val="center"/>
          </w:tcPr>
          <w:p w14:paraId="507DD57C" w14:textId="77777777" w:rsidR="0098505D" w:rsidRPr="00667BB9" w:rsidRDefault="00000000">
            <w:pPr>
              <w:spacing w:before="0" w:after="0"/>
            </w:pPr>
            <w:r w:rsidRPr="00667BB9">
              <w:rPr>
                <w:sz w:val="20"/>
                <w:szCs w:val="20"/>
              </w:rPr>
              <w:t>0,171</w:t>
            </w:r>
          </w:p>
        </w:tc>
        <w:tc>
          <w:tcPr>
            <w:tcW w:w="2339" w:type="dxa"/>
            <w:vAlign w:val="center"/>
          </w:tcPr>
          <w:p w14:paraId="0673C70C" w14:textId="77777777" w:rsidR="0098505D" w:rsidRPr="00667BB9" w:rsidRDefault="00000000">
            <w:pPr>
              <w:spacing w:before="0" w:after="0"/>
            </w:pPr>
            <w:r w:rsidRPr="00667BB9">
              <w:rPr>
                <w:sz w:val="20"/>
                <w:szCs w:val="20"/>
              </w:rPr>
              <w:t>0,001</w:t>
            </w:r>
          </w:p>
        </w:tc>
      </w:tr>
      <w:tr w:rsidR="0098505D" w:rsidRPr="00667BB9" w14:paraId="0F693331" w14:textId="77777777">
        <w:trPr>
          <w:jc w:val="center"/>
        </w:trPr>
        <w:tc>
          <w:tcPr>
            <w:tcW w:w="2339" w:type="dxa"/>
            <w:vAlign w:val="center"/>
          </w:tcPr>
          <w:p w14:paraId="1C258E02" w14:textId="77777777" w:rsidR="0098505D" w:rsidRPr="00667BB9" w:rsidRDefault="00000000">
            <w:pPr>
              <w:spacing w:before="0" w:after="0"/>
            </w:pPr>
            <w:r w:rsidRPr="00667BB9">
              <w:rPr>
                <w:sz w:val="20"/>
                <w:szCs w:val="20"/>
              </w:rPr>
              <w:t>H3</w:t>
            </w:r>
          </w:p>
        </w:tc>
        <w:tc>
          <w:tcPr>
            <w:tcW w:w="2339" w:type="dxa"/>
            <w:vAlign w:val="center"/>
          </w:tcPr>
          <w:p w14:paraId="67C5AB1B" w14:textId="77777777" w:rsidR="0098505D" w:rsidRPr="00667BB9" w:rsidRDefault="00000000">
            <w:pPr>
              <w:spacing w:before="0" w:after="0"/>
            </w:pPr>
            <w:sdt>
              <w:sdtPr>
                <w:tag w:val="goog_rdk_2"/>
                <w:id w:val="-1701646737"/>
              </w:sdtPr>
              <w:sdtContent>
                <w:r w:rsidRPr="00667BB9">
                  <w:rPr>
                    <w:rFonts w:ascii="Cardo" w:eastAsia="Cardo" w:hAnsi="Cardo" w:cs="Cardo"/>
                    <w:sz w:val="20"/>
                    <w:szCs w:val="20"/>
                  </w:rPr>
                  <w:t>EC → ATT</w:t>
                </w:r>
              </w:sdtContent>
            </w:sdt>
          </w:p>
        </w:tc>
        <w:tc>
          <w:tcPr>
            <w:tcW w:w="2339" w:type="dxa"/>
            <w:vAlign w:val="center"/>
          </w:tcPr>
          <w:p w14:paraId="2542167C" w14:textId="77777777" w:rsidR="0098505D" w:rsidRPr="00667BB9" w:rsidRDefault="00000000">
            <w:pPr>
              <w:spacing w:before="0" w:after="0"/>
            </w:pPr>
            <w:r w:rsidRPr="00667BB9">
              <w:rPr>
                <w:sz w:val="20"/>
                <w:szCs w:val="20"/>
              </w:rPr>
              <w:t>0,246</w:t>
            </w:r>
          </w:p>
        </w:tc>
        <w:tc>
          <w:tcPr>
            <w:tcW w:w="2339" w:type="dxa"/>
            <w:vAlign w:val="center"/>
          </w:tcPr>
          <w:p w14:paraId="73654732" w14:textId="77777777" w:rsidR="0098505D" w:rsidRPr="00667BB9" w:rsidRDefault="00000000">
            <w:pPr>
              <w:spacing w:before="0" w:after="0"/>
            </w:pPr>
            <w:r w:rsidRPr="00667BB9">
              <w:rPr>
                <w:sz w:val="20"/>
                <w:szCs w:val="20"/>
              </w:rPr>
              <w:t>&lt; 0,001</w:t>
            </w:r>
          </w:p>
        </w:tc>
      </w:tr>
      <w:tr w:rsidR="0098505D" w:rsidRPr="00667BB9" w14:paraId="7FFD6416" w14:textId="77777777">
        <w:trPr>
          <w:jc w:val="center"/>
        </w:trPr>
        <w:tc>
          <w:tcPr>
            <w:tcW w:w="2339" w:type="dxa"/>
            <w:vAlign w:val="center"/>
          </w:tcPr>
          <w:p w14:paraId="51DD932D" w14:textId="77777777" w:rsidR="0098505D" w:rsidRPr="00667BB9" w:rsidRDefault="00000000">
            <w:pPr>
              <w:spacing w:before="0" w:after="0"/>
            </w:pPr>
            <w:r w:rsidRPr="00667BB9">
              <w:rPr>
                <w:sz w:val="20"/>
                <w:szCs w:val="20"/>
              </w:rPr>
              <w:t>H4</w:t>
            </w:r>
          </w:p>
        </w:tc>
        <w:tc>
          <w:tcPr>
            <w:tcW w:w="2339" w:type="dxa"/>
            <w:vAlign w:val="center"/>
          </w:tcPr>
          <w:p w14:paraId="3C63FDEA" w14:textId="77777777" w:rsidR="0098505D" w:rsidRPr="00667BB9" w:rsidRDefault="00000000">
            <w:pPr>
              <w:spacing w:before="0" w:after="0"/>
            </w:pPr>
            <w:sdt>
              <w:sdtPr>
                <w:tag w:val="goog_rdk_3"/>
                <w:id w:val="-1443047292"/>
              </w:sdtPr>
              <w:sdtContent>
                <w:r w:rsidRPr="00667BB9">
                  <w:rPr>
                    <w:rFonts w:ascii="Cardo" w:eastAsia="Cardo" w:hAnsi="Cardo" w:cs="Cardo"/>
                    <w:sz w:val="20"/>
                    <w:szCs w:val="20"/>
                  </w:rPr>
                  <w:t>TMS → ATT</w:t>
                </w:r>
              </w:sdtContent>
            </w:sdt>
          </w:p>
        </w:tc>
        <w:tc>
          <w:tcPr>
            <w:tcW w:w="2339" w:type="dxa"/>
            <w:vAlign w:val="center"/>
          </w:tcPr>
          <w:p w14:paraId="6310C84E" w14:textId="77777777" w:rsidR="0098505D" w:rsidRPr="00667BB9" w:rsidRDefault="00000000">
            <w:pPr>
              <w:spacing w:before="0" w:after="0"/>
            </w:pPr>
            <w:r w:rsidRPr="00667BB9">
              <w:rPr>
                <w:sz w:val="20"/>
                <w:szCs w:val="20"/>
              </w:rPr>
              <w:t>0,313</w:t>
            </w:r>
          </w:p>
        </w:tc>
        <w:tc>
          <w:tcPr>
            <w:tcW w:w="2339" w:type="dxa"/>
            <w:vAlign w:val="center"/>
          </w:tcPr>
          <w:p w14:paraId="15E1516C" w14:textId="77777777" w:rsidR="0098505D" w:rsidRPr="00667BB9" w:rsidRDefault="00000000">
            <w:pPr>
              <w:spacing w:before="0" w:after="0"/>
            </w:pPr>
            <w:r w:rsidRPr="00667BB9">
              <w:rPr>
                <w:sz w:val="20"/>
                <w:szCs w:val="20"/>
              </w:rPr>
              <w:t>&lt; 0,001</w:t>
            </w:r>
          </w:p>
        </w:tc>
      </w:tr>
      <w:tr w:rsidR="0098505D" w:rsidRPr="00667BB9" w14:paraId="385C1F88" w14:textId="77777777">
        <w:trPr>
          <w:jc w:val="center"/>
        </w:trPr>
        <w:tc>
          <w:tcPr>
            <w:tcW w:w="2339" w:type="dxa"/>
            <w:vAlign w:val="center"/>
          </w:tcPr>
          <w:p w14:paraId="36F5A79D" w14:textId="77777777" w:rsidR="0098505D" w:rsidRPr="00667BB9" w:rsidRDefault="00000000">
            <w:pPr>
              <w:spacing w:before="0" w:after="0"/>
            </w:pPr>
            <w:r w:rsidRPr="00667BB9">
              <w:rPr>
                <w:sz w:val="20"/>
                <w:szCs w:val="20"/>
              </w:rPr>
              <w:t>H5</w:t>
            </w:r>
          </w:p>
        </w:tc>
        <w:tc>
          <w:tcPr>
            <w:tcW w:w="2339" w:type="dxa"/>
            <w:vAlign w:val="center"/>
          </w:tcPr>
          <w:p w14:paraId="092C0330" w14:textId="77777777" w:rsidR="0098505D" w:rsidRPr="00667BB9" w:rsidRDefault="00000000">
            <w:pPr>
              <w:spacing w:before="0" w:after="0"/>
            </w:pPr>
            <w:sdt>
              <w:sdtPr>
                <w:tag w:val="goog_rdk_4"/>
                <w:id w:val="-1871593088"/>
              </w:sdtPr>
              <w:sdtContent>
                <w:r w:rsidRPr="00667BB9">
                  <w:rPr>
                    <w:rFonts w:ascii="Cardo" w:eastAsia="Cardo" w:hAnsi="Cardo" w:cs="Cardo"/>
                    <w:sz w:val="20"/>
                    <w:szCs w:val="20"/>
                  </w:rPr>
                  <w:t>SN → INT</w:t>
                </w:r>
              </w:sdtContent>
            </w:sdt>
          </w:p>
        </w:tc>
        <w:tc>
          <w:tcPr>
            <w:tcW w:w="2339" w:type="dxa"/>
            <w:vAlign w:val="center"/>
          </w:tcPr>
          <w:p w14:paraId="7882F10C" w14:textId="77777777" w:rsidR="0098505D" w:rsidRPr="00667BB9" w:rsidRDefault="00000000">
            <w:pPr>
              <w:spacing w:before="0" w:after="0"/>
            </w:pPr>
            <w:r w:rsidRPr="00667BB9">
              <w:rPr>
                <w:sz w:val="20"/>
                <w:szCs w:val="20"/>
              </w:rPr>
              <w:t>0,153</w:t>
            </w:r>
          </w:p>
        </w:tc>
        <w:tc>
          <w:tcPr>
            <w:tcW w:w="2339" w:type="dxa"/>
            <w:vAlign w:val="center"/>
          </w:tcPr>
          <w:p w14:paraId="5266446E" w14:textId="77777777" w:rsidR="0098505D" w:rsidRPr="00667BB9" w:rsidRDefault="00000000">
            <w:pPr>
              <w:spacing w:before="0" w:after="0"/>
            </w:pPr>
            <w:r w:rsidRPr="00667BB9">
              <w:rPr>
                <w:sz w:val="20"/>
                <w:szCs w:val="20"/>
              </w:rPr>
              <w:t>0,009</w:t>
            </w:r>
          </w:p>
        </w:tc>
      </w:tr>
      <w:tr w:rsidR="0098505D" w:rsidRPr="00667BB9" w14:paraId="5BF15EA8" w14:textId="77777777">
        <w:trPr>
          <w:jc w:val="center"/>
        </w:trPr>
        <w:tc>
          <w:tcPr>
            <w:tcW w:w="2339" w:type="dxa"/>
            <w:vAlign w:val="center"/>
          </w:tcPr>
          <w:p w14:paraId="413269A4" w14:textId="77777777" w:rsidR="0098505D" w:rsidRPr="00667BB9" w:rsidRDefault="00000000">
            <w:pPr>
              <w:spacing w:before="0" w:after="0"/>
            </w:pPr>
            <w:r w:rsidRPr="00667BB9">
              <w:rPr>
                <w:sz w:val="20"/>
                <w:szCs w:val="20"/>
              </w:rPr>
              <w:t>H6</w:t>
            </w:r>
          </w:p>
        </w:tc>
        <w:tc>
          <w:tcPr>
            <w:tcW w:w="2339" w:type="dxa"/>
            <w:vAlign w:val="center"/>
          </w:tcPr>
          <w:p w14:paraId="460B8C20" w14:textId="77777777" w:rsidR="0098505D" w:rsidRPr="00667BB9" w:rsidRDefault="00000000">
            <w:pPr>
              <w:spacing w:before="0" w:after="0"/>
            </w:pPr>
            <w:sdt>
              <w:sdtPr>
                <w:tag w:val="goog_rdk_5"/>
                <w:id w:val="-1249325805"/>
              </w:sdtPr>
              <w:sdtContent>
                <w:r w:rsidRPr="00667BB9">
                  <w:rPr>
                    <w:rFonts w:ascii="Cardo" w:eastAsia="Cardo" w:hAnsi="Cardo" w:cs="Cardo"/>
                    <w:sz w:val="20"/>
                    <w:szCs w:val="20"/>
                  </w:rPr>
                  <w:t>TMS → INT</w:t>
                </w:r>
              </w:sdtContent>
            </w:sdt>
          </w:p>
        </w:tc>
        <w:tc>
          <w:tcPr>
            <w:tcW w:w="2339" w:type="dxa"/>
            <w:vAlign w:val="center"/>
          </w:tcPr>
          <w:p w14:paraId="440B6F68" w14:textId="77777777" w:rsidR="0098505D" w:rsidRPr="00667BB9" w:rsidRDefault="00000000">
            <w:pPr>
              <w:spacing w:before="0" w:after="0"/>
            </w:pPr>
            <w:r w:rsidRPr="00667BB9">
              <w:rPr>
                <w:sz w:val="20"/>
                <w:szCs w:val="20"/>
              </w:rPr>
              <w:t>0,160</w:t>
            </w:r>
          </w:p>
        </w:tc>
        <w:tc>
          <w:tcPr>
            <w:tcW w:w="2339" w:type="dxa"/>
            <w:vAlign w:val="center"/>
          </w:tcPr>
          <w:p w14:paraId="05BDC313" w14:textId="77777777" w:rsidR="0098505D" w:rsidRPr="00667BB9" w:rsidRDefault="00000000">
            <w:pPr>
              <w:spacing w:before="0" w:after="0"/>
            </w:pPr>
            <w:r w:rsidRPr="00667BB9">
              <w:rPr>
                <w:sz w:val="20"/>
                <w:szCs w:val="20"/>
              </w:rPr>
              <w:t>0,011</w:t>
            </w:r>
          </w:p>
        </w:tc>
      </w:tr>
      <w:tr w:rsidR="0098505D" w:rsidRPr="00667BB9" w14:paraId="1C93BAB4" w14:textId="77777777">
        <w:trPr>
          <w:jc w:val="center"/>
        </w:trPr>
        <w:tc>
          <w:tcPr>
            <w:tcW w:w="2339" w:type="dxa"/>
            <w:vAlign w:val="center"/>
          </w:tcPr>
          <w:p w14:paraId="55C93A0F" w14:textId="77777777" w:rsidR="0098505D" w:rsidRPr="00667BB9" w:rsidRDefault="00000000">
            <w:pPr>
              <w:spacing w:before="0" w:after="0"/>
            </w:pPr>
            <w:r w:rsidRPr="00667BB9">
              <w:rPr>
                <w:sz w:val="20"/>
                <w:szCs w:val="20"/>
              </w:rPr>
              <w:t>H7</w:t>
            </w:r>
          </w:p>
        </w:tc>
        <w:tc>
          <w:tcPr>
            <w:tcW w:w="2339" w:type="dxa"/>
            <w:vAlign w:val="center"/>
          </w:tcPr>
          <w:p w14:paraId="23C521ED" w14:textId="77777777" w:rsidR="0098505D" w:rsidRPr="00667BB9" w:rsidRDefault="00000000">
            <w:pPr>
              <w:spacing w:before="0" w:after="0"/>
            </w:pPr>
            <w:sdt>
              <w:sdtPr>
                <w:tag w:val="goog_rdk_6"/>
                <w:id w:val="1960693069"/>
              </w:sdtPr>
              <w:sdtContent>
                <w:r w:rsidRPr="00667BB9">
                  <w:rPr>
                    <w:rFonts w:ascii="Cardo" w:eastAsia="Cardo" w:hAnsi="Cardo" w:cs="Cardo"/>
                    <w:sz w:val="20"/>
                    <w:szCs w:val="20"/>
                  </w:rPr>
                  <w:t>ATT → INT</w:t>
                </w:r>
              </w:sdtContent>
            </w:sdt>
          </w:p>
        </w:tc>
        <w:tc>
          <w:tcPr>
            <w:tcW w:w="2339" w:type="dxa"/>
            <w:vAlign w:val="center"/>
          </w:tcPr>
          <w:p w14:paraId="5CB337B8" w14:textId="77777777" w:rsidR="0098505D" w:rsidRPr="00667BB9" w:rsidRDefault="00000000">
            <w:pPr>
              <w:spacing w:before="0" w:after="0"/>
            </w:pPr>
            <w:r w:rsidRPr="00667BB9">
              <w:rPr>
                <w:sz w:val="20"/>
                <w:szCs w:val="20"/>
              </w:rPr>
              <w:t>0,375</w:t>
            </w:r>
          </w:p>
        </w:tc>
        <w:tc>
          <w:tcPr>
            <w:tcW w:w="2339" w:type="dxa"/>
            <w:vAlign w:val="center"/>
          </w:tcPr>
          <w:p w14:paraId="626D77A4" w14:textId="77777777" w:rsidR="0098505D" w:rsidRPr="00667BB9" w:rsidRDefault="00000000">
            <w:pPr>
              <w:spacing w:before="0" w:after="0"/>
            </w:pPr>
            <w:r w:rsidRPr="00667BB9">
              <w:rPr>
                <w:sz w:val="20"/>
                <w:szCs w:val="20"/>
              </w:rPr>
              <w:t>&lt; 0,001</w:t>
            </w:r>
          </w:p>
        </w:tc>
      </w:tr>
      <w:tr w:rsidR="0098505D" w:rsidRPr="00667BB9" w14:paraId="66EF393C" w14:textId="77777777">
        <w:trPr>
          <w:jc w:val="center"/>
        </w:trPr>
        <w:tc>
          <w:tcPr>
            <w:tcW w:w="2339" w:type="dxa"/>
            <w:vAlign w:val="center"/>
          </w:tcPr>
          <w:p w14:paraId="6A6E42FC" w14:textId="77777777" w:rsidR="0098505D" w:rsidRPr="00667BB9" w:rsidRDefault="00000000">
            <w:pPr>
              <w:spacing w:before="0" w:after="0"/>
            </w:pPr>
            <w:r w:rsidRPr="00667BB9">
              <w:rPr>
                <w:sz w:val="20"/>
                <w:szCs w:val="20"/>
              </w:rPr>
              <w:t>H8</w:t>
            </w:r>
          </w:p>
        </w:tc>
        <w:tc>
          <w:tcPr>
            <w:tcW w:w="2339" w:type="dxa"/>
            <w:vAlign w:val="center"/>
          </w:tcPr>
          <w:p w14:paraId="230CB536" w14:textId="77777777" w:rsidR="0098505D" w:rsidRPr="00667BB9" w:rsidRDefault="00000000">
            <w:pPr>
              <w:spacing w:before="0" w:after="0"/>
            </w:pPr>
            <w:sdt>
              <w:sdtPr>
                <w:tag w:val="goog_rdk_7"/>
                <w:id w:val="-1006727669"/>
              </w:sdtPr>
              <w:sdtContent>
                <w:r w:rsidRPr="00667BB9">
                  <w:rPr>
                    <w:rFonts w:ascii="Cardo" w:eastAsia="Cardo" w:hAnsi="Cardo" w:cs="Cardo"/>
                    <w:sz w:val="20"/>
                    <w:szCs w:val="20"/>
                  </w:rPr>
                  <w:t>INT → AIGMB</w:t>
                </w:r>
              </w:sdtContent>
            </w:sdt>
          </w:p>
        </w:tc>
        <w:tc>
          <w:tcPr>
            <w:tcW w:w="2339" w:type="dxa"/>
            <w:vAlign w:val="center"/>
          </w:tcPr>
          <w:p w14:paraId="39908F2A" w14:textId="77777777" w:rsidR="0098505D" w:rsidRPr="00667BB9" w:rsidRDefault="00000000">
            <w:pPr>
              <w:spacing w:before="0" w:after="0"/>
            </w:pPr>
            <w:r w:rsidRPr="00667BB9">
              <w:rPr>
                <w:sz w:val="20"/>
                <w:szCs w:val="20"/>
              </w:rPr>
              <w:t>0,542</w:t>
            </w:r>
          </w:p>
        </w:tc>
        <w:tc>
          <w:tcPr>
            <w:tcW w:w="2339" w:type="dxa"/>
            <w:vAlign w:val="center"/>
          </w:tcPr>
          <w:p w14:paraId="79D12116" w14:textId="77777777" w:rsidR="0098505D" w:rsidRPr="00667BB9" w:rsidRDefault="00000000">
            <w:pPr>
              <w:spacing w:before="0" w:after="0"/>
            </w:pPr>
            <w:r w:rsidRPr="00667BB9">
              <w:rPr>
                <w:sz w:val="20"/>
                <w:szCs w:val="20"/>
              </w:rPr>
              <w:t>&lt; 0,001</w:t>
            </w:r>
          </w:p>
        </w:tc>
      </w:tr>
    </w:tbl>
    <w:p w14:paraId="02739089" w14:textId="77777777" w:rsidR="0098505D" w:rsidRPr="00667BB9" w:rsidRDefault="00000000">
      <w:pPr>
        <w:jc w:val="right"/>
      </w:pPr>
      <w:r w:rsidRPr="00667BB9">
        <w:t>Nguồn: Trích và tổng hợp từ Bảng 4.38 của nghiên cứu gốc.</w:t>
      </w:r>
    </w:p>
    <w:p w14:paraId="267C942A" w14:textId="77777777" w:rsidR="0098505D" w:rsidRPr="00667BB9" w:rsidRDefault="00000000">
      <w:pPr>
        <w:jc w:val="both"/>
      </w:pPr>
      <w:r w:rsidRPr="00667BB9">
        <w:t>PU có tác động trực tiếp lớn nhất đến ATT (β = 0,360), theo sau là TMS (β = 0,313), EC (β = 0,246) và PEOU (β = 0,171). Đối với INT, tác động của ATT (β = 0,375) lớn hơn SN (β = 0,153) và tác động trực tiếp của TMS (β = 0,160). INT dự báo AIGMB với β = 0,542, cho thấy ý định là mắt xích quan trọng trong quá trình thực hiện marketing xanh bằng AI. Tuy nhiên, các hệ số được diễn giải như quan hệ thống kê từ dữ liệu khảo sát, không tự thân chứng minh quan hệ nhân quả.</w:t>
      </w:r>
    </w:p>
    <w:p w14:paraId="144CD22D" w14:textId="77777777" w:rsidR="0098505D" w:rsidRPr="00667BB9" w:rsidRDefault="00000000">
      <w:pPr>
        <w:jc w:val="both"/>
      </w:pPr>
      <w:r w:rsidRPr="00667BB9">
        <w:t>Giá trị R² của ATT, INT và AIGMB lần lượt là 0,504; 0,285 và 0,294. Theo đó, nhóm PU, PEOU, EC và TMS giải thích 50,4% phương sai ATT; ATT, SN và TMS giải thích 28,5% phương sai INT; INT giải thích 29,4% phương sai AIGMB. Điều này cũng cho thấy còn những điều kiện hoặc yếu tố chưa được mô hình nắm bắt, nhất là ở giai đoạn chuyển ý định thành hành vi.</w:t>
      </w:r>
    </w:p>
    <w:p w14:paraId="6227B454" w14:textId="77777777" w:rsidR="0098505D" w:rsidRPr="00667BB9" w:rsidRDefault="00000000">
      <w:pPr>
        <w:jc w:val="both"/>
      </w:pPr>
      <w:r w:rsidRPr="00667BB9">
        <w:rPr>
          <w:b/>
          <w:bCs/>
        </w:rPr>
        <w:t>3.3. Kiểm định tác động gián tiếp</w:t>
      </w:r>
    </w:p>
    <w:p w14:paraId="283DEC42" w14:textId="77777777" w:rsidR="0098505D" w:rsidRPr="00667BB9" w:rsidRDefault="00000000">
      <w:pPr>
        <w:jc w:val="both"/>
      </w:pPr>
      <w:r w:rsidRPr="00667BB9">
        <w:t>Kiểm định bootstrap 5.000 lần lặp xác nhận 5 mối quan hệ gián tiếp có ý nghĩa thống kê. Bảng 2 sử dụng các hệ số chuẩn hóa của nghiên cứu nguồn.</w:t>
      </w:r>
    </w:p>
    <w:p w14:paraId="6A9D6F79" w14:textId="77777777" w:rsidR="0098505D" w:rsidRPr="00667BB9" w:rsidRDefault="00000000">
      <w:pPr>
        <w:jc w:val="center"/>
      </w:pPr>
      <w:r w:rsidRPr="00667BB9">
        <w:rPr>
          <w:b/>
          <w:bCs/>
        </w:rPr>
        <w:t>Bảng 2. Kết quả kiểm định tác động gián tiếp</w:t>
      </w:r>
    </w:p>
    <w:tbl>
      <w:tblPr>
        <w:tblStyle w:val="a0"/>
        <w:tblW w:w="9356" w:type="dxa"/>
        <w:jc w:val="center"/>
        <w:tblLayout w:type="fixed"/>
        <w:tblLook w:val="0400" w:firstRow="0" w:lastRow="0" w:firstColumn="0" w:lastColumn="0" w:noHBand="0" w:noVBand="1"/>
      </w:tblPr>
      <w:tblGrid>
        <w:gridCol w:w="2339"/>
        <w:gridCol w:w="2339"/>
        <w:gridCol w:w="2339"/>
        <w:gridCol w:w="2339"/>
      </w:tblGrid>
      <w:tr w:rsidR="0098505D" w:rsidRPr="00667BB9" w14:paraId="0C892668" w14:textId="77777777">
        <w:trPr>
          <w:jc w:val="center"/>
        </w:trPr>
        <w:tc>
          <w:tcPr>
            <w:tcW w:w="2339" w:type="dxa"/>
            <w:shd w:val="clear" w:color="auto" w:fill="E5E5E5"/>
            <w:vAlign w:val="center"/>
          </w:tcPr>
          <w:p w14:paraId="34CA6A72" w14:textId="77777777" w:rsidR="0098505D" w:rsidRPr="00667BB9" w:rsidRDefault="00000000">
            <w:pPr>
              <w:spacing w:before="0" w:after="0"/>
            </w:pPr>
            <w:r w:rsidRPr="00667BB9">
              <w:rPr>
                <w:b/>
                <w:bCs/>
                <w:sz w:val="20"/>
                <w:szCs w:val="20"/>
              </w:rPr>
              <w:t>Giả thuyết</w:t>
            </w:r>
          </w:p>
        </w:tc>
        <w:tc>
          <w:tcPr>
            <w:tcW w:w="2339" w:type="dxa"/>
            <w:shd w:val="clear" w:color="auto" w:fill="E5E5E5"/>
            <w:vAlign w:val="center"/>
          </w:tcPr>
          <w:p w14:paraId="54626A0F" w14:textId="77777777" w:rsidR="0098505D" w:rsidRPr="00667BB9" w:rsidRDefault="00000000">
            <w:pPr>
              <w:spacing w:before="0" w:after="0"/>
            </w:pPr>
            <w:r w:rsidRPr="00667BB9">
              <w:rPr>
                <w:b/>
                <w:bCs/>
                <w:sz w:val="20"/>
                <w:szCs w:val="20"/>
              </w:rPr>
              <w:t>Đường dẫn gián tiếp</w:t>
            </w:r>
          </w:p>
        </w:tc>
        <w:tc>
          <w:tcPr>
            <w:tcW w:w="2339" w:type="dxa"/>
            <w:shd w:val="clear" w:color="auto" w:fill="E5E5E5"/>
            <w:vAlign w:val="center"/>
          </w:tcPr>
          <w:p w14:paraId="5E8BA8B3" w14:textId="77777777" w:rsidR="0098505D" w:rsidRPr="00667BB9" w:rsidRDefault="00000000">
            <w:pPr>
              <w:spacing w:before="0" w:after="0"/>
            </w:pPr>
            <w:r w:rsidRPr="00667BB9">
              <w:rPr>
                <w:b/>
                <w:bCs/>
                <w:sz w:val="20"/>
                <w:szCs w:val="20"/>
              </w:rPr>
              <w:t>β</w:t>
            </w:r>
          </w:p>
        </w:tc>
        <w:tc>
          <w:tcPr>
            <w:tcW w:w="2339" w:type="dxa"/>
            <w:shd w:val="clear" w:color="auto" w:fill="E5E5E5"/>
            <w:vAlign w:val="center"/>
          </w:tcPr>
          <w:p w14:paraId="2ED3C068" w14:textId="77777777" w:rsidR="0098505D" w:rsidRPr="00667BB9" w:rsidRDefault="00000000">
            <w:pPr>
              <w:spacing w:before="0" w:after="0"/>
            </w:pPr>
            <w:r w:rsidRPr="00667BB9">
              <w:rPr>
                <w:b/>
                <w:bCs/>
                <w:sz w:val="20"/>
                <w:szCs w:val="20"/>
              </w:rPr>
              <w:t>Giá trị p</w:t>
            </w:r>
          </w:p>
        </w:tc>
      </w:tr>
      <w:tr w:rsidR="0098505D" w:rsidRPr="00667BB9" w14:paraId="2B45A9B7" w14:textId="77777777">
        <w:trPr>
          <w:jc w:val="center"/>
        </w:trPr>
        <w:tc>
          <w:tcPr>
            <w:tcW w:w="2339" w:type="dxa"/>
            <w:vAlign w:val="center"/>
          </w:tcPr>
          <w:p w14:paraId="04932858" w14:textId="77777777" w:rsidR="0098505D" w:rsidRPr="00667BB9" w:rsidRDefault="00000000">
            <w:pPr>
              <w:spacing w:before="0" w:after="0"/>
            </w:pPr>
            <w:r w:rsidRPr="00667BB9">
              <w:rPr>
                <w:sz w:val="20"/>
                <w:szCs w:val="20"/>
              </w:rPr>
              <w:t>H9a</w:t>
            </w:r>
          </w:p>
        </w:tc>
        <w:tc>
          <w:tcPr>
            <w:tcW w:w="2339" w:type="dxa"/>
            <w:vAlign w:val="center"/>
          </w:tcPr>
          <w:p w14:paraId="1C7F732A" w14:textId="77777777" w:rsidR="0098505D" w:rsidRPr="00667BB9" w:rsidRDefault="00000000">
            <w:pPr>
              <w:spacing w:before="0" w:after="0"/>
            </w:pPr>
            <w:sdt>
              <w:sdtPr>
                <w:tag w:val="goog_rdk_8"/>
                <w:id w:val="-1219090372"/>
              </w:sdtPr>
              <w:sdtContent>
                <w:r w:rsidRPr="00667BB9">
                  <w:rPr>
                    <w:rFonts w:ascii="Cardo" w:eastAsia="Cardo" w:hAnsi="Cardo" w:cs="Cardo"/>
                    <w:sz w:val="20"/>
                    <w:szCs w:val="20"/>
                  </w:rPr>
                  <w:t>PU → ATT → INT</w:t>
                </w:r>
              </w:sdtContent>
            </w:sdt>
          </w:p>
        </w:tc>
        <w:tc>
          <w:tcPr>
            <w:tcW w:w="2339" w:type="dxa"/>
            <w:vAlign w:val="center"/>
          </w:tcPr>
          <w:p w14:paraId="6071D8C4" w14:textId="77777777" w:rsidR="0098505D" w:rsidRPr="00667BB9" w:rsidRDefault="00000000">
            <w:pPr>
              <w:spacing w:before="0" w:after="0"/>
            </w:pPr>
            <w:r w:rsidRPr="00667BB9">
              <w:rPr>
                <w:sz w:val="20"/>
                <w:szCs w:val="20"/>
              </w:rPr>
              <w:t>0,135</w:t>
            </w:r>
          </w:p>
        </w:tc>
        <w:tc>
          <w:tcPr>
            <w:tcW w:w="2339" w:type="dxa"/>
            <w:vAlign w:val="center"/>
          </w:tcPr>
          <w:p w14:paraId="0A95AE20" w14:textId="77777777" w:rsidR="0098505D" w:rsidRPr="00667BB9" w:rsidRDefault="00000000">
            <w:pPr>
              <w:spacing w:before="0" w:after="0"/>
            </w:pPr>
            <w:r w:rsidRPr="00667BB9">
              <w:rPr>
                <w:sz w:val="20"/>
                <w:szCs w:val="20"/>
              </w:rPr>
              <w:t>&lt; 0,001</w:t>
            </w:r>
          </w:p>
        </w:tc>
      </w:tr>
      <w:tr w:rsidR="0098505D" w:rsidRPr="00667BB9" w14:paraId="52D7FC4C" w14:textId="77777777">
        <w:trPr>
          <w:jc w:val="center"/>
        </w:trPr>
        <w:tc>
          <w:tcPr>
            <w:tcW w:w="2339" w:type="dxa"/>
            <w:vAlign w:val="center"/>
          </w:tcPr>
          <w:p w14:paraId="2A8C8BC7" w14:textId="77777777" w:rsidR="0098505D" w:rsidRPr="00667BB9" w:rsidRDefault="00000000">
            <w:pPr>
              <w:spacing w:before="0" w:after="0"/>
            </w:pPr>
            <w:r w:rsidRPr="00667BB9">
              <w:rPr>
                <w:sz w:val="20"/>
                <w:szCs w:val="20"/>
              </w:rPr>
              <w:lastRenderedPageBreak/>
              <w:t>H9b</w:t>
            </w:r>
          </w:p>
        </w:tc>
        <w:tc>
          <w:tcPr>
            <w:tcW w:w="2339" w:type="dxa"/>
            <w:vAlign w:val="center"/>
          </w:tcPr>
          <w:p w14:paraId="6CDB10E8" w14:textId="77777777" w:rsidR="0098505D" w:rsidRPr="00667BB9" w:rsidRDefault="00000000">
            <w:pPr>
              <w:spacing w:before="0" w:after="0"/>
            </w:pPr>
            <w:sdt>
              <w:sdtPr>
                <w:tag w:val="goog_rdk_9"/>
                <w:id w:val="-1460182471"/>
              </w:sdtPr>
              <w:sdtContent>
                <w:r w:rsidRPr="00667BB9">
                  <w:rPr>
                    <w:rFonts w:ascii="Cardo" w:eastAsia="Cardo" w:hAnsi="Cardo" w:cs="Cardo"/>
                    <w:sz w:val="20"/>
                    <w:szCs w:val="20"/>
                  </w:rPr>
                  <w:t>PEOU → ATT → INT</w:t>
                </w:r>
              </w:sdtContent>
            </w:sdt>
          </w:p>
        </w:tc>
        <w:tc>
          <w:tcPr>
            <w:tcW w:w="2339" w:type="dxa"/>
            <w:vAlign w:val="center"/>
          </w:tcPr>
          <w:p w14:paraId="2B24764A" w14:textId="77777777" w:rsidR="0098505D" w:rsidRPr="00667BB9" w:rsidRDefault="00000000">
            <w:pPr>
              <w:spacing w:before="0" w:after="0"/>
            </w:pPr>
            <w:r w:rsidRPr="00667BB9">
              <w:rPr>
                <w:sz w:val="20"/>
                <w:szCs w:val="20"/>
              </w:rPr>
              <w:t>0,064</w:t>
            </w:r>
          </w:p>
        </w:tc>
        <w:tc>
          <w:tcPr>
            <w:tcW w:w="2339" w:type="dxa"/>
            <w:vAlign w:val="center"/>
          </w:tcPr>
          <w:p w14:paraId="30DABED7" w14:textId="77777777" w:rsidR="0098505D" w:rsidRPr="00667BB9" w:rsidRDefault="00000000">
            <w:pPr>
              <w:spacing w:before="0" w:after="0"/>
            </w:pPr>
            <w:r w:rsidRPr="00667BB9">
              <w:rPr>
                <w:sz w:val="20"/>
                <w:szCs w:val="20"/>
              </w:rPr>
              <w:t>0,009</w:t>
            </w:r>
          </w:p>
        </w:tc>
      </w:tr>
      <w:tr w:rsidR="0098505D" w:rsidRPr="00667BB9" w14:paraId="1E156792" w14:textId="77777777">
        <w:trPr>
          <w:jc w:val="center"/>
        </w:trPr>
        <w:tc>
          <w:tcPr>
            <w:tcW w:w="2339" w:type="dxa"/>
            <w:vAlign w:val="center"/>
          </w:tcPr>
          <w:p w14:paraId="42F6C04F" w14:textId="77777777" w:rsidR="0098505D" w:rsidRPr="00667BB9" w:rsidRDefault="00000000">
            <w:pPr>
              <w:spacing w:before="0" w:after="0"/>
            </w:pPr>
            <w:r w:rsidRPr="00667BB9">
              <w:rPr>
                <w:sz w:val="20"/>
                <w:szCs w:val="20"/>
              </w:rPr>
              <w:t>H9c</w:t>
            </w:r>
          </w:p>
        </w:tc>
        <w:tc>
          <w:tcPr>
            <w:tcW w:w="2339" w:type="dxa"/>
            <w:vAlign w:val="center"/>
          </w:tcPr>
          <w:p w14:paraId="0F3C623B" w14:textId="77777777" w:rsidR="0098505D" w:rsidRPr="00667BB9" w:rsidRDefault="00000000">
            <w:pPr>
              <w:spacing w:before="0" w:after="0"/>
            </w:pPr>
            <w:sdt>
              <w:sdtPr>
                <w:tag w:val="goog_rdk_10"/>
                <w:id w:val="951396938"/>
              </w:sdtPr>
              <w:sdtContent>
                <w:r w:rsidRPr="00667BB9">
                  <w:rPr>
                    <w:rFonts w:ascii="Cardo" w:eastAsia="Cardo" w:hAnsi="Cardo" w:cs="Cardo"/>
                    <w:sz w:val="20"/>
                    <w:szCs w:val="20"/>
                  </w:rPr>
                  <w:t>EC → ATT → INT</w:t>
                </w:r>
              </w:sdtContent>
            </w:sdt>
          </w:p>
        </w:tc>
        <w:tc>
          <w:tcPr>
            <w:tcW w:w="2339" w:type="dxa"/>
            <w:vAlign w:val="center"/>
          </w:tcPr>
          <w:p w14:paraId="1A912882" w14:textId="77777777" w:rsidR="0098505D" w:rsidRPr="00667BB9" w:rsidRDefault="00000000">
            <w:pPr>
              <w:spacing w:before="0" w:after="0"/>
            </w:pPr>
            <w:r w:rsidRPr="00667BB9">
              <w:rPr>
                <w:sz w:val="20"/>
                <w:szCs w:val="20"/>
              </w:rPr>
              <w:t>0,092</w:t>
            </w:r>
          </w:p>
        </w:tc>
        <w:tc>
          <w:tcPr>
            <w:tcW w:w="2339" w:type="dxa"/>
            <w:vAlign w:val="center"/>
          </w:tcPr>
          <w:p w14:paraId="4DCBCA1C" w14:textId="77777777" w:rsidR="0098505D" w:rsidRPr="00667BB9" w:rsidRDefault="00000000">
            <w:pPr>
              <w:spacing w:before="0" w:after="0"/>
            </w:pPr>
            <w:r w:rsidRPr="00667BB9">
              <w:rPr>
                <w:sz w:val="20"/>
                <w:szCs w:val="20"/>
              </w:rPr>
              <w:t>&lt; 0,001</w:t>
            </w:r>
          </w:p>
        </w:tc>
      </w:tr>
      <w:tr w:rsidR="0098505D" w:rsidRPr="00667BB9" w14:paraId="2AAC87D4" w14:textId="77777777">
        <w:trPr>
          <w:jc w:val="center"/>
        </w:trPr>
        <w:tc>
          <w:tcPr>
            <w:tcW w:w="2339" w:type="dxa"/>
            <w:vAlign w:val="center"/>
          </w:tcPr>
          <w:p w14:paraId="363305E2" w14:textId="77777777" w:rsidR="0098505D" w:rsidRPr="00667BB9" w:rsidRDefault="00000000">
            <w:pPr>
              <w:spacing w:before="0" w:after="0"/>
            </w:pPr>
            <w:r w:rsidRPr="00667BB9">
              <w:rPr>
                <w:sz w:val="20"/>
                <w:szCs w:val="20"/>
              </w:rPr>
              <w:t>H9d</w:t>
            </w:r>
          </w:p>
        </w:tc>
        <w:tc>
          <w:tcPr>
            <w:tcW w:w="2339" w:type="dxa"/>
            <w:vAlign w:val="center"/>
          </w:tcPr>
          <w:p w14:paraId="5E7591A1" w14:textId="77777777" w:rsidR="0098505D" w:rsidRPr="00667BB9" w:rsidRDefault="00000000">
            <w:pPr>
              <w:spacing w:before="0" w:after="0"/>
            </w:pPr>
            <w:sdt>
              <w:sdtPr>
                <w:tag w:val="goog_rdk_11"/>
                <w:id w:val="1337312328"/>
              </w:sdtPr>
              <w:sdtContent>
                <w:r w:rsidRPr="00667BB9">
                  <w:rPr>
                    <w:rFonts w:ascii="Cardo" w:eastAsia="Cardo" w:hAnsi="Cardo" w:cs="Cardo"/>
                    <w:sz w:val="20"/>
                    <w:szCs w:val="20"/>
                  </w:rPr>
                  <w:t>TMS → ATT → INT</w:t>
                </w:r>
              </w:sdtContent>
            </w:sdt>
          </w:p>
        </w:tc>
        <w:tc>
          <w:tcPr>
            <w:tcW w:w="2339" w:type="dxa"/>
            <w:vAlign w:val="center"/>
          </w:tcPr>
          <w:p w14:paraId="5F60C838" w14:textId="77777777" w:rsidR="0098505D" w:rsidRPr="00667BB9" w:rsidRDefault="00000000">
            <w:pPr>
              <w:spacing w:before="0" w:after="0"/>
            </w:pPr>
            <w:r w:rsidRPr="00667BB9">
              <w:rPr>
                <w:sz w:val="20"/>
                <w:szCs w:val="20"/>
              </w:rPr>
              <w:t>0,117</w:t>
            </w:r>
          </w:p>
        </w:tc>
        <w:tc>
          <w:tcPr>
            <w:tcW w:w="2339" w:type="dxa"/>
            <w:vAlign w:val="center"/>
          </w:tcPr>
          <w:p w14:paraId="1EEDFA6A" w14:textId="77777777" w:rsidR="0098505D" w:rsidRPr="00667BB9" w:rsidRDefault="00000000">
            <w:pPr>
              <w:spacing w:before="0" w:after="0"/>
            </w:pPr>
            <w:r w:rsidRPr="00667BB9">
              <w:rPr>
                <w:sz w:val="20"/>
                <w:szCs w:val="20"/>
              </w:rPr>
              <w:t>&lt; 0,001</w:t>
            </w:r>
          </w:p>
        </w:tc>
      </w:tr>
      <w:tr w:rsidR="0098505D" w:rsidRPr="00667BB9" w14:paraId="56625C8A" w14:textId="77777777">
        <w:trPr>
          <w:jc w:val="center"/>
        </w:trPr>
        <w:tc>
          <w:tcPr>
            <w:tcW w:w="2339" w:type="dxa"/>
            <w:vAlign w:val="center"/>
          </w:tcPr>
          <w:p w14:paraId="37E3A942" w14:textId="77777777" w:rsidR="0098505D" w:rsidRPr="00667BB9" w:rsidRDefault="00000000">
            <w:pPr>
              <w:spacing w:before="0" w:after="0"/>
            </w:pPr>
            <w:r w:rsidRPr="00667BB9">
              <w:rPr>
                <w:sz w:val="20"/>
                <w:szCs w:val="20"/>
              </w:rPr>
              <w:t>H10</w:t>
            </w:r>
          </w:p>
        </w:tc>
        <w:tc>
          <w:tcPr>
            <w:tcW w:w="2339" w:type="dxa"/>
            <w:vAlign w:val="center"/>
          </w:tcPr>
          <w:p w14:paraId="33E10944" w14:textId="77777777" w:rsidR="0098505D" w:rsidRPr="00667BB9" w:rsidRDefault="00000000">
            <w:pPr>
              <w:spacing w:before="0" w:after="0"/>
            </w:pPr>
            <w:sdt>
              <w:sdtPr>
                <w:tag w:val="goog_rdk_12"/>
                <w:id w:val="-1599616035"/>
              </w:sdtPr>
              <w:sdtContent>
                <w:r w:rsidRPr="00667BB9">
                  <w:rPr>
                    <w:rFonts w:ascii="Cardo" w:eastAsia="Cardo" w:hAnsi="Cardo" w:cs="Cardo"/>
                    <w:sz w:val="20"/>
                    <w:szCs w:val="20"/>
                  </w:rPr>
                  <w:t>ATT → INT → AIGMB</w:t>
                </w:r>
              </w:sdtContent>
            </w:sdt>
          </w:p>
        </w:tc>
        <w:tc>
          <w:tcPr>
            <w:tcW w:w="2339" w:type="dxa"/>
            <w:vAlign w:val="center"/>
          </w:tcPr>
          <w:p w14:paraId="5B2D49B2" w14:textId="77777777" w:rsidR="0098505D" w:rsidRPr="00667BB9" w:rsidRDefault="00000000">
            <w:pPr>
              <w:spacing w:before="0" w:after="0"/>
            </w:pPr>
            <w:r w:rsidRPr="00667BB9">
              <w:rPr>
                <w:sz w:val="20"/>
                <w:szCs w:val="20"/>
              </w:rPr>
              <w:t>0,203</w:t>
            </w:r>
          </w:p>
        </w:tc>
        <w:tc>
          <w:tcPr>
            <w:tcW w:w="2339" w:type="dxa"/>
            <w:vAlign w:val="center"/>
          </w:tcPr>
          <w:p w14:paraId="73712341" w14:textId="77777777" w:rsidR="0098505D" w:rsidRPr="00667BB9" w:rsidRDefault="00000000">
            <w:pPr>
              <w:spacing w:before="0" w:after="0"/>
            </w:pPr>
            <w:r w:rsidRPr="00667BB9">
              <w:rPr>
                <w:sz w:val="20"/>
                <w:szCs w:val="20"/>
              </w:rPr>
              <w:t>&lt; 0,001</w:t>
            </w:r>
          </w:p>
        </w:tc>
      </w:tr>
    </w:tbl>
    <w:p w14:paraId="1684F194" w14:textId="77777777" w:rsidR="0098505D" w:rsidRPr="00667BB9" w:rsidRDefault="00000000">
      <w:pPr>
        <w:jc w:val="right"/>
      </w:pPr>
      <w:r w:rsidRPr="00667BB9">
        <w:t>Nguồn: Tổng hợp từ Bảng 4.40 của nghiên cứu gốc.</w:t>
      </w:r>
    </w:p>
    <w:p w14:paraId="05346D45" w14:textId="77777777" w:rsidR="0098505D" w:rsidRPr="00667BB9" w:rsidRDefault="00000000">
      <w:pPr>
        <w:jc w:val="both"/>
      </w:pPr>
      <w:r w:rsidRPr="00667BB9">
        <w:t>Kết quả cho thấy ATT truyền dẫn ảnh hưởng của các niềm tin công nghệ, sự quan tâm môi trường và hỗ trợ lãnh đạo đến INT. Đồng thời, INT là cơ chế gián tiếp nối ATT với hành vi sử dụng AI trong marketing xanh. Tuy vậy, chỉ dựa trên các tác động gián tiếp này chưa đủ để khẳng định cơ chế trung gian toàn phần hay một phần.</w:t>
      </w:r>
    </w:p>
    <w:p w14:paraId="4750B3E0" w14:textId="77777777" w:rsidR="0098505D" w:rsidRPr="00667BB9" w:rsidRDefault="00000000">
      <w:pPr>
        <w:jc w:val="both"/>
      </w:pPr>
      <w:r w:rsidRPr="00667BB9">
        <w:rPr>
          <w:b/>
          <w:bCs/>
        </w:rPr>
        <w:t>3.4. Vai trò điều tiết của cam kết xanh tổ chức</w:t>
      </w:r>
    </w:p>
    <w:p w14:paraId="7E1180F9" w14:textId="77777777" w:rsidR="0098505D" w:rsidRPr="00667BB9" w:rsidRDefault="00000000">
      <w:pPr>
        <w:jc w:val="both"/>
      </w:pPr>
      <w:r w:rsidRPr="00667BB9">
        <w:t>Phân tích hồi quy riêng biệt trên factor scores cho thấy mô hình điều tiết đạt R² = 0,366, R² hiệu chỉnh = 0,361 và F(3, 376) = 72,442 (p &lt; 0,001). Tác động chính của GC không có ý nghĩa thống kê khi đã xét INT và tương tác (β = 0,052; p = 0,224). Tuy nhiên, hệ số INT × GC dương và có ý nghĩa ở mức 5% (β = 0,081; b = 0,079; p = 0,041; khoảng tin cậy 95% của b: [0,003; 0,155]).</w:t>
      </w:r>
    </w:p>
    <w:p w14:paraId="008DC02E" w14:textId="77777777" w:rsidR="0098505D" w:rsidRPr="00667BB9" w:rsidRDefault="00000000">
      <w:pPr>
        <w:jc w:val="both"/>
      </w:pPr>
      <w:r w:rsidRPr="00667BB9">
        <w:t>Phân tích độ dốc đơn giản cho thấy hệ số chuẩn hóa của INT → AIGMB lần lượt bằng 0,499 khi GC thấp, 0,580 khi GC trung bình và 0,662 khi GC cao (đều p &lt; 0,001). Như vậy, cam kết xanh tổ chức tăng cường quan hệ giữa ý định và hành vi, song cần đánh giá thận trọng vì hiệu ứng tương tác có cường độ nhỏ và đạt mức ý nghĩa sát ngưỡng 0,05.</w:t>
      </w:r>
    </w:p>
    <w:p w14:paraId="59125197" w14:textId="77777777" w:rsidR="0098505D" w:rsidRPr="00667BB9" w:rsidRDefault="00000000">
      <w:pPr>
        <w:jc w:val="both"/>
      </w:pPr>
      <w:r w:rsidRPr="00667BB9">
        <w:rPr>
          <w:b/>
          <w:bCs/>
        </w:rPr>
        <w:t>3.5. Thảo luận và hàm ý quản trị</w:t>
      </w:r>
    </w:p>
    <w:p w14:paraId="2ED1067E" w14:textId="77777777" w:rsidR="0098505D" w:rsidRPr="00667BB9" w:rsidRDefault="00000000">
      <w:pPr>
        <w:jc w:val="both"/>
      </w:pPr>
      <w:r w:rsidRPr="00667BB9">
        <w:t>Kết quả củng cố tính hữu ích của việc kết nối TAM với các yếu tố xã hội, tổ chức và giá trị môi trường. Nhận thức hữu ích có hệ số lớn nhất trong nhóm tiền tố của thái độ, hàm ý doanh nghiệp nên để nhân viên nhìn thấy ứng dụng AI có thể kiểm chứng trong hoạt động xây dựng nội dung, phân tích khách du lịch quan tâm đến bền vững và tối ưu hóa thông điệp. Tác động của PEOU vẫn có ý nghĩa, do đó chương trình đào tạo nên kết hợp kỹ năng cơ bản, tình huống làm việc và công cụ phù hợp trình độ người dùng (Davis, 1989).</w:t>
      </w:r>
    </w:p>
    <w:p w14:paraId="23F2DFA6" w14:textId="77777777" w:rsidR="0098505D" w:rsidRPr="00667BB9" w:rsidRDefault="00000000">
      <w:pPr>
        <w:jc w:val="both"/>
      </w:pPr>
      <w:r w:rsidRPr="00667BB9">
        <w:t>Vai trò kép của TMS đối với cả ATT và INT cho thấy hỗ trợ của lãnh đạo cần vượt khỏi những tuyên bố mang tính cổ vũ, được thể hiện bằng nguồn lực, hạ tầng dữ liệu, thời gian học tập, tiêu chí sử dụng công cụ và cơ chế kiểm chứng tuyên bố môi trường. Cùng với đó, sự quan tâm môi trường của marketer cần được liên kết với yêu cầu truyền thông trung thực nhằm tránh nguy cơ “tẩy xanh” bằng các nội dung AI tạo sinh (Peattie &amp; Crane, 2005).</w:t>
      </w:r>
    </w:p>
    <w:p w14:paraId="377AAEE8" w14:textId="77777777" w:rsidR="0098505D" w:rsidRPr="00667BB9" w:rsidRDefault="00000000">
      <w:pPr>
        <w:jc w:val="both"/>
      </w:pPr>
      <w:r w:rsidRPr="00667BB9">
        <w:t>Hệ số INT → AIGMB cao nhưng R² của hành vi mới đạt 0,294. Doanh nghiệp không nên đồng nhất việc nhân viên có ý định sử dụng AI với việc áp dụng đều đặn trong công việc. Cần thiết kế nhiệm vụ cụ thể, quy trình phê duyệt, hỗ trợ kỹ thuật và chỉ báo đo lường kết quả. GC làm tăng nhẹ mối quan hệ ý định - hành vi, gợi ý mục tiêu xanh phải được cụ thể hóa thành ưu tiên tổ chức, ngân sách và trách nhiệm thực thi; tuy nhiên không nên diễn giải GC là yếu tố quyết định duy nhất.</w:t>
      </w:r>
    </w:p>
    <w:p w14:paraId="7894DEAF" w14:textId="77777777" w:rsidR="0098505D" w:rsidRPr="00667BB9" w:rsidRDefault="00000000">
      <w:pPr>
        <w:jc w:val="both"/>
      </w:pPr>
      <w:r w:rsidRPr="00667BB9">
        <w:rPr>
          <w:b/>
          <w:bCs/>
        </w:rPr>
        <w:t>4. Kết luận</w:t>
      </w:r>
    </w:p>
    <w:p w14:paraId="022FC8B4" w14:textId="79178287" w:rsidR="0098505D" w:rsidRPr="00667BB9" w:rsidRDefault="00000000">
      <w:pPr>
        <w:jc w:val="both"/>
      </w:pPr>
      <w:r w:rsidRPr="00667BB9">
        <w:t xml:space="preserve">Từ 380 quan sát hợp lệ trong nghiên cứu nguồn, bài báo kiểm định mô hình tích hợp TAM, TPB, TOE và VBN để giải thích hành vi sử dụng AI trong marketing xanh ở doanh nghiệp du lịch, khách </w:t>
      </w:r>
      <w:r w:rsidRPr="00667BB9">
        <w:lastRenderedPageBreak/>
        <w:t>sạn Việt Nam. Kết quả cho thấy</w:t>
      </w:r>
      <w:r w:rsidR="001C08A8" w:rsidRPr="00667BB9">
        <w:t>,</w:t>
      </w:r>
      <w:r w:rsidRPr="00667BB9">
        <w:t xml:space="preserve"> PU, PEOU, EC và TMS tác động tích cực đến ATT; ATT, SN và TMS tác động tích cực đến INT; INT có quan hệ dương với AIGMB. Trong 5 tác động gián tiếp được xác nhận bằng bootstrap, trong khi GC có hiệu ứng điều tiết dương nhưng nhỏ đối với quan hệ INT - AIGMB. Những kết quả này góp phần diễn giải quá trình hình thành thái độ, ý định và hành vi AI phục vụ mục tiêu marketing xanh, đồng thời cung cấp căn cứ cho chương trình đào tạo và chính sách hỗ trợ triển khai ở doanh nghiệp.</w:t>
      </w:r>
    </w:p>
    <w:p w14:paraId="7E334EDE" w14:textId="77777777" w:rsidR="0098505D" w:rsidRPr="00667BB9" w:rsidRDefault="00000000">
      <w:pPr>
        <w:jc w:val="both"/>
      </w:pPr>
      <w:r w:rsidRPr="00667BB9">
        <w:t>Về thực tiễn, doanh nghiệp nên ưu tiên chứng minh giá trị ứng dụng của AI, tăng tính thuận tiện khi sử dụng, phát huy sự hỗ trợ của ban lãnh đạo, chuẩn hóa kiểm chứng thông tin môi trường và gắn cam kết xanh với hoạt động marketing hàng ngày. Nghiên cứu còn giới hạn bởi chọn mẫu phi xác suất, thông tin tự báo cáo và thiết kế khảo sát tại một thời điểm; kết quả điều tiết kiểm định bằng hồi quy điểm nhân tố riêng với SEM. Nghiên cứu tiếp theo có thể mở rộng địa bàn, đối chiếu dữ liệu hành vi thực tế hoặc sử dụng thiết kế theo thời gian để khảo sát sâu hơn quan hệ ý định - hành vi.</w:t>
      </w:r>
    </w:p>
    <w:p w14:paraId="1165A4AC" w14:textId="77777777" w:rsidR="0098505D" w:rsidRPr="00667BB9" w:rsidRDefault="00000000">
      <w:pPr>
        <w:jc w:val="both"/>
      </w:pPr>
      <w:r w:rsidRPr="00667BB9">
        <w:rPr>
          <w:b/>
          <w:bCs/>
        </w:rPr>
        <w:t>TÀI LIỆU THAM KHẢO:</w:t>
      </w:r>
    </w:p>
    <w:p w14:paraId="036B1502" w14:textId="6DEFAC5F" w:rsidR="0098505D" w:rsidRPr="00667BB9" w:rsidRDefault="00000000">
      <w:pPr>
        <w:jc w:val="both"/>
      </w:pPr>
      <w:r w:rsidRPr="00667BB9">
        <w:t>Thủ tướng Chính phủ. (2020). Quyết định số 147/QĐ-TTg ngày 22/01/2020</w:t>
      </w:r>
      <w:r w:rsidR="005B2021" w:rsidRPr="00667BB9">
        <w:t>,</w:t>
      </w:r>
      <w:r w:rsidRPr="00667BB9">
        <w:t xml:space="preserve"> phê duyệt Chiến lược phát triển du lịch Việt Nam đến năm 2030. https://vanban.chinhphu.vn/?docid=198927&amp;pageid=27160.</w:t>
      </w:r>
    </w:p>
    <w:p w14:paraId="3E119BE2" w14:textId="77777777" w:rsidR="0098505D" w:rsidRPr="00667BB9" w:rsidRDefault="00000000">
      <w:pPr>
        <w:jc w:val="both"/>
      </w:pPr>
      <w:r w:rsidRPr="00667BB9">
        <w:t>Ajzen, I. (1991). The theory of planned behavior. Organizational Behavior and Human Decision Processes, 50(2), 179-211. https://doi.org/10.1016/0749-5978(91)90020-T.</w:t>
      </w:r>
    </w:p>
    <w:p w14:paraId="449602BF" w14:textId="77777777" w:rsidR="0098505D" w:rsidRPr="00667BB9" w:rsidRDefault="00000000">
      <w:pPr>
        <w:jc w:val="both"/>
      </w:pPr>
      <w:r w:rsidRPr="00667BB9">
        <w:t>Aria, M., &amp; Cuccurullo, C. (2017). bibliometrix: An R-tool for comprehensive science mapping analysis. Journal of Informetrics, 11(4), 959-975. https://doi.org/10.1016/j.joi.2017.08.007.</w:t>
      </w:r>
    </w:p>
    <w:p w14:paraId="49F42477" w14:textId="77777777" w:rsidR="0098505D" w:rsidRPr="00667BB9" w:rsidRDefault="00000000">
      <w:pPr>
        <w:jc w:val="both"/>
      </w:pPr>
      <w:r w:rsidRPr="00667BB9">
        <w:t>Bamberg, S., &amp; Möser, G. (2007). Twenty years after Hines, Hungerford, and Tomera: A new meta-analysis of psycho-social determinants of pro-environmental behaviour. Journal of Environmental Psychology, 27(1), 14-25. https://doi.org/10.1016/j.jenvp.2006.12.002.</w:t>
      </w:r>
    </w:p>
    <w:p w14:paraId="3627C338" w14:textId="77777777" w:rsidR="0098505D" w:rsidRPr="00667BB9" w:rsidRDefault="00000000">
      <w:pPr>
        <w:jc w:val="both"/>
      </w:pPr>
      <w:r w:rsidRPr="00667BB9">
        <w:t>Bulchand-Gidumal, J., Secin, E. W., O'Connor, P., &amp; Buhalis, D. (2024). Artificial intelligence's impact on hospitality and tourism marketing: Exploring key themes and addressing challenges. Current Issues in Tourism, 27(14), 2345-2362. https://doi.org/10.1080/13683500.2023.2229480.</w:t>
      </w:r>
    </w:p>
    <w:p w14:paraId="2E791AF4" w14:textId="77777777" w:rsidR="0098505D" w:rsidRPr="00667BB9" w:rsidRDefault="00000000">
      <w:pPr>
        <w:jc w:val="both"/>
      </w:pPr>
      <w:r w:rsidRPr="00667BB9">
        <w:t>Davis, F. D. (1989). Perceived Usefulness, Perceived Ease of Use, and User Acceptance of Information Technology. Management Information Systems Quarterly, 13(3), 319-340. https://doi.org/10.2307/249008.</w:t>
      </w:r>
    </w:p>
    <w:p w14:paraId="770BD3C9" w14:textId="77777777" w:rsidR="0098505D" w:rsidRPr="00667BB9" w:rsidRDefault="00000000">
      <w:pPr>
        <w:jc w:val="both"/>
      </w:pPr>
      <w:r w:rsidRPr="00667BB9">
        <w:t>Fornell, C., &amp; Larcker, D. F. (1981). Evaluating Structural Equation Models with Unobservable Variables and Measurement Error. Journal of Marketing Research, 18(1), 39-50. https://doi.org/10.1177/002224378101800104.</w:t>
      </w:r>
    </w:p>
    <w:p w14:paraId="1BC8BB5C" w14:textId="77777777" w:rsidR="0098505D" w:rsidRPr="00667BB9" w:rsidRDefault="00000000">
      <w:pPr>
        <w:jc w:val="both"/>
      </w:pPr>
      <w:r w:rsidRPr="00667BB9">
        <w:t>Gajić, T., Vukolić, D., Bugarčić, J., Đoković, F., Spasojević, A., Knežević, S., Đorđević Boljanović, J., Glišić, S., Matović, S., &amp; Dávid, L. D. (2024). The Adoption of Artificial Intelligence in Serbian Hospitality: A Potential Path to Sustainable Practice. Sustainability, 16(8), 3172.</w:t>
      </w:r>
    </w:p>
    <w:p w14:paraId="7EC87D47" w14:textId="77777777" w:rsidR="0098505D" w:rsidRPr="00667BB9" w:rsidRDefault="00000000">
      <w:pPr>
        <w:jc w:val="both"/>
      </w:pPr>
      <w:r w:rsidRPr="00667BB9">
        <w:t>Hair, J. F., Black, W. C., Babin, B. J., &amp; Anderson, R. E. (2019). Multivariate data analysis (8th ed.). Cengage.</w:t>
      </w:r>
    </w:p>
    <w:p w14:paraId="6C7B0A38" w14:textId="77777777" w:rsidR="0098505D" w:rsidRPr="00667BB9" w:rsidRDefault="00000000">
      <w:pPr>
        <w:jc w:val="both"/>
      </w:pPr>
      <w:r w:rsidRPr="00667BB9">
        <w:lastRenderedPageBreak/>
        <w:t>Hayes, A. F. (2022). Introduction to mediation, moderation, and conditional process analysis: A regression-based approach (3 ed.). The Guilford Press.</w:t>
      </w:r>
    </w:p>
    <w:p w14:paraId="4744093E" w14:textId="77777777" w:rsidR="0098505D" w:rsidRPr="00667BB9" w:rsidRDefault="00000000">
      <w:pPr>
        <w:jc w:val="both"/>
      </w:pPr>
      <w:r w:rsidRPr="00667BB9">
        <w:t>Henseler, J., Ringle, C. M., &amp; Sarstedt, M. (2015). A new criterion for assessing discriminant validity in variance-based structural equation modeling. Journal of the Academy of Marketing Science, 43(1), 115-135. https://doi.org/10.1007/s11747-014-0403-8.</w:t>
      </w:r>
    </w:p>
    <w:p w14:paraId="182375F4" w14:textId="77777777" w:rsidR="0098505D" w:rsidRPr="00667BB9" w:rsidRDefault="00000000">
      <w:pPr>
        <w:jc w:val="both"/>
      </w:pPr>
      <w:r w:rsidRPr="00667BB9">
        <w:t>Hu, L. t., &amp; Bentler, P. M. (1999). Cutoff criteria for fit indexes in covariance structure analysis: Conventional criteria versus new alternatives. Structural Equation Modeling: A Multidisciplinary Journal, 6(1), 1-55. https://doi.org/10.1080/10705519909540118.</w:t>
      </w:r>
    </w:p>
    <w:p w14:paraId="2370D0BB" w14:textId="77777777" w:rsidR="0098505D" w:rsidRPr="00667BB9" w:rsidRDefault="00000000">
      <w:pPr>
        <w:jc w:val="both"/>
      </w:pPr>
      <w:r w:rsidRPr="00667BB9">
        <w:t>Ottman, J. A. (2011). The new rules of green marketing: Strategies, tools, and inspiration for sustainable branding. Berrett-Koehler Publishers.</w:t>
      </w:r>
    </w:p>
    <w:p w14:paraId="3A046D87" w14:textId="77777777" w:rsidR="0098505D" w:rsidRPr="00667BB9" w:rsidRDefault="00000000">
      <w:pPr>
        <w:jc w:val="both"/>
      </w:pPr>
      <w:r w:rsidRPr="00667BB9">
        <w:t>Peattie, K., &amp; Crane, A. (2005). Green marketing: legend, myth, farce or prophesy? Qualitative Market Research: An International Journal, 8(4), 357-370. https://doi.org/10.1108/13522750510619733.</w:t>
      </w:r>
    </w:p>
    <w:p w14:paraId="56EA947B" w14:textId="77777777" w:rsidR="0098505D" w:rsidRPr="00667BB9" w:rsidRDefault="00000000">
      <w:pPr>
        <w:jc w:val="both"/>
      </w:pPr>
      <w:r w:rsidRPr="00667BB9">
        <w:t>Podsakoff, P., MacKenzie, S., Lee, J.-Y., &amp; Podsakoff, N. (2003). Common Method Biases in Behavioral Research: A Critical Review of the Literature and Recommended Remedies. Journal of Applied Psychology, 88, 879-903. https://doi.org/10.1037/0021-9010.88.5.879.</w:t>
      </w:r>
    </w:p>
    <w:p w14:paraId="004F149E" w14:textId="77777777" w:rsidR="0098505D" w:rsidRPr="00667BB9" w:rsidRDefault="00000000">
      <w:pPr>
        <w:jc w:val="both"/>
      </w:pPr>
      <w:bookmarkStart w:id="0" w:name="_heading=h.yemgojkzq3nn" w:colFirst="0" w:colLast="0"/>
      <w:bookmarkEnd w:id="0"/>
      <w:r w:rsidRPr="00667BB9">
        <w:t>Stern, P. C. (2000). New Environmental Theories: Toward a Coherent Theory of Environmentally Significant Behavior. Journal of Social Issues, 56(3), 407-424. https://doi.org/10.1111/0022-4537.00175.</w:t>
      </w:r>
    </w:p>
    <w:p w14:paraId="74D6B462" w14:textId="77777777" w:rsidR="0098505D" w:rsidRPr="00667BB9" w:rsidRDefault="00000000">
      <w:pPr>
        <w:jc w:val="both"/>
      </w:pPr>
      <w:r w:rsidRPr="00667BB9">
        <w:t>Tornatzky, L. G., Fleischer, M., &amp; Chakrabarti, A. K. (1990). The Processes of Technological Innovation. Lexington Books. https://books.google.com.vn/books?id=QWiwAAAAIAAJ.</w:t>
      </w:r>
    </w:p>
    <w:p w14:paraId="6BD2FC47" w14:textId="77777777" w:rsidR="0098505D" w:rsidRPr="00667BB9" w:rsidRDefault="00000000">
      <w:pPr>
        <w:jc w:val="both"/>
      </w:pPr>
      <w:r w:rsidRPr="00667BB9">
        <w:t>Thomas, G., Albishri, N. A., Islam, J. U., &amp; Tanveer, M. (2025). Exploring the Determinants of Artificial Intelligence Adoption Intention in the SMEs of United Arab Emirates. Sage Open, 15(4), 21582440251395561. https://doi.org/10.1177/21582440251395561.</w:t>
      </w:r>
    </w:p>
    <w:sectPr w:rsidR="0098505D" w:rsidRPr="00667BB9">
      <w:headerReference w:type="even" r:id="rId9"/>
      <w:headerReference w:type="default" r:id="rId10"/>
      <w:footerReference w:type="even" r:id="rId11"/>
      <w:footerReference w:type="default" r:id="rId12"/>
      <w:pgSz w:w="12190" w:h="16730"/>
      <w:pgMar w:top="1701" w:right="1417" w:bottom="1701" w:left="1417" w:header="1008" w:footer="10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97A2B" w14:textId="77777777" w:rsidR="008448DF" w:rsidRDefault="008448DF">
      <w:pPr>
        <w:spacing w:before="0" w:after="0" w:line="240" w:lineRule="auto"/>
      </w:pPr>
      <w:r>
        <w:separator/>
      </w:r>
    </w:p>
  </w:endnote>
  <w:endnote w:type="continuationSeparator" w:id="0">
    <w:p w14:paraId="48601044" w14:textId="77777777" w:rsidR="008448DF" w:rsidRDefault="008448D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D30B6A2D-7715-4980-8CE4-1BA2DF0D912A}"/>
    <w:embedBold r:id="rId2" w:fontKey="{88A08960-99F2-40D8-87D4-57471DFC819A}"/>
  </w:font>
  <w:font w:name="Georgia">
    <w:panose1 w:val="02040502050405020303"/>
    <w:charset w:val="00"/>
    <w:family w:val="roman"/>
    <w:pitch w:val="variable"/>
    <w:sig w:usb0="00000287" w:usb1="00000000" w:usb2="00000000" w:usb3="00000000" w:csb0="0000009F" w:csb1="00000000"/>
    <w:embedItalic r:id="rId3" w:fontKey="{E5817108-D42E-4A17-878A-5369F0052E1C}"/>
  </w:font>
  <w:font w:name="Cardo">
    <w:charset w:val="00"/>
    <w:family w:val="auto"/>
    <w:pitch w:val="default"/>
    <w:embedRegular r:id="rId4" w:fontKey="{C44E9A00-C1BD-4CAA-8033-21486D18F640}"/>
  </w:font>
  <w:font w:name="Cambria">
    <w:panose1 w:val="02040503050406030204"/>
    <w:charset w:val="00"/>
    <w:family w:val="roman"/>
    <w:pitch w:val="variable"/>
    <w:sig w:usb0="E00006FF" w:usb1="420024FF" w:usb2="02000000" w:usb3="00000000" w:csb0="0000019F" w:csb1="00000000"/>
    <w:embedRegular r:id="rId5" w:fontKey="{D6EE5478-FF2A-483A-AB56-AB7AF5061792}"/>
  </w:font>
  <w:font w:name="Calibri">
    <w:panose1 w:val="020F0502020204030204"/>
    <w:charset w:val="00"/>
    <w:family w:val="swiss"/>
    <w:pitch w:val="variable"/>
    <w:sig w:usb0="E4002EFF" w:usb1="C000247B" w:usb2="00000009" w:usb3="00000000" w:csb0="000001FF" w:csb1="00000000"/>
    <w:embedRegular r:id="rId6" w:fontKey="{A74AFE7E-79A2-4C82-A563-81E927AF80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7E9DD" w14:textId="77777777" w:rsidR="0098505D" w:rsidRDefault="00000000">
    <w:pPr>
      <w:pBdr>
        <w:top w:val="nil"/>
        <w:left w:val="nil"/>
        <w:bottom w:val="nil"/>
        <w:right w:val="nil"/>
        <w:between w:val="nil"/>
      </w:pBdr>
      <w:tabs>
        <w:tab w:val="center" w:pos="4680"/>
        <w:tab w:val="right" w:pos="9360"/>
      </w:tabs>
      <w:jc w:val="right"/>
      <w:rPr>
        <w:color w:val="000000"/>
      </w:rPr>
    </w:pPr>
    <w:r>
      <w:rPr>
        <w:rFonts w:ascii="Tahoma" w:eastAsia="Tahoma" w:hAnsi="Tahoma" w:cs="Tahoma"/>
        <w:color w:val="000000"/>
      </w:rPr>
      <w:fldChar w:fldCharType="begin"/>
    </w:r>
    <w:r>
      <w:rPr>
        <w:rFonts w:ascii="Tahoma" w:eastAsia="Tahoma" w:hAnsi="Tahoma" w:cs="Tahoma"/>
        <w:color w:val="000000"/>
      </w:rPr>
      <w:instrText>PAGE</w:instrText>
    </w:r>
    <w:r>
      <w:rPr>
        <w:rFonts w:ascii="Tahoma" w:eastAsia="Tahoma" w:hAnsi="Tahoma" w:cs="Tahoma"/>
        <w:color w:val="000000"/>
      </w:rPr>
      <w:fldChar w:fldCharType="separate"/>
    </w:r>
    <w:r w:rsidR="001C08A8">
      <w:rPr>
        <w:rFonts w:ascii="Tahoma" w:eastAsia="Tahoma" w:hAnsi="Tahoma" w:cs="Tahoma"/>
        <w:noProof/>
        <w:color w:val="000000"/>
      </w:rPr>
      <w:t>2</w:t>
    </w:r>
    <w:r>
      <w:rPr>
        <w:rFonts w:ascii="Tahoma" w:eastAsia="Tahoma" w:hAnsi="Tahoma" w:cs="Tahoma"/>
        <w:color w:val="000000"/>
      </w:rPr>
      <w:fldChar w:fldCharType="end"/>
    </w:r>
    <w:r>
      <w:rPr>
        <w:rFonts w:ascii="Tahoma" w:eastAsia="Tahoma" w:hAnsi="Tahoma" w:cs="Tahoma"/>
        <w:color w:val="000000"/>
      </w:rPr>
      <w:t>|</w:t>
    </w:r>
    <w:r>
      <w:rPr>
        <w:rFonts w:ascii="Tahoma" w:eastAsia="Tahoma" w:hAnsi="Tahoma" w:cs="Tahoma"/>
        <w:color w:val="000000"/>
      </w:rPr>
      <w:fldChar w:fldCharType="begin"/>
    </w:r>
    <w:r>
      <w:rPr>
        <w:rFonts w:ascii="Tahoma" w:eastAsia="Tahoma" w:hAnsi="Tahoma" w:cs="Tahoma"/>
        <w:color w:val="000000"/>
      </w:rPr>
      <w:instrText>NUMPAGES</w:instrText>
    </w:r>
    <w:r>
      <w:rPr>
        <w:rFonts w:ascii="Tahoma" w:eastAsia="Tahoma" w:hAnsi="Tahoma" w:cs="Tahoma"/>
        <w:color w:val="000000"/>
      </w:rPr>
      <w:fldChar w:fldCharType="separate"/>
    </w:r>
    <w:r w:rsidR="001C08A8">
      <w:rPr>
        <w:rFonts w:ascii="Tahoma" w:eastAsia="Tahoma" w:hAnsi="Tahoma" w:cs="Tahoma"/>
        <w:noProof/>
        <w:color w:val="000000"/>
      </w:rPr>
      <w:t>3</w:t>
    </w:r>
    <w:r>
      <w:rPr>
        <w:rFonts w:ascii="Tahoma" w:eastAsia="Tahoma" w:hAnsi="Tahoma" w:cs="Tahoma"/>
        <w:color w:val="000000"/>
      </w:rPr>
      <w:fldChar w:fldCharType="end"/>
    </w:r>
  </w:p>
  <w:p w14:paraId="5803890B" w14:textId="77777777" w:rsidR="0098505D" w:rsidRDefault="00000000">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3C2F9C1D" wp14:editId="0984D850">
          <wp:extent cx="2254250" cy="201930"/>
          <wp:effectExtent l="0" t="0" r="0" b="0"/>
          <wp:docPr id="174861868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54250" cy="201930"/>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4B04E" w14:textId="77777777" w:rsidR="0098505D" w:rsidRDefault="00000000">
    <w:pPr>
      <w:pBdr>
        <w:top w:val="nil"/>
        <w:left w:val="nil"/>
        <w:bottom w:val="nil"/>
        <w:right w:val="nil"/>
        <w:between w:val="nil"/>
      </w:pBdr>
      <w:tabs>
        <w:tab w:val="center" w:pos="4680"/>
        <w:tab w:val="right" w:pos="9360"/>
      </w:tabs>
      <w:jc w:val="right"/>
      <w:rPr>
        <w:color w:val="000000"/>
      </w:rPr>
    </w:pPr>
    <w:r>
      <w:rPr>
        <w:rFonts w:ascii="Tahoma" w:eastAsia="Tahoma" w:hAnsi="Tahoma" w:cs="Tahoma"/>
        <w:color w:val="000000"/>
      </w:rPr>
      <w:fldChar w:fldCharType="begin"/>
    </w:r>
    <w:r>
      <w:rPr>
        <w:rFonts w:ascii="Tahoma" w:eastAsia="Tahoma" w:hAnsi="Tahoma" w:cs="Tahoma"/>
        <w:color w:val="000000"/>
      </w:rPr>
      <w:instrText>PAGE</w:instrText>
    </w:r>
    <w:r>
      <w:rPr>
        <w:rFonts w:ascii="Tahoma" w:eastAsia="Tahoma" w:hAnsi="Tahoma" w:cs="Tahoma"/>
        <w:color w:val="000000"/>
      </w:rPr>
      <w:fldChar w:fldCharType="separate"/>
    </w:r>
    <w:r w:rsidR="001C08A8">
      <w:rPr>
        <w:rFonts w:ascii="Tahoma" w:eastAsia="Tahoma" w:hAnsi="Tahoma" w:cs="Tahoma"/>
        <w:noProof/>
        <w:color w:val="000000"/>
      </w:rPr>
      <w:t>1</w:t>
    </w:r>
    <w:r>
      <w:rPr>
        <w:rFonts w:ascii="Tahoma" w:eastAsia="Tahoma" w:hAnsi="Tahoma" w:cs="Tahoma"/>
        <w:color w:val="000000"/>
      </w:rPr>
      <w:fldChar w:fldCharType="end"/>
    </w:r>
    <w:r>
      <w:rPr>
        <w:rFonts w:ascii="Tahoma" w:eastAsia="Tahoma" w:hAnsi="Tahoma" w:cs="Tahoma"/>
        <w:color w:val="000000"/>
      </w:rPr>
      <w:t>|</w:t>
    </w:r>
    <w:r>
      <w:rPr>
        <w:rFonts w:ascii="Tahoma" w:eastAsia="Tahoma" w:hAnsi="Tahoma" w:cs="Tahoma"/>
        <w:color w:val="000000"/>
      </w:rPr>
      <w:fldChar w:fldCharType="begin"/>
    </w:r>
    <w:r>
      <w:rPr>
        <w:rFonts w:ascii="Tahoma" w:eastAsia="Tahoma" w:hAnsi="Tahoma" w:cs="Tahoma"/>
        <w:color w:val="000000"/>
      </w:rPr>
      <w:instrText>NUMPAGES</w:instrText>
    </w:r>
    <w:r>
      <w:rPr>
        <w:rFonts w:ascii="Tahoma" w:eastAsia="Tahoma" w:hAnsi="Tahoma" w:cs="Tahoma"/>
        <w:color w:val="000000"/>
      </w:rPr>
      <w:fldChar w:fldCharType="separate"/>
    </w:r>
    <w:r w:rsidR="001C08A8">
      <w:rPr>
        <w:rFonts w:ascii="Tahoma" w:eastAsia="Tahoma" w:hAnsi="Tahoma" w:cs="Tahoma"/>
        <w:noProof/>
        <w:color w:val="000000"/>
      </w:rPr>
      <w:t>2</w:t>
    </w:r>
    <w:r>
      <w:rPr>
        <w:rFonts w:ascii="Tahoma" w:eastAsia="Tahoma" w:hAnsi="Tahoma" w:cs="Tahoma"/>
        <w:color w:val="000000"/>
      </w:rPr>
      <w:fldChar w:fldCharType="end"/>
    </w:r>
  </w:p>
  <w:p w14:paraId="6E7C56E2" w14:textId="77777777" w:rsidR="0098505D" w:rsidRDefault="0098505D">
    <w:pPr>
      <w:pBdr>
        <w:top w:val="nil"/>
        <w:left w:val="nil"/>
        <w:bottom w:val="nil"/>
        <w:right w:val="nil"/>
        <w:between w:val="nil"/>
      </w:pBdr>
      <w:spacing w:line="14" w:lineRule="auto"/>
      <w:jc w:val="center"/>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61919" w14:textId="77777777" w:rsidR="008448DF" w:rsidRDefault="008448DF">
      <w:pPr>
        <w:spacing w:before="0" w:after="0" w:line="240" w:lineRule="auto"/>
      </w:pPr>
      <w:r>
        <w:separator/>
      </w:r>
    </w:p>
  </w:footnote>
  <w:footnote w:type="continuationSeparator" w:id="0">
    <w:p w14:paraId="3BA13705" w14:textId="77777777" w:rsidR="008448DF" w:rsidRDefault="008448D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5A61" w14:textId="77777777" w:rsidR="0098505D" w:rsidRDefault="00000000">
    <w:pPr>
      <w:spacing w:before="37"/>
      <w:ind w:left="20"/>
      <w:jc w:val="right"/>
      <w:rPr>
        <w:rFonts w:ascii="Tahoma" w:eastAsia="Tahoma" w:hAnsi="Tahoma" w:cs="Tahoma"/>
        <w:b/>
        <w:bCs/>
        <w:sz w:val="26"/>
        <w:szCs w:val="26"/>
      </w:rPr>
    </w:pPr>
    <w:r>
      <w:rPr>
        <w:rFonts w:ascii="Tahoma" w:eastAsia="Tahoma" w:hAnsi="Tahoma" w:cs="Tahoma"/>
        <w:sz w:val="26"/>
        <w:szCs w:val="26"/>
      </w:rPr>
      <w:t>Số 19/2026</w:t>
    </w:r>
    <w:r>
      <w:rPr>
        <w:rFonts w:ascii="Tahoma" w:eastAsia="Tahoma" w:hAnsi="Tahoma" w:cs="Tahoma"/>
        <w:b/>
        <w:bCs/>
        <w:sz w:val="26"/>
        <w:szCs w:val="26"/>
      </w:rPr>
      <w:t xml:space="preserve"> - CHUYÊN MỤC </w:t>
    </w:r>
    <w:r>
      <w:rPr>
        <w:noProof/>
      </w:rPr>
      <mc:AlternateContent>
        <mc:Choice Requires="wps">
          <w:drawing>
            <wp:anchor distT="0" distB="0" distL="114300" distR="114300" simplePos="0" relativeHeight="251659264" behindDoc="0" locked="0" layoutInCell="1" hidden="0" allowOverlap="1" wp14:anchorId="7BC116D8" wp14:editId="39965388">
              <wp:simplePos x="0" y="0"/>
              <wp:positionH relativeFrom="column">
                <wp:posOffset>-566419</wp:posOffset>
              </wp:positionH>
              <wp:positionV relativeFrom="paragraph">
                <wp:posOffset>278336</wp:posOffset>
              </wp:positionV>
              <wp:extent cx="0" cy="12700"/>
              <wp:effectExtent l="0" t="0" r="0" b="0"/>
              <wp:wrapNone/>
              <wp:docPr id="1748618681" name="Straight Arrow Connector 1748618681"/>
              <wp:cNvGraphicFramePr/>
              <a:graphic xmlns:a="http://schemas.openxmlformats.org/drawingml/2006/main">
                <a:graphicData uri="http://schemas.microsoft.com/office/word/2010/wordprocessingShape">
                  <wps:wsp>
                    <wps:cNvCnPr/>
                    <wps:spPr>
                      <a:xfrm>
                        <a:off x="1519263" y="3780000"/>
                        <a:ext cx="765347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-566419</wp:posOffset>
              </wp:positionH>
              <wp:positionV relativeFrom="paragraph">
                <wp:posOffset>278336</wp:posOffset>
              </wp:positionV>
              <wp:extent cx="0" cy="12700"/>
              <wp:effectExtent b="0" l="0" r="0" t="0"/>
              <wp:wrapNone/>
              <wp:docPr id="174861868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71DDEF29" w14:textId="77777777" w:rsidR="0098505D" w:rsidRDefault="0098505D">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190E6" w14:textId="77777777" w:rsidR="0098505D" w:rsidRDefault="00000000">
    <w:pPr>
      <w:spacing w:before="37"/>
      <w:ind w:left="20"/>
      <w:rPr>
        <w:rFonts w:ascii="Tahoma" w:eastAsia="Tahoma" w:hAnsi="Tahoma" w:cs="Tahoma"/>
        <w:b/>
        <w:bCs/>
        <w:sz w:val="26"/>
        <w:szCs w:val="26"/>
      </w:rPr>
    </w:pPr>
    <w:r>
      <w:rPr>
        <w:rFonts w:ascii="Tahoma" w:eastAsia="Tahoma" w:hAnsi="Tahoma" w:cs="Tahoma"/>
        <w:b/>
        <w:bCs/>
        <w:sz w:val="30"/>
        <w:szCs w:val="30"/>
      </w:rPr>
      <w:t xml:space="preserve">             </w:t>
    </w:r>
    <w:r>
      <w:rPr>
        <w:rFonts w:ascii="Tahoma" w:eastAsia="Tahoma" w:hAnsi="Tahoma" w:cs="Tahoma"/>
        <w:b/>
        <w:bCs/>
        <w:sz w:val="26"/>
        <w:szCs w:val="26"/>
      </w:rPr>
      <w:t>TẠP CHÍ CÔNG THƯƠNG - CÁC KẾT QUẢ NGHIÊN CỨU KHOA HỌC VÀ ỨNG DỤNG CÔNG NGHỆ</w:t>
    </w:r>
  </w:p>
  <w:p w14:paraId="5AA0BE64" w14:textId="77777777" w:rsidR="0098505D" w:rsidRDefault="00000000">
    <w:pPr>
      <w:pBdr>
        <w:top w:val="nil"/>
        <w:left w:val="nil"/>
        <w:bottom w:val="nil"/>
        <w:right w:val="nil"/>
        <w:between w:val="nil"/>
      </w:pBdr>
      <w:tabs>
        <w:tab w:val="center" w:pos="4680"/>
        <w:tab w:val="right" w:pos="9360"/>
      </w:tabs>
      <w:rPr>
        <w:rFonts w:ascii="Tahoma" w:eastAsia="Tahoma" w:hAnsi="Tahoma" w:cs="Tahoma"/>
        <w:b/>
        <w:bCs/>
        <w:color w:val="000000"/>
        <w:sz w:val="26"/>
        <w:szCs w:val="26"/>
      </w:rPr>
    </w:pPr>
    <w:r>
      <w:rPr>
        <w:noProof/>
      </w:rPr>
      <mc:AlternateContent>
        <mc:Choice Requires="wps">
          <w:drawing>
            <wp:anchor distT="0" distB="0" distL="114300" distR="114300" simplePos="0" relativeHeight="251658240" behindDoc="0" locked="0" layoutInCell="1" hidden="0" allowOverlap="1" wp14:anchorId="570F5402" wp14:editId="0216B522">
              <wp:simplePos x="0" y="0"/>
              <wp:positionH relativeFrom="column">
                <wp:posOffset>-561208</wp:posOffset>
              </wp:positionH>
              <wp:positionV relativeFrom="paragraph">
                <wp:posOffset>151413</wp:posOffset>
              </wp:positionV>
              <wp:extent cx="0" cy="12700"/>
              <wp:effectExtent l="0" t="0" r="0" b="0"/>
              <wp:wrapNone/>
              <wp:docPr id="1748618680" name="Straight Arrow Connector 1748618680"/>
              <wp:cNvGraphicFramePr/>
              <a:graphic xmlns:a="http://schemas.openxmlformats.org/drawingml/2006/main">
                <a:graphicData uri="http://schemas.microsoft.com/office/word/2010/wordprocessingShape">
                  <wps:wsp>
                    <wps:cNvCnPr/>
                    <wps:spPr>
                      <a:xfrm>
                        <a:off x="1519263" y="3780000"/>
                        <a:ext cx="765347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-561208</wp:posOffset>
              </wp:positionH>
              <wp:positionV relativeFrom="paragraph">
                <wp:posOffset>151413</wp:posOffset>
              </wp:positionV>
              <wp:extent cx="0" cy="12700"/>
              <wp:effectExtent b="0" l="0" r="0" t="0"/>
              <wp:wrapNone/>
              <wp:docPr id="1748618680"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05D"/>
    <w:rsid w:val="001A1929"/>
    <w:rsid w:val="001C08A8"/>
    <w:rsid w:val="00215242"/>
    <w:rsid w:val="0034100B"/>
    <w:rsid w:val="0053397F"/>
    <w:rsid w:val="005B2021"/>
    <w:rsid w:val="005E2B15"/>
    <w:rsid w:val="00667BB9"/>
    <w:rsid w:val="006E36A7"/>
    <w:rsid w:val="00764ABA"/>
    <w:rsid w:val="008448DF"/>
    <w:rsid w:val="008467C2"/>
    <w:rsid w:val="0098505D"/>
    <w:rsid w:val="00B53D8D"/>
    <w:rsid w:val="00B84B83"/>
    <w:rsid w:val="00D46426"/>
    <w:rsid w:val="00DE1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6846F"/>
  <w15:docId w15:val="{6DE6FC1D-BFB7-4906-963F-8D589EE01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widowControl w:val="0"/>
        <w:spacing w:before="40" w:after="40"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75"/>
      <w:ind w:left="711" w:right="246"/>
      <w:jc w:val="center"/>
      <w:outlineLvl w:val="0"/>
    </w:pPr>
    <w:rPr>
      <w:b/>
      <w:bCs/>
      <w:sz w:val="34"/>
      <w:szCs w:val="34"/>
    </w:rPr>
  </w:style>
  <w:style w:type="paragraph" w:styleId="Heading2">
    <w:name w:val="heading 2"/>
    <w:basedOn w:val="Normal"/>
    <w:next w:val="Normal"/>
    <w:uiPriority w:val="9"/>
    <w:semiHidden/>
    <w:unhideWhenUsed/>
    <w:qFormat/>
    <w:pPr>
      <w:ind w:left="566" w:right="148"/>
      <w:jc w:val="center"/>
      <w:outlineLvl w:val="1"/>
    </w:pPr>
    <w:rPr>
      <w:b/>
      <w:bCs/>
      <w:sz w:val="28"/>
      <w:szCs w:val="28"/>
    </w:rPr>
  </w:style>
  <w:style w:type="paragraph" w:styleId="Heading3">
    <w:name w:val="heading 3"/>
    <w:basedOn w:val="Normal"/>
    <w:next w:val="Normal"/>
    <w:uiPriority w:val="9"/>
    <w:semiHidden/>
    <w:unhideWhenUsed/>
    <w:qFormat/>
    <w:pPr>
      <w:ind w:left="626"/>
      <w:outlineLvl w:val="2"/>
    </w:pPr>
    <w:rPr>
      <w:b/>
      <w:bCs/>
    </w:rPr>
  </w:style>
  <w:style w:type="paragraph" w:styleId="Heading4">
    <w:name w:val="heading 4"/>
    <w:basedOn w:val="Normal"/>
    <w:next w:val="Normal"/>
    <w:uiPriority w:val="9"/>
    <w:semiHidden/>
    <w:unhideWhenUsed/>
    <w:qFormat/>
    <w:pPr>
      <w:spacing w:before="130"/>
      <w:ind w:left="791" w:hanging="385"/>
      <w:outlineLvl w:val="3"/>
    </w:pPr>
    <w:rPr>
      <w:b/>
      <w:bCs/>
      <w:i/>
      <w:iCs/>
    </w:rPr>
  </w:style>
  <w:style w:type="paragraph" w:styleId="Heading5">
    <w:name w:val="heading 5"/>
    <w:basedOn w:val="Normal"/>
    <w:next w:val="Normal"/>
    <w:uiPriority w:val="9"/>
    <w:semiHidden/>
    <w:unhideWhenUsed/>
    <w:qFormat/>
    <w:pPr>
      <w:keepNext/>
      <w:keepLines/>
      <w:spacing w:before="220"/>
      <w:outlineLvl w:val="4"/>
    </w:pPr>
    <w:rPr>
      <w:b/>
      <w:bCs/>
      <w:sz w:val="22"/>
      <w:szCs w:val="22"/>
    </w:rPr>
  </w:style>
  <w:style w:type="paragraph" w:styleId="Heading6">
    <w:name w:val="heading 6"/>
    <w:basedOn w:val="Normal"/>
    <w:next w:val="Normal"/>
    <w:uiPriority w:val="9"/>
    <w:semiHidden/>
    <w:unhideWhenUsed/>
    <w:qFormat/>
    <w:pPr>
      <w:keepNext/>
      <w:keepLines/>
      <w:spacing w:before="20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style>
  <w:style w:type="paragraph" w:styleId="ListParagraph">
    <w:name w:val="List Paragraph"/>
    <w:basedOn w:val="Normal"/>
    <w:uiPriority w:val="1"/>
    <w:qFormat/>
    <w:pPr>
      <w:ind w:left="791" w:hanging="128"/>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C41F69"/>
    <w:pPr>
      <w:tabs>
        <w:tab w:val="center" w:pos="4680"/>
        <w:tab w:val="right" w:pos="9360"/>
      </w:tabs>
    </w:pPr>
  </w:style>
  <w:style w:type="character" w:customStyle="1" w:styleId="FooterChar">
    <w:name w:val="Footer Char"/>
    <w:basedOn w:val="DefaultParagraphFont"/>
    <w:link w:val="Footer"/>
    <w:uiPriority w:val="99"/>
    <w:rsid w:val="00C41F69"/>
    <w:rPr>
      <w:rFonts w:ascii="Times New Roman" w:eastAsia="Times New Roman" w:hAnsi="Times New Roman" w:cs="Times New Roman"/>
    </w:rPr>
  </w:style>
  <w:style w:type="paragraph" w:styleId="Header">
    <w:name w:val="header"/>
    <w:basedOn w:val="Normal"/>
    <w:link w:val="HeaderChar"/>
    <w:uiPriority w:val="99"/>
    <w:unhideWhenUsed/>
    <w:rsid w:val="00C41F69"/>
    <w:pPr>
      <w:tabs>
        <w:tab w:val="center" w:pos="4680"/>
        <w:tab w:val="right" w:pos="9360"/>
      </w:tabs>
    </w:pPr>
  </w:style>
  <w:style w:type="character" w:customStyle="1" w:styleId="HeaderChar">
    <w:name w:val="Header Char"/>
    <w:basedOn w:val="DefaultParagraphFont"/>
    <w:link w:val="Header"/>
    <w:uiPriority w:val="99"/>
    <w:rsid w:val="00C41F69"/>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D7B04"/>
    <w:rPr>
      <w:rFonts w:ascii="Tahoma" w:hAnsi="Tahoma" w:cs="Tahoma"/>
      <w:sz w:val="16"/>
      <w:szCs w:val="16"/>
    </w:rPr>
  </w:style>
  <w:style w:type="character" w:customStyle="1" w:styleId="BalloonTextChar">
    <w:name w:val="Balloon Text Char"/>
    <w:basedOn w:val="DefaultParagraphFont"/>
    <w:link w:val="BalloonText"/>
    <w:uiPriority w:val="99"/>
    <w:semiHidden/>
    <w:rsid w:val="004D7B04"/>
    <w:rPr>
      <w:rFonts w:ascii="Tahoma" w:eastAsia="Times New Roman"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C08A8"/>
    <w:rPr>
      <w:color w:val="0000FF" w:themeColor="hyperlink"/>
      <w:u w:val="single"/>
    </w:rPr>
  </w:style>
  <w:style w:type="character" w:styleId="UnresolvedMention">
    <w:name w:val="Unresolved Mention"/>
    <w:basedOn w:val="DefaultParagraphFont"/>
    <w:uiPriority w:val="99"/>
    <w:semiHidden/>
    <w:unhideWhenUsed/>
    <w:rsid w:val="001C08A8"/>
    <w:rPr>
      <w:color w:val="605E5C"/>
      <w:shd w:val="clear" w:color="auto" w:fill="E1DFDD"/>
    </w:rPr>
  </w:style>
  <w:style w:type="paragraph" w:styleId="Revision">
    <w:name w:val="Revision"/>
    <w:hidden/>
    <w:uiPriority w:val="99"/>
    <w:semiHidden/>
    <w:rsid w:val="001C08A8"/>
    <w:pPr>
      <w:widowControl/>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guyenloananh88@gmail.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lV3yxIXLqIg/r6/6bp2P7MiXgA==">CgMxLjAaEgoBMBINCgsIB0IHEgVDYXJkbxoSCgExEg0KCwgHQgcSBUNhcmRvGhIKATISDQoLCAdCBxIFQ2FyZG8aEgoBMxINCgsIB0IHEgVDYXJkbxoSCgE0Eg0KCwgHQgcSBUNhcmRvGhIKATUSDQoLCAdCBxIFQ2FyZG8aEgoBNhINCgsIB0IHEgVDYXJkbxoSCgE3Eg0KCwgHQgcSBUNhcmRvGhIKATgSDQoLCAdCBxIFQ2FyZG8aEgoBORINCgsIB0IHEgVDYXJkbxoTCgIxMBINCgsIB0IHEgVDYXJkbxoTCgIxMRINCgsIB0IHEgVDYXJkbxoTCgIxMhINCgsIB0IHEgVDYXJkbzIOaC55ZW1nb2prenEzbm44AHIhMW5rTHZvaXFqQUVKYkg0NXlXNHA1TDNYbUhRMUphU2o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2600</Words>
  <Characters>14821</Characters>
  <Application>Microsoft Office Word</Application>
  <DocSecurity>0</DocSecurity>
  <Lines>123</Lines>
  <Paragraphs>34</Paragraphs>
  <ScaleCrop>false</ScaleCrop>
  <Company>Grizli777</Company>
  <LinksUpToDate>false</LinksUpToDate>
  <CharactersWithSpaces>17387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9</cp:revision>
  <dcterms:created xsi:type="dcterms:W3CDTF">2026-10-03T10:25:00Z</dcterms:created>
  <dcterms:modified xsi:type="dcterms:W3CDTF">2026-10-16T12:19:00Z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2026-07-21T00:00:00Z</vt:filetime>
  </property>
  <property fmtid="{D5CDD505-2E9C-101B-9397-08002B2CF9AE}" pid="4" name="Creator">
    <vt:lpwstr>Adobe InDesign 16.2 (Windows)</vt:lpwstr>
  </property>
  <property fmtid="{D5CDD505-2E9C-101B-9397-08002B2CF9AE}" pid="5" name="LastSaved">
    <vt:filetime>2026-07-21T00:00:00Z</vt:filetime>
  </property>
  <property fmtid="{D5CDD505-2E9C-101B-9397-08002B2CF9AE}" pid="6" name="Producer">
    <vt:lpwstr>Adobe PDF Library 15.0</vt:lpwstr>
  </property>
</Properties>
</file>