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AF64A" w14:textId="77777777" w:rsidR="003678AB" w:rsidRPr="00B57C5C" w:rsidRDefault="00442F77" w:rsidP="00147DF1">
      <w:pPr>
        <w:pStyle w:val="Heading1"/>
        <w:spacing w:before="40" w:after="40" w:line="280" w:lineRule="exact"/>
        <w:jc w:val="center"/>
        <w:rPr>
          <w:rFonts w:ascii="Times New Roman" w:eastAsia="Times New Roman" w:hAnsi="Times New Roman" w:cs="Times New Roman"/>
          <w:sz w:val="34"/>
          <w:szCs w:val="34"/>
        </w:rPr>
      </w:pPr>
      <w:bookmarkStart w:id="0" w:name="_uu5t5u3ml4k2" w:colFirst="0" w:colLast="0"/>
      <w:bookmarkEnd w:id="0"/>
      <w:r w:rsidRPr="00B57C5C">
        <w:rPr>
          <w:rFonts w:ascii="Times New Roman" w:eastAsia="Times New Roman" w:hAnsi="Times New Roman" w:cs="Times New Roman"/>
          <w:b/>
          <w:bCs/>
          <w:sz w:val="34"/>
          <w:szCs w:val="34"/>
        </w:rPr>
        <w:t xml:space="preserve">Năng lực truyền thông ứng phó sự cố an ninh mạng của doanh nghiệp nhỏ và vừa tại Việt Nam </w:t>
      </w:r>
    </w:p>
    <w:p w14:paraId="6D2756A9" w14:textId="77777777" w:rsidR="003678AB" w:rsidRPr="00B57C5C" w:rsidRDefault="00442F77" w:rsidP="00147DF1">
      <w:pPr>
        <w:spacing w:before="40" w:after="40" w:line="280" w:lineRule="exact"/>
        <w:jc w:val="center"/>
        <w:rPr>
          <w:rFonts w:ascii="Times New Roman" w:eastAsia="Times New Roman" w:hAnsi="Times New Roman" w:cs="Times New Roman"/>
          <w:b/>
          <w:bCs/>
          <w:sz w:val="24"/>
          <w:szCs w:val="24"/>
        </w:rPr>
      </w:pPr>
      <w:r w:rsidRPr="00B57C5C">
        <w:rPr>
          <w:rFonts w:ascii="Times New Roman" w:eastAsia="Times New Roman" w:hAnsi="Times New Roman" w:cs="Times New Roman"/>
          <w:b/>
          <w:bCs/>
          <w:sz w:val="24"/>
          <w:szCs w:val="24"/>
        </w:rPr>
        <w:t>Phạm Quỳnh Phương</w:t>
      </w:r>
    </w:p>
    <w:p w14:paraId="1101A97D" w14:textId="138E0071" w:rsidR="003678AB" w:rsidRPr="00B57C5C" w:rsidRDefault="00442F77" w:rsidP="00147DF1">
      <w:pPr>
        <w:spacing w:before="40" w:after="40" w:line="280" w:lineRule="exact"/>
        <w:jc w:val="center"/>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Viện Công nghệ và Kinh tế số, Đại học Bách </w:t>
      </w:r>
      <w:r w:rsidR="00147DF1" w:rsidRPr="00B57C5C">
        <w:rPr>
          <w:rFonts w:ascii="Times New Roman" w:eastAsia="Times New Roman" w:hAnsi="Times New Roman" w:cs="Times New Roman"/>
          <w:sz w:val="24"/>
          <w:szCs w:val="24"/>
        </w:rPr>
        <w:t>k</w:t>
      </w:r>
      <w:r w:rsidRPr="00B57C5C">
        <w:rPr>
          <w:rFonts w:ascii="Times New Roman" w:eastAsia="Times New Roman" w:hAnsi="Times New Roman" w:cs="Times New Roman"/>
          <w:sz w:val="24"/>
          <w:szCs w:val="24"/>
        </w:rPr>
        <w:t>hoa Hà Nội</w:t>
      </w:r>
    </w:p>
    <w:p w14:paraId="21088487" w14:textId="77777777" w:rsidR="00147DF1" w:rsidRPr="00B57C5C" w:rsidRDefault="00147DF1" w:rsidP="00147DF1">
      <w:pPr>
        <w:spacing w:before="40" w:after="40" w:line="280" w:lineRule="exact"/>
        <w:jc w:val="center"/>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Institute of Digital Technology and Digital Economy, Hanoi University of Science and Technology</w:t>
      </w:r>
    </w:p>
    <w:p w14:paraId="49E3E9F1" w14:textId="25F7E032" w:rsidR="003678AB" w:rsidRPr="00B57C5C" w:rsidRDefault="00147DF1" w:rsidP="00147DF1">
      <w:pPr>
        <w:spacing w:before="40" w:after="40" w:line="280" w:lineRule="exact"/>
        <w:jc w:val="center"/>
        <w:rPr>
          <w:rFonts w:ascii="Times New Roman" w:eastAsia="Times New Roman" w:hAnsi="Times New Roman" w:cs="Times New Roman"/>
          <w:sz w:val="24"/>
          <w:szCs w:val="24"/>
        </w:rPr>
      </w:pPr>
      <w:r w:rsidRPr="00B57C5C">
        <w:rPr>
          <w:rFonts w:ascii="Times New Roman" w:hAnsi="Times New Roman" w:cs="Times New Roman"/>
          <w:sz w:val="24"/>
          <w:szCs w:val="24"/>
        </w:rPr>
        <w:t xml:space="preserve">Email: </w:t>
      </w:r>
      <w:hyperlink r:id="rId4" w:history="1">
        <w:r w:rsidRPr="00B57C5C">
          <w:rPr>
            <w:rStyle w:val="Hyperlink"/>
            <w:rFonts w:ascii="Times New Roman" w:eastAsia="Times New Roman" w:hAnsi="Times New Roman" w:cs="Times New Roman"/>
            <w:sz w:val="24"/>
            <w:szCs w:val="24"/>
          </w:rPr>
          <w:t>phamquynhphuong01@gmail.com</w:t>
        </w:r>
      </w:hyperlink>
    </w:p>
    <w:p w14:paraId="0C7FFA6F" w14:textId="77777777" w:rsidR="00147DF1" w:rsidRPr="00B57C5C" w:rsidRDefault="00147DF1" w:rsidP="00147DF1">
      <w:pPr>
        <w:spacing w:before="40" w:after="40" w:line="280" w:lineRule="exact"/>
        <w:jc w:val="both"/>
        <w:rPr>
          <w:rFonts w:ascii="Times New Roman" w:eastAsia="Times New Roman" w:hAnsi="Times New Roman" w:cs="Times New Roman"/>
          <w:b/>
          <w:bCs/>
          <w:sz w:val="24"/>
          <w:szCs w:val="24"/>
        </w:rPr>
      </w:pPr>
    </w:p>
    <w:p w14:paraId="203FA380" w14:textId="77777777" w:rsidR="00147DF1" w:rsidRPr="00B57C5C" w:rsidRDefault="00147DF1" w:rsidP="00147DF1">
      <w:pPr>
        <w:spacing w:before="40" w:after="40" w:line="280" w:lineRule="exact"/>
        <w:jc w:val="both"/>
        <w:rPr>
          <w:rFonts w:ascii="Times New Roman" w:eastAsia="Times New Roman" w:hAnsi="Times New Roman" w:cs="Times New Roman"/>
          <w:b/>
          <w:bCs/>
          <w:sz w:val="24"/>
          <w:szCs w:val="24"/>
        </w:rPr>
      </w:pPr>
    </w:p>
    <w:p w14:paraId="1225572E" w14:textId="77777777" w:rsidR="00147DF1" w:rsidRPr="00B57C5C" w:rsidRDefault="00147DF1" w:rsidP="00147DF1">
      <w:pPr>
        <w:spacing w:before="40" w:after="40" w:line="280" w:lineRule="exact"/>
        <w:jc w:val="both"/>
        <w:rPr>
          <w:rFonts w:ascii="Times New Roman" w:eastAsia="Times New Roman" w:hAnsi="Times New Roman" w:cs="Times New Roman"/>
          <w:b/>
          <w:bCs/>
          <w:sz w:val="24"/>
          <w:szCs w:val="24"/>
        </w:rPr>
      </w:pPr>
    </w:p>
    <w:p w14:paraId="11F2D0C4" w14:textId="77777777" w:rsidR="00147DF1" w:rsidRPr="00B57C5C" w:rsidRDefault="00147DF1" w:rsidP="00147DF1">
      <w:pPr>
        <w:spacing w:before="40" w:after="40" w:line="280" w:lineRule="exact"/>
        <w:jc w:val="both"/>
        <w:rPr>
          <w:rFonts w:ascii="Times New Roman" w:eastAsia="Times New Roman" w:hAnsi="Times New Roman" w:cs="Times New Roman"/>
          <w:b/>
          <w:bCs/>
          <w:sz w:val="24"/>
          <w:szCs w:val="24"/>
        </w:rPr>
      </w:pPr>
    </w:p>
    <w:p w14:paraId="7B77D31C" w14:textId="77777777" w:rsidR="009339FE" w:rsidRPr="00B57C5C" w:rsidRDefault="009339FE" w:rsidP="009339FE">
      <w:pPr>
        <w:spacing w:before="40" w:after="40" w:line="280" w:lineRule="exact"/>
        <w:jc w:val="both"/>
        <w:rPr>
          <w:rFonts w:ascii="Times New Roman" w:eastAsia="Times New Roman" w:hAnsi="Times New Roman" w:cs="Times New Roman"/>
          <w:b/>
          <w:bCs/>
          <w:sz w:val="24"/>
          <w:szCs w:val="24"/>
        </w:rPr>
      </w:pPr>
      <w:r w:rsidRPr="00B57C5C">
        <w:rPr>
          <w:rFonts w:ascii="Times New Roman" w:eastAsia="Times New Roman" w:hAnsi="Times New Roman" w:cs="Times New Roman"/>
          <w:b/>
          <w:bCs/>
          <w:sz w:val="24"/>
          <w:szCs w:val="24"/>
        </w:rPr>
        <w:t>Ngày nhận bài: 4/8/2026</w:t>
      </w:r>
    </w:p>
    <w:p w14:paraId="3EEAC871" w14:textId="77777777" w:rsidR="009339FE" w:rsidRPr="00B57C5C" w:rsidRDefault="009339FE" w:rsidP="009339FE">
      <w:pPr>
        <w:spacing w:before="40" w:after="40" w:line="280" w:lineRule="exact"/>
        <w:jc w:val="both"/>
        <w:rPr>
          <w:rFonts w:ascii="Times New Roman" w:eastAsia="Times New Roman" w:hAnsi="Times New Roman" w:cs="Times New Roman"/>
          <w:b/>
          <w:bCs/>
          <w:sz w:val="24"/>
          <w:szCs w:val="24"/>
        </w:rPr>
      </w:pPr>
      <w:r w:rsidRPr="00B57C5C">
        <w:rPr>
          <w:rFonts w:ascii="Times New Roman" w:eastAsia="Times New Roman" w:hAnsi="Times New Roman" w:cs="Times New Roman"/>
          <w:b/>
          <w:bCs/>
          <w:sz w:val="24"/>
          <w:szCs w:val="24"/>
        </w:rPr>
        <w:t>Ngày sửa bài: 21/8/2026</w:t>
      </w:r>
    </w:p>
    <w:p w14:paraId="41E0CF70" w14:textId="501866D9" w:rsidR="00147DF1" w:rsidRPr="00B57C5C" w:rsidRDefault="009339FE" w:rsidP="009339FE">
      <w:pPr>
        <w:spacing w:before="40" w:after="40" w:line="280" w:lineRule="exact"/>
        <w:jc w:val="both"/>
        <w:rPr>
          <w:rFonts w:ascii="Times New Roman" w:eastAsia="Times New Roman" w:hAnsi="Times New Roman" w:cs="Times New Roman"/>
          <w:b/>
          <w:bCs/>
          <w:sz w:val="24"/>
          <w:szCs w:val="24"/>
        </w:rPr>
      </w:pPr>
      <w:r w:rsidRPr="00B57C5C">
        <w:rPr>
          <w:rFonts w:ascii="Times New Roman" w:eastAsia="Times New Roman" w:hAnsi="Times New Roman" w:cs="Times New Roman"/>
          <w:b/>
          <w:bCs/>
          <w:sz w:val="24"/>
          <w:szCs w:val="24"/>
        </w:rPr>
        <w:t>Ngày duyệt đăng bài: 4/9/2026</w:t>
      </w:r>
    </w:p>
    <w:p w14:paraId="44ED567E" w14:textId="2B3F9917" w:rsidR="003678AB" w:rsidRPr="00B57C5C" w:rsidRDefault="00442F77" w:rsidP="00147DF1">
      <w:pPr>
        <w:spacing w:before="40" w:after="40" w:line="280" w:lineRule="exact"/>
        <w:jc w:val="both"/>
        <w:rPr>
          <w:rFonts w:ascii="Times New Roman" w:eastAsia="Times New Roman" w:hAnsi="Times New Roman" w:cs="Times New Roman"/>
          <w:b/>
          <w:bCs/>
          <w:sz w:val="24"/>
          <w:szCs w:val="24"/>
        </w:rPr>
      </w:pPr>
      <w:r w:rsidRPr="00B57C5C">
        <w:rPr>
          <w:rFonts w:ascii="Times New Roman" w:eastAsia="Times New Roman" w:hAnsi="Times New Roman" w:cs="Times New Roman"/>
          <w:b/>
          <w:bCs/>
          <w:sz w:val="24"/>
          <w:szCs w:val="24"/>
        </w:rPr>
        <w:t>Tóm tắt</w:t>
      </w:r>
      <w:r w:rsidR="00147DF1" w:rsidRPr="00B57C5C">
        <w:rPr>
          <w:rFonts w:ascii="Times New Roman" w:eastAsia="Times New Roman" w:hAnsi="Times New Roman" w:cs="Times New Roman"/>
          <w:b/>
          <w:bCs/>
          <w:sz w:val="24"/>
          <w:szCs w:val="24"/>
        </w:rPr>
        <w:t>:</w:t>
      </w:r>
    </w:p>
    <w:p w14:paraId="601BF26B" w14:textId="6880FEE7" w:rsidR="003678AB" w:rsidRPr="00B57C5C" w:rsidRDefault="00442F77" w:rsidP="00147DF1">
      <w:pPr>
        <w:spacing w:before="40" w:after="40" w:line="280" w:lineRule="exact"/>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Bài báo phân tích năng lực truyền thông ứng phó sự cố an ninh mạng của doanh nghiệp nhỏ và vừa (DNNVV) tại Việt Nam bằng phương pháp nghiên cứu tài liệu và tổng hợp dữ liệu thứ cấp. Kết quả chỉ ra</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khoảng trống giữa năng lực xử lý kỹ thuật và năng lực quản trị thông tin về sự cố, thể hiện qua </w:t>
      </w:r>
      <w:r w:rsidR="002972BD" w:rsidRPr="00B57C5C">
        <w:rPr>
          <w:rFonts w:ascii="Times New Roman" w:eastAsia="Times New Roman" w:hAnsi="Times New Roman" w:cs="Times New Roman"/>
          <w:sz w:val="24"/>
          <w:szCs w:val="24"/>
        </w:rPr>
        <w:t xml:space="preserve">4 </w:t>
      </w:r>
      <w:r w:rsidR="00FE40A2" w:rsidRPr="00B57C5C">
        <w:rPr>
          <w:rFonts w:ascii="Times New Roman" w:eastAsia="Times New Roman" w:hAnsi="Times New Roman" w:cs="Times New Roman"/>
          <w:sz w:val="24"/>
          <w:szCs w:val="24"/>
        </w:rPr>
        <w:t>nhóm thách thức</w:t>
      </w:r>
      <w:r w:rsidRPr="00B57C5C">
        <w:rPr>
          <w:rFonts w:ascii="Times New Roman" w:eastAsia="Times New Roman" w:hAnsi="Times New Roman" w:cs="Times New Roman"/>
          <w:sz w:val="24"/>
          <w:szCs w:val="24"/>
        </w:rPr>
        <w:t xml:space="preserve">: tốc độ và độ chắc chắn của thông tin; minh bạch và danh tiếng; phân tán trách nhiệm với nhà cung cấp công nghệ; và khác biệt nhu cầu thông tin giữa các nhóm liên quan. Đóng góp của bài viết là chuyển trọng tâm nghiên cứu từ rào cản kỹ thuật sang năng lực diễn giải và điều phối thông tin, đồng thời đề xuất quy trình truyền thông </w:t>
      </w:r>
      <w:r w:rsidR="00B35B06" w:rsidRPr="00B57C5C">
        <w:rPr>
          <w:rFonts w:ascii="Times New Roman" w:eastAsia="Times New Roman" w:hAnsi="Times New Roman" w:cs="Times New Roman"/>
          <w:sz w:val="24"/>
          <w:szCs w:val="24"/>
        </w:rPr>
        <w:t xml:space="preserve">5 </w:t>
      </w:r>
      <w:r w:rsidRPr="00B57C5C">
        <w:rPr>
          <w:rFonts w:ascii="Times New Roman" w:eastAsia="Times New Roman" w:hAnsi="Times New Roman" w:cs="Times New Roman"/>
          <w:sz w:val="24"/>
          <w:szCs w:val="24"/>
        </w:rPr>
        <w:t>bước gắn với nghĩa vụ theo Luật Bảo vệ dữ liệu cá nhân 2025, phù hợp với nguồn lực hạn chế của DNNVV.</w:t>
      </w:r>
    </w:p>
    <w:p w14:paraId="2B2FDA20" w14:textId="47AA4DEF" w:rsidR="003678AB" w:rsidRPr="00B57C5C" w:rsidRDefault="00442F77" w:rsidP="00147DF1">
      <w:pPr>
        <w:spacing w:before="40" w:after="40" w:line="280" w:lineRule="exact"/>
        <w:jc w:val="both"/>
        <w:rPr>
          <w:rFonts w:ascii="Times New Roman" w:eastAsia="Times New Roman" w:hAnsi="Times New Roman" w:cs="Times New Roman"/>
          <w:sz w:val="24"/>
          <w:szCs w:val="24"/>
        </w:rPr>
      </w:pPr>
      <w:r w:rsidRPr="00B57C5C">
        <w:rPr>
          <w:rFonts w:ascii="Times New Roman" w:eastAsia="Times New Roman" w:hAnsi="Times New Roman" w:cs="Times New Roman"/>
          <w:b/>
          <w:bCs/>
          <w:sz w:val="24"/>
          <w:szCs w:val="24"/>
        </w:rPr>
        <w:t>Từ khóa:</w:t>
      </w:r>
      <w:r w:rsidRPr="00B57C5C">
        <w:rPr>
          <w:rFonts w:ascii="Times New Roman" w:eastAsia="Times New Roman" w:hAnsi="Times New Roman" w:cs="Times New Roman"/>
          <w:sz w:val="24"/>
          <w:szCs w:val="24"/>
        </w:rPr>
        <w:t xml:space="preserve"> an ninh mạng, truyền thông khủng hoảng, doanh nghiệp nhỏ và vừa, sự cố an ninh mạng, chuyển đổi số</w:t>
      </w:r>
      <w:r w:rsidR="00147DF1" w:rsidRPr="00B57C5C">
        <w:rPr>
          <w:rFonts w:ascii="Times New Roman" w:eastAsia="Times New Roman" w:hAnsi="Times New Roman" w:cs="Times New Roman"/>
          <w:sz w:val="24"/>
          <w:szCs w:val="24"/>
        </w:rPr>
        <w:t xml:space="preserve"> </w:t>
      </w:r>
    </w:p>
    <w:p w14:paraId="7CC53F0B" w14:textId="77777777" w:rsidR="00147DF1" w:rsidRPr="00B57C5C" w:rsidRDefault="00147DF1" w:rsidP="00147DF1">
      <w:pPr>
        <w:spacing w:before="40" w:after="40" w:line="280" w:lineRule="exact"/>
        <w:jc w:val="both"/>
        <w:rPr>
          <w:rFonts w:ascii="Times New Roman" w:eastAsia="Times New Roman" w:hAnsi="Times New Roman" w:cs="Times New Roman"/>
          <w:sz w:val="24"/>
          <w:szCs w:val="24"/>
        </w:rPr>
      </w:pPr>
    </w:p>
    <w:p w14:paraId="2B2D7337" w14:textId="56F5B290" w:rsidR="00561E53" w:rsidRPr="00B57C5C" w:rsidRDefault="00561E53" w:rsidP="00147DF1">
      <w:pPr>
        <w:pStyle w:val="Heading1"/>
        <w:spacing w:before="40" w:after="40" w:line="280" w:lineRule="exact"/>
        <w:jc w:val="center"/>
        <w:rPr>
          <w:rFonts w:ascii="Times New Roman" w:eastAsia="Times New Roman" w:hAnsi="Times New Roman" w:cs="Times New Roman"/>
          <w:sz w:val="24"/>
          <w:szCs w:val="24"/>
        </w:rPr>
      </w:pPr>
      <w:r w:rsidRPr="00B57C5C">
        <w:rPr>
          <w:rFonts w:ascii="Times New Roman" w:eastAsia="Times New Roman" w:hAnsi="Times New Roman" w:cs="Times New Roman"/>
          <w:b/>
          <w:bCs/>
          <w:sz w:val="24"/>
          <w:szCs w:val="24"/>
        </w:rPr>
        <w:t>Cybersecurity incident communication capabilities of small and medium-sized enterprises in Vietnam</w:t>
      </w:r>
    </w:p>
    <w:p w14:paraId="10F94910" w14:textId="77777777" w:rsidR="00FE1B19" w:rsidRPr="00B57C5C" w:rsidRDefault="00FE1B19" w:rsidP="00B57C5C">
      <w:pPr>
        <w:pStyle w:val="Heading1"/>
        <w:spacing w:before="40" w:after="40" w:line="280" w:lineRule="exact"/>
        <w:jc w:val="both"/>
        <w:rPr>
          <w:rFonts w:ascii="Times New Roman" w:eastAsia="Times New Roman" w:hAnsi="Times New Roman" w:cs="Times New Roman"/>
          <w:b/>
          <w:bCs/>
          <w:sz w:val="24"/>
          <w:szCs w:val="24"/>
        </w:rPr>
      </w:pPr>
      <w:r w:rsidRPr="00B57C5C">
        <w:rPr>
          <w:rFonts w:ascii="Times New Roman" w:eastAsia="Times New Roman" w:hAnsi="Times New Roman" w:cs="Times New Roman"/>
          <w:b/>
          <w:bCs/>
          <w:sz w:val="24"/>
          <w:szCs w:val="24"/>
        </w:rPr>
        <w:t>Abstract:</w:t>
      </w:r>
    </w:p>
    <w:p w14:paraId="46749406" w14:textId="293F1ECB" w:rsidR="00FE1B19" w:rsidRPr="00B57C5C" w:rsidRDefault="00FE1B19" w:rsidP="00B57C5C">
      <w:pPr>
        <w:pStyle w:val="Heading1"/>
        <w:spacing w:before="40" w:after="40" w:line="280" w:lineRule="exact"/>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This </w:t>
      </w:r>
      <w:r w:rsidR="00183700" w:rsidRPr="00B57C5C">
        <w:rPr>
          <w:rFonts w:ascii="Times New Roman" w:eastAsia="Times New Roman" w:hAnsi="Times New Roman" w:cs="Times New Roman"/>
          <w:sz w:val="24"/>
          <w:szCs w:val="24"/>
        </w:rPr>
        <w:t xml:space="preserve">study </w:t>
      </w:r>
      <w:r w:rsidRPr="00B57C5C">
        <w:rPr>
          <w:rFonts w:ascii="Times New Roman" w:eastAsia="Times New Roman" w:hAnsi="Times New Roman" w:cs="Times New Roman"/>
          <w:sz w:val="24"/>
          <w:szCs w:val="24"/>
        </w:rPr>
        <w:t xml:space="preserve">examines the cybersecurity incident communication capabilities of small and medium-sized enterprises (SMEs) in Vietnam through a literature review and synthesis of secondary data. The findings identify a gap between technical incident-response capacity and the governance of incident-related information, reflected in four major challenges: the trade-off between speed and certainty of information; transparency and reputation; fragmented responsibility involving technology providers; and differing information needs among stakeholder groups. The </w:t>
      </w:r>
      <w:r w:rsidR="006919C1" w:rsidRPr="00B57C5C">
        <w:rPr>
          <w:rFonts w:ascii="Times New Roman" w:eastAsia="Times New Roman" w:hAnsi="Times New Roman" w:cs="Times New Roman"/>
          <w:sz w:val="24"/>
          <w:szCs w:val="24"/>
        </w:rPr>
        <w:t>study</w:t>
      </w:r>
      <w:r w:rsidRPr="00B57C5C">
        <w:rPr>
          <w:rFonts w:ascii="Times New Roman" w:eastAsia="Times New Roman" w:hAnsi="Times New Roman" w:cs="Times New Roman"/>
          <w:sz w:val="24"/>
          <w:szCs w:val="24"/>
        </w:rPr>
        <w:t xml:space="preserve"> contributes by shifting the analytical focus from technical barriers toward the capacity to interpret and coordinate information. It also proposes a five-step communication process aligned with the obligations under Vietnam’s 2025 Personal Data Protection Law and designed to be feasible under the resource constraints of SMEs.</w:t>
      </w:r>
    </w:p>
    <w:p w14:paraId="65CFBCA3" w14:textId="3D9147EF" w:rsidR="003678AB" w:rsidRPr="00B57C5C" w:rsidRDefault="00FE1B19" w:rsidP="00611D78">
      <w:pPr>
        <w:spacing w:before="40" w:after="40" w:line="280" w:lineRule="exact"/>
        <w:jc w:val="both"/>
        <w:rPr>
          <w:rFonts w:ascii="Times New Roman" w:eastAsia="Times New Roman" w:hAnsi="Times New Roman" w:cs="Times New Roman"/>
          <w:sz w:val="24"/>
          <w:szCs w:val="24"/>
        </w:rPr>
      </w:pPr>
      <w:r w:rsidRPr="00B57C5C">
        <w:rPr>
          <w:rFonts w:ascii="Times New Roman" w:eastAsia="Times New Roman" w:hAnsi="Times New Roman" w:cs="Times New Roman"/>
          <w:b/>
          <w:bCs/>
          <w:sz w:val="24"/>
          <w:szCs w:val="24"/>
        </w:rPr>
        <w:t xml:space="preserve">Keywords: </w:t>
      </w:r>
      <w:r w:rsidRPr="00B57C5C">
        <w:rPr>
          <w:rFonts w:ascii="Times New Roman" w:eastAsia="Times New Roman" w:hAnsi="Times New Roman" w:cs="Times New Roman"/>
          <w:sz w:val="24"/>
          <w:szCs w:val="24"/>
        </w:rPr>
        <w:t>cybersecurity, crisis communication, small and medium-sized enterprises, cybersecurity incidents, digital transformation</w:t>
      </w:r>
    </w:p>
    <w:p w14:paraId="6D84B033" w14:textId="77777777" w:rsidR="003678AB" w:rsidRPr="00B57C5C" w:rsidRDefault="00442F77" w:rsidP="00611D78">
      <w:pPr>
        <w:spacing w:before="40" w:after="40" w:line="280" w:lineRule="exact"/>
        <w:jc w:val="both"/>
        <w:rPr>
          <w:rFonts w:ascii="Times New Roman" w:eastAsia="Times New Roman" w:hAnsi="Times New Roman" w:cs="Times New Roman"/>
          <w:sz w:val="24"/>
          <w:szCs w:val="24"/>
        </w:rPr>
      </w:pPr>
      <w:r w:rsidRPr="00B57C5C">
        <w:rPr>
          <w:rFonts w:ascii="Times New Roman" w:hAnsi="Times New Roman" w:cs="Times New Roman"/>
          <w:sz w:val="24"/>
          <w:szCs w:val="24"/>
        </w:rPr>
        <w:br w:type="page"/>
      </w:r>
    </w:p>
    <w:p w14:paraId="3D18BD18" w14:textId="77777777" w:rsidR="003678AB" w:rsidRPr="00B57C5C" w:rsidRDefault="00442F77" w:rsidP="00147DF1">
      <w:pPr>
        <w:spacing w:before="40" w:after="40" w:line="280" w:lineRule="exact"/>
        <w:ind w:firstLine="284"/>
        <w:jc w:val="both"/>
        <w:rPr>
          <w:rFonts w:ascii="Times New Roman" w:eastAsia="Times New Roman" w:hAnsi="Times New Roman" w:cs="Times New Roman"/>
          <w:b/>
          <w:bCs/>
          <w:sz w:val="24"/>
          <w:szCs w:val="24"/>
        </w:rPr>
      </w:pPr>
      <w:bookmarkStart w:id="1" w:name="_b2fgkergcx1x" w:colFirst="0" w:colLast="0"/>
      <w:bookmarkEnd w:id="1"/>
      <w:r w:rsidRPr="00B57C5C">
        <w:rPr>
          <w:rFonts w:ascii="Times New Roman" w:eastAsia="Times New Roman" w:hAnsi="Times New Roman" w:cs="Times New Roman"/>
          <w:b/>
          <w:bCs/>
          <w:sz w:val="24"/>
          <w:szCs w:val="24"/>
        </w:rPr>
        <w:lastRenderedPageBreak/>
        <w:t>1. Đặt vấn đề</w:t>
      </w:r>
    </w:p>
    <w:p w14:paraId="791B1B41"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Chuyển đổi số đang tái cấu trúc cách doanh nghiệp nhỏ và vừa (DNNVV) tổ chức hoạt động và quản trị thông tin. Các nền tảng số giúp DNNVV tiếp cận những năng lực công nghệ trước đây chủ yếu dành cho doanh nghiệp quy mô lớn, nhưng đồng thời làm thay đổi bản chất rủi ro: khi ngày càng nhiều quy trình kinh doanh được số hóa, tính liên tục của hoạt động phụ thuộc trực tiếp vào tính sẵn sàng, toàn vẹn và bảo mật của hệ thống thông tin. OECD (2021) chỉ ra rằng số hóa làm gia tăng mức độ phơi nhiễm của DNNVV trước rủi ro an ninh số, trong khi khả năng quản trị và kiểm soát các rủi ro này thường kém toàn diện hơn so với doanh nghiệp lớn.</w:t>
      </w:r>
    </w:p>
    <w:p w14:paraId="1FF18F24" w14:textId="077590EA"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Sự bất cân xứng giữa mức độ phụ thuộc vào công nghệ và năng lực kiểm soát rủi ro đặc biệt đáng chú ý trong bối cảnh Việt Nam. Theo Hiệp hội An ninh mạng Quốc gia (2025), trong năm 2025</w:t>
      </w:r>
      <w:r w:rsidR="00B35B06"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các hệ thống thông tin tại Việt Nam đối mặt với khoảng 552.000 cuộc tấn công mạng; 52,30% cơ quan và doanh nghiệp được khảo sát cho biết đã chịu tổn hại do tấn công mạng, tăng từ 46,15% năm 2024. Số liệu này không tách riêng DNNVV nên không thể suy luận trực tiếp tỷ lệ doanh nghiệp nhỏ và vừa bị ảnh hưởng, nhưng cho thấy rủi ro an ninh mạng đã trở thành điều kiện thường trực của môi trường kinh doanh số.</w:t>
      </w:r>
    </w:p>
    <w:p w14:paraId="110D1BBE" w14:textId="098171D8" w:rsidR="003678AB" w:rsidRPr="00B57C5C" w:rsidRDefault="00F35853"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Trong bối cảnh đó, cách doanh nghiệp truyền thông về sự cố có thể ảnh hưởng đáng kể đến mức độ thiệt hại. Theo Thuyết truyền thông khủng hoảng tình huống (Situational Crisis Communication Theory </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SCCT), tổn hại danh tiếng phụ thuộc không chỉ vào sự kiện mà còn vào mức độ trách nhiệm các bên liên quan quy cho tổ chức và cách tổ chức phản ứng (Coombs, 2007). Một doanh nghiệp ban đầu có thể được xem là nạn nhân của tấn công mạng, nhưng nhận thức này có thể thay đổi nếu doanh nghiệp bỏ qua cảnh báo, phản ứng chậm hoặc không hỗ trợ người bị ảnh hưởng.</w:t>
      </w:r>
      <w:r w:rsidR="002972BD" w:rsidRPr="00B57C5C">
        <w:rPr>
          <w:rFonts w:ascii="Times New Roman" w:eastAsia="Times New Roman" w:hAnsi="Times New Roman" w:cs="Times New Roman"/>
          <w:sz w:val="24"/>
          <w:szCs w:val="24"/>
        </w:rPr>
        <w:t xml:space="preserve"> </w:t>
      </w:r>
      <w:r w:rsidR="00442F77" w:rsidRPr="00B57C5C">
        <w:rPr>
          <w:rFonts w:ascii="Times New Roman" w:eastAsia="Times New Roman" w:hAnsi="Times New Roman" w:cs="Times New Roman"/>
          <w:sz w:val="24"/>
          <w:szCs w:val="24"/>
        </w:rPr>
        <w:t>Truyền thông vì vậy là một thành phần không tách rời của năng lực ứng phó.</w:t>
      </w:r>
    </w:p>
    <w:p w14:paraId="3EEDFC53" w14:textId="45F93306"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Đối với DNNVV, bài toán khó hơn do hạn chế đồng thời về nhân lực, ngân sách, chuyên môn và cơ cấu quản trị: nhiều doanh nghiệp không có chức năng chuyên biệt về an ninh mạng, pháp chế và truyền thông, đồng thời phụ thuộc đáng kể vào nhà cung cấp công nghệ bên ngoài. Bài viết tập trung trả lời </w:t>
      </w:r>
      <w:r w:rsidR="002972BD" w:rsidRPr="00B57C5C">
        <w:rPr>
          <w:rFonts w:ascii="Times New Roman" w:eastAsia="Times New Roman" w:hAnsi="Times New Roman" w:cs="Times New Roman"/>
          <w:sz w:val="24"/>
          <w:szCs w:val="24"/>
        </w:rPr>
        <w:t xml:space="preserve">2 </w:t>
      </w:r>
      <w:r w:rsidRPr="00B57C5C">
        <w:rPr>
          <w:rFonts w:ascii="Times New Roman" w:eastAsia="Times New Roman" w:hAnsi="Times New Roman" w:cs="Times New Roman"/>
          <w:sz w:val="24"/>
          <w:szCs w:val="24"/>
        </w:rPr>
        <w:t>câu hỏi nghiên cứu: (i) đặc điểm nào của DNNVV tạo ra thách thức đặc thù đối với truyền thông sự cố an ninh mạng; và (ii) DNNVV có thể tổ chức năng lực truyền thông như thế nào để bảo đảm kịp thời, nhất quán và khả thi trong điều kiện nguồn lực hạn chế?</w:t>
      </w:r>
    </w:p>
    <w:p w14:paraId="52E3112C" w14:textId="3EA20CDF" w:rsidR="003678AB" w:rsidRPr="00B57C5C" w:rsidRDefault="00147DF1"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hAnsi="Times New Roman" w:cs="Times New Roman"/>
          <w:b/>
          <w:bCs/>
          <w:sz w:val="24"/>
          <w:szCs w:val="24"/>
        </w:rPr>
        <w:t>2</w:t>
      </w:r>
      <w:r w:rsidR="00442F77" w:rsidRPr="00B57C5C">
        <w:rPr>
          <w:rFonts w:ascii="Times New Roman" w:eastAsia="Times New Roman" w:hAnsi="Times New Roman" w:cs="Times New Roman"/>
          <w:b/>
          <w:bCs/>
          <w:sz w:val="24"/>
          <w:szCs w:val="24"/>
        </w:rPr>
        <w:t>. Tổng quan nghiên cứu và cơ sở lý thuyết</w:t>
      </w:r>
    </w:p>
    <w:p w14:paraId="6C169754"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2.1. Tổng quan nghiên cứu và khoảng trống nghiên cứu</w:t>
      </w:r>
    </w:p>
    <w:p w14:paraId="39B86342" w14:textId="042758EE"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Các nghiên cứu liên quan đến chủ đề này hình thành </w:t>
      </w:r>
      <w:r w:rsidR="002972BD" w:rsidRPr="00B57C5C">
        <w:rPr>
          <w:rFonts w:ascii="Times New Roman" w:eastAsia="Times New Roman" w:hAnsi="Times New Roman" w:cs="Times New Roman"/>
          <w:sz w:val="24"/>
          <w:szCs w:val="24"/>
        </w:rPr>
        <w:t xml:space="preserve">2 </w:t>
      </w:r>
      <w:r w:rsidRPr="00B57C5C">
        <w:rPr>
          <w:rFonts w:ascii="Times New Roman" w:eastAsia="Times New Roman" w:hAnsi="Times New Roman" w:cs="Times New Roman"/>
          <w:sz w:val="24"/>
          <w:szCs w:val="24"/>
        </w:rPr>
        <w:t xml:space="preserve">dòng tương đối tách biệt. </w:t>
      </w:r>
      <w:r w:rsidR="00F35853" w:rsidRPr="00B57C5C">
        <w:rPr>
          <w:rFonts w:ascii="Times New Roman" w:eastAsia="Times New Roman" w:hAnsi="Times New Roman" w:cs="Times New Roman"/>
          <w:sz w:val="24"/>
          <w:szCs w:val="24"/>
        </w:rPr>
        <w:t>Dòng thứ nhất tập trung vào truyền thông khủng hoảng và vi phạm dữ liệu, chủ yếu dựa trên các doanh nghiệp lớn tại thị trường phát triển. Từ nền tảng SCCT của Coombs (2007), các nghiên cứu mở rộng sang cách tổ chức thừa nhận trách nhiệm, thể hiện sự đồng cảm, trấn an hoặc bồi thường (Kim &amp; Lee, 2021), vai trò của quan hệ với các bên liên quan trước khủng hoảng (Diers-Lawson et al., 2021) và tác động của thay đổi tổ chức đối với phục hồi niềm tin (Choi et al., 2025). Tuy nhiên, các nghiên cứu này thường giả định sự tồn tại của các bộ phận truyền thông, pháp chế và an ninh chuyên trách, điều ít phù hợp với DNNVV.</w:t>
      </w:r>
    </w:p>
    <w:p w14:paraId="71C4AA9F" w14:textId="7A192BF4"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Dòng thứ hai tập trung vào an ninh mạng của DNNVV, đặc biệt là các rào cản trong triển khai và ứng phó kỹ thuật. Những hạn chế phổ biến bao gồm thiếu nhận thức, chuyên môn và nguồn lực tài chính (Rombaldo Junior</w:t>
      </w:r>
      <w:r w:rsidR="000A57D3" w:rsidRPr="00B57C5C">
        <w:rPr>
          <w:rFonts w:ascii="Times New Roman" w:eastAsia="Times New Roman" w:hAnsi="Times New Roman" w:cs="Times New Roman"/>
          <w:sz w:val="24"/>
          <w:szCs w:val="24"/>
        </w:rPr>
        <w:t xml:space="preserve"> et al.</w:t>
      </w:r>
      <w:r w:rsidRPr="00B57C5C">
        <w:rPr>
          <w:rFonts w:ascii="Times New Roman" w:eastAsia="Times New Roman" w:hAnsi="Times New Roman" w:cs="Times New Roman"/>
          <w:sz w:val="24"/>
          <w:szCs w:val="24"/>
        </w:rPr>
        <w:t>, 2023), cùng với sự phụ thuộc vào bên thứ ba và thiếu quy trình phát hiện xâm nhập (OECD, 2021). Bên cạnh đó, nhận thức về trách nhiệm giữa DNNVV và nhà cung cấp dịch vụ cũng không phải lúc nào cũng thống nhất (Hoong</w:t>
      </w:r>
      <w:r w:rsidR="000A57D3" w:rsidRPr="00B57C5C">
        <w:rPr>
          <w:rFonts w:ascii="Times New Roman" w:eastAsia="Times New Roman" w:hAnsi="Times New Roman" w:cs="Times New Roman"/>
          <w:sz w:val="24"/>
          <w:szCs w:val="24"/>
        </w:rPr>
        <w:t xml:space="preserve"> et al.,</w:t>
      </w:r>
      <w:r w:rsidRPr="00B57C5C">
        <w:rPr>
          <w:rFonts w:ascii="Times New Roman" w:eastAsia="Times New Roman" w:hAnsi="Times New Roman" w:cs="Times New Roman"/>
          <w:sz w:val="24"/>
          <w:szCs w:val="24"/>
        </w:rPr>
        <w:t xml:space="preserve"> 2024). Nhìn chung, dòng nghiên cứu này giải thích rõ vì sao DNNVV gặp khó khăn trong phòng ngừa và xử lý sự cố, nhưng ít đề cập đến cách doanh nghiệp nên truyền thông với các bên liên quan sau khi sự cố xảy ra.</w:t>
      </w:r>
    </w:p>
    <w:p w14:paraId="20D29930" w14:textId="748B5D94" w:rsidR="003678AB" w:rsidRPr="00B57C5C" w:rsidRDefault="002972BD"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lastRenderedPageBreak/>
        <w:t xml:space="preserve">Khoảng trống nghiên cứu hiện nay là việc chưa làm rõ đầy đủ cách thức DNNVV thực hiện truyền thông khi xảy ra sự cố an ninh mạng trong điều kiện hạn chế về nguồn lực. </w:t>
      </w:r>
      <w:r w:rsidR="00442F77" w:rsidRPr="00B57C5C">
        <w:rPr>
          <w:rFonts w:ascii="Times New Roman" w:eastAsia="Times New Roman" w:hAnsi="Times New Roman" w:cs="Times New Roman"/>
          <w:sz w:val="24"/>
          <w:szCs w:val="24"/>
        </w:rPr>
        <w:t>Vấn đề này đặc biệt đáng chú ý tại Việt Nam, nơi quá trình chuyển đổi số diễn ra nhanh và nghĩa vụ thông báo vi phạm dữ liệu mới được luật hóa. Vì vậy, bài viết tập trung phân tích những thách thức truyền thông đặc thù của DNNVV và đề xuất một quy trình phù hợp với điều kiện nguồn lực cũng như yêu cầu pháp lý tại Việt Nam.</w:t>
      </w:r>
    </w:p>
    <w:p w14:paraId="4A4B90FE"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2.2. Cơ sở lý thuyết</w:t>
      </w:r>
    </w:p>
    <w:p w14:paraId="50062FD9" w14:textId="400302EF"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Sự cố an ninh mạng cần được nhìn nhận ở cấp độ tổ chức, không chỉ ở cấp độ kỹ thuật. OECD (2021) cho rằng</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sự cố an ninh số có thể ảnh hưởng đến tính sẵn sàng, toàn vẹn hoặc bảo mật của dữ liệu và hệ thống, kéo theo thiệt hại tài chính, gián đoạn kinh doanh, xâm phạm quyền riêng tư và tổn hại danh tiếng. Tổ chức vì vậy phải xác định ai bị ảnh hưởng, trách nhiệm thuộc về đâu và thông tin nào cần được chia sẻ.</w:t>
      </w:r>
    </w:p>
    <w:p w14:paraId="18666DED" w14:textId="2191DCAC"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NIST Cybersecurity Framework 2.0 </w:t>
      </w:r>
      <w:r w:rsidR="00C81819" w:rsidRPr="00B57C5C">
        <w:rPr>
          <w:rFonts w:ascii="Times New Roman" w:eastAsia="Times New Roman" w:hAnsi="Times New Roman" w:cs="Times New Roman"/>
          <w:sz w:val="24"/>
          <w:szCs w:val="24"/>
        </w:rPr>
        <w:t>cấu trúc quản trị rủi ro an ninh mạng theo</w:t>
      </w:r>
      <w:r w:rsidRPr="00B57C5C">
        <w:rPr>
          <w:rFonts w:ascii="Times New Roman" w:eastAsia="Times New Roman" w:hAnsi="Times New Roman" w:cs="Times New Roman"/>
          <w:sz w:val="24"/>
          <w:szCs w:val="24"/>
        </w:rPr>
        <w:t xml:space="preserve"> </w:t>
      </w:r>
      <w:r w:rsidR="002972BD" w:rsidRPr="00B57C5C">
        <w:rPr>
          <w:rFonts w:ascii="Times New Roman" w:eastAsia="Times New Roman" w:hAnsi="Times New Roman" w:cs="Times New Roman"/>
          <w:sz w:val="24"/>
          <w:szCs w:val="24"/>
        </w:rPr>
        <w:t xml:space="preserve">6 </w:t>
      </w:r>
      <w:r w:rsidRPr="00B57C5C">
        <w:rPr>
          <w:rFonts w:ascii="Times New Roman" w:eastAsia="Times New Roman" w:hAnsi="Times New Roman" w:cs="Times New Roman"/>
          <w:sz w:val="24"/>
          <w:szCs w:val="24"/>
        </w:rPr>
        <w:t>chức năng Govern, Identify, Protect, Detect, Respond và Recover, đồng thời nhấn mạnh giao tiếp về rủi ro giữa lãnh đạo, nhóm chuyên môn, đối tác và bên liên quan (Pascoe</w:t>
      </w:r>
      <w:r w:rsidR="00C81819" w:rsidRPr="00B57C5C">
        <w:rPr>
          <w:rFonts w:ascii="Times New Roman" w:eastAsia="Times New Roman" w:hAnsi="Times New Roman" w:cs="Times New Roman"/>
          <w:sz w:val="24"/>
          <w:szCs w:val="24"/>
        </w:rPr>
        <w:t xml:space="preserve"> et al.</w:t>
      </w:r>
      <w:r w:rsidRPr="00B57C5C">
        <w:rPr>
          <w:rFonts w:ascii="Times New Roman" w:eastAsia="Times New Roman" w:hAnsi="Times New Roman" w:cs="Times New Roman"/>
          <w:sz w:val="24"/>
          <w:szCs w:val="24"/>
        </w:rPr>
        <w:t xml:space="preserve">, 2024). NIST SP 800-61 Rev.3 coi ứng phó sự cố là một phần của quản trị rủi ro tổng thể (Nelson </w:t>
      </w:r>
      <w:r w:rsidR="00C81819" w:rsidRPr="00B57C5C">
        <w:rPr>
          <w:rFonts w:ascii="Times New Roman" w:eastAsia="Times New Roman" w:hAnsi="Times New Roman" w:cs="Times New Roman"/>
          <w:sz w:val="24"/>
          <w:szCs w:val="24"/>
        </w:rPr>
        <w:t>et al.</w:t>
      </w:r>
      <w:r w:rsidRPr="00B57C5C">
        <w:rPr>
          <w:rFonts w:ascii="Times New Roman" w:eastAsia="Times New Roman" w:hAnsi="Times New Roman" w:cs="Times New Roman"/>
          <w:sz w:val="24"/>
          <w:szCs w:val="24"/>
        </w:rPr>
        <w:t>, 2025). Hàm ý là truyền thông phải được chuẩn bị cùng với cơ chế phát hiện và xử lý, bởi thời điểm, đối tượng và nội dung thông tin ảnh hưởng trực tiếp đến mức độ thiệt hại.</w:t>
      </w:r>
    </w:p>
    <w:p w14:paraId="2C93EBA0" w14:textId="73CB6728"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SCCT bổ sung góc nhìn về trách nhiệm và danh tiếng: phản ứng cần tương xứng với mức độ trách nhiệm mà công chúng gán cho tổ chức, nên không tồn tại công thức chung như luôn xin lỗi hay giữ im lặng (Coombs, 2007). Kết hợp </w:t>
      </w:r>
      <w:r w:rsidR="002972BD" w:rsidRPr="00B57C5C">
        <w:rPr>
          <w:rFonts w:ascii="Times New Roman" w:eastAsia="Times New Roman" w:hAnsi="Times New Roman" w:cs="Times New Roman"/>
          <w:sz w:val="24"/>
          <w:szCs w:val="24"/>
        </w:rPr>
        <w:t>3</w:t>
      </w:r>
      <w:r w:rsidRPr="00B57C5C">
        <w:rPr>
          <w:rFonts w:ascii="Times New Roman" w:eastAsia="Times New Roman" w:hAnsi="Times New Roman" w:cs="Times New Roman"/>
          <w:sz w:val="24"/>
          <w:szCs w:val="24"/>
        </w:rPr>
        <w:t xml:space="preserve"> nền tảng trên, bài viết định nghĩa truyền thông sự cố là cơ chế chuyển thông tin kỹ thuật thành quyết định quản trị và hành động hữu ích cho từng nhóm liên quan.</w:t>
      </w:r>
    </w:p>
    <w:p w14:paraId="41C31A63" w14:textId="77777777" w:rsidR="003678AB" w:rsidRPr="00B57C5C" w:rsidRDefault="00442F77" w:rsidP="00147DF1">
      <w:pPr>
        <w:spacing w:before="40" w:after="40" w:line="280" w:lineRule="exact"/>
        <w:ind w:firstLine="284"/>
        <w:jc w:val="both"/>
        <w:rPr>
          <w:rFonts w:ascii="Times New Roman" w:eastAsia="Times New Roman" w:hAnsi="Times New Roman" w:cs="Times New Roman"/>
          <w:b/>
          <w:bCs/>
          <w:sz w:val="24"/>
          <w:szCs w:val="24"/>
        </w:rPr>
      </w:pPr>
      <w:r w:rsidRPr="00B57C5C">
        <w:rPr>
          <w:rFonts w:ascii="Times New Roman" w:eastAsia="Times New Roman" w:hAnsi="Times New Roman" w:cs="Times New Roman"/>
          <w:b/>
          <w:bCs/>
          <w:sz w:val="24"/>
          <w:szCs w:val="24"/>
        </w:rPr>
        <w:t>3. Phương pháp nghiên cứu</w:t>
      </w:r>
    </w:p>
    <w:p w14:paraId="74D829D1" w14:textId="5D415DF8"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Bài viết sử dụng phương pháp nghiên cứu tài liệu và phân tích tổng hợp dữ liệu thứ cấp. Nguồn tư liệu gồm </w:t>
      </w:r>
      <w:r w:rsidR="002972BD" w:rsidRPr="00B57C5C">
        <w:rPr>
          <w:rFonts w:ascii="Times New Roman" w:eastAsia="Times New Roman" w:hAnsi="Times New Roman" w:cs="Times New Roman"/>
          <w:sz w:val="24"/>
          <w:szCs w:val="24"/>
        </w:rPr>
        <w:t xml:space="preserve">4 </w:t>
      </w:r>
      <w:r w:rsidRPr="00B57C5C">
        <w:rPr>
          <w:rFonts w:ascii="Times New Roman" w:eastAsia="Times New Roman" w:hAnsi="Times New Roman" w:cs="Times New Roman"/>
          <w:sz w:val="24"/>
          <w:szCs w:val="24"/>
        </w:rPr>
        <w:t xml:space="preserve">nhóm: </w:t>
      </w:r>
    </w:p>
    <w:p w14:paraId="23C93FAC"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(i) nghiên cứu học thuật về truyền thông khủng hoảng, vi phạm dữ liệu và quản trị an ninh mạng; </w:t>
      </w:r>
    </w:p>
    <w:p w14:paraId="7A9C6FFD"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(ii) khung và hướng dẫn của OECD, NIST và các tổ chức chuyên môn; </w:t>
      </w:r>
    </w:p>
    <w:p w14:paraId="5E813A30"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(iii) báo cáo về DNNVV và môi trường an ninh mạng; </w:t>
      </w:r>
    </w:p>
    <w:p w14:paraId="1EA23841"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(iv) quy định pháp luật Việt Nam liên quan đến DNNVV, bảo vệ dữ liệu cá nhân và thông báo vi phạm. </w:t>
      </w:r>
    </w:p>
    <w:p w14:paraId="5054CFE8" w14:textId="2FBED76D"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Cách tiếp cận có </w:t>
      </w:r>
      <w:r w:rsidR="002972BD" w:rsidRPr="00B57C5C">
        <w:rPr>
          <w:rFonts w:ascii="Times New Roman" w:eastAsia="Times New Roman" w:hAnsi="Times New Roman" w:cs="Times New Roman"/>
          <w:sz w:val="24"/>
          <w:szCs w:val="24"/>
        </w:rPr>
        <w:t xml:space="preserve">2 </w:t>
      </w:r>
      <w:r w:rsidRPr="00B57C5C">
        <w:rPr>
          <w:rFonts w:ascii="Times New Roman" w:eastAsia="Times New Roman" w:hAnsi="Times New Roman" w:cs="Times New Roman"/>
          <w:sz w:val="24"/>
          <w:szCs w:val="24"/>
        </w:rPr>
        <w:t>giới hạn. Thứ nhất, dữ liệu sự cố an ninh mạng tại Việt Nam chưa thường xuyên được công bố theo quy mô doanh nghiệp, nên số liệu chung không được dùng như bằng chứng trực tiếp cho DNNVV. Thứ hai, bài viết không kiểm định hiệu quả của từng chiến lược truyền thông bằng dữ liệu sơ cấp. Kết quả vì vậy phù hợp với mục tiêu xây dựng một khung quản trị ban đầu có cơ sở lý thuyết và pháp lý, hơn là khẳng định quan hệ nhân quả.</w:t>
      </w:r>
    </w:p>
    <w:p w14:paraId="60B8DD42"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hAnsi="Times New Roman" w:cs="Times New Roman"/>
          <w:sz w:val="24"/>
          <w:szCs w:val="24"/>
        </w:rPr>
        <w:br w:type="page"/>
      </w:r>
    </w:p>
    <w:p w14:paraId="2F0D0EFC" w14:textId="77777777" w:rsidR="003678AB" w:rsidRPr="00B57C5C" w:rsidRDefault="00442F77" w:rsidP="00147DF1">
      <w:pPr>
        <w:spacing w:before="40" w:after="40" w:line="280" w:lineRule="exact"/>
        <w:ind w:firstLine="284"/>
        <w:jc w:val="both"/>
        <w:rPr>
          <w:rFonts w:ascii="Times New Roman" w:eastAsia="Times New Roman" w:hAnsi="Times New Roman" w:cs="Times New Roman"/>
          <w:b/>
          <w:bCs/>
          <w:sz w:val="24"/>
          <w:szCs w:val="24"/>
        </w:rPr>
      </w:pPr>
      <w:r w:rsidRPr="00B57C5C">
        <w:rPr>
          <w:rFonts w:ascii="Times New Roman" w:eastAsia="Times New Roman" w:hAnsi="Times New Roman" w:cs="Times New Roman"/>
          <w:b/>
          <w:bCs/>
          <w:sz w:val="24"/>
          <w:szCs w:val="24"/>
        </w:rPr>
        <w:lastRenderedPageBreak/>
        <w:t>4. Kết quả nghiên cứu và thảo luận</w:t>
      </w:r>
    </w:p>
    <w:p w14:paraId="2304A381"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4.1. Khoảng trống gốc: từ thông tin kỹ thuật đến thông tin quản trị</w:t>
      </w:r>
    </w:p>
    <w:p w14:paraId="04014A0F" w14:textId="5E177B30"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Thách thức truyền thông an ninh mạng ở DNNVV không chỉ nằm ở hạn chế kỹ thuật, mà còn ở khả năng chuyển hóa thông tin kỹ thuật thành thông tin phục vụ quản trị. Do nguồn lực hạn chế, doanh nghiệp nhỏ thường thiếu nhân sự chuyên trách, quy trình phát hiện xâm nhập và phụ thuộc nhiều vào nhà cung cấp bên ngoài. Khảo sát OECD D4SME cho thấy 19% doanh nghiệp không triển khai biện pháp an ninh mạng nào, 44% chỉ áp dụng một đến hai biện pháp, trong khi chỉ 11% tổ chức đào tạo và 6% thực hiện đánh giá định kỳ</w:t>
      </w:r>
      <w:r w:rsidR="00A87023" w:rsidRPr="00B57C5C">
        <w:rPr>
          <w:rFonts w:ascii="Times New Roman" w:eastAsia="Times New Roman" w:hAnsi="Times New Roman" w:cs="Times New Roman"/>
          <w:sz w:val="24"/>
          <w:szCs w:val="24"/>
        </w:rPr>
        <w:t xml:space="preserve"> (OECD, 2024)</w:t>
      </w:r>
      <w:r w:rsidRPr="00B57C5C">
        <w:rPr>
          <w:rFonts w:ascii="Times New Roman" w:eastAsia="Times New Roman" w:hAnsi="Times New Roman" w:cs="Times New Roman"/>
          <w:sz w:val="24"/>
          <w:szCs w:val="24"/>
        </w:rPr>
        <w:t xml:space="preserve">. </w:t>
      </w:r>
    </w:p>
    <w:p w14:paraId="4082CBC9" w14:textId="475B2C64"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Tuy nhiên, thông tin kỹ thuật chỉ có giá trị quản trị khi được diễn giải theo tác động và nhu cầu của từng bên liên quan. Chẳng hạn, thông tin về một tài khoản quản trị bị xâm nhập chỉ trở nên hữu ích khi được chuyển hóa thành đánh giá về mức độ gián đoạn hoạt động, nghĩa vụ pháp lý và hành động cần thiết đối với khách hàng. Vì vậy, hạn chế nguồn lực tạo ra rủi ro kép: DNNVV vừa gặp khó khăn trong xử lý sự cố, vừa hạn chế trong việc chuyển thông tin kỹ thuật thành quyết định và hành động phù hợp. Khoảng trống diễn giải này là nguyên nhân nền tảng của </w:t>
      </w:r>
      <w:r w:rsidR="00CE775C" w:rsidRPr="00B57C5C">
        <w:rPr>
          <w:rFonts w:ascii="Times New Roman" w:eastAsia="Times New Roman" w:hAnsi="Times New Roman" w:cs="Times New Roman"/>
          <w:sz w:val="24"/>
          <w:szCs w:val="24"/>
        </w:rPr>
        <w:t xml:space="preserve">4 </w:t>
      </w:r>
      <w:r w:rsidRPr="00B57C5C">
        <w:rPr>
          <w:rFonts w:ascii="Times New Roman" w:eastAsia="Times New Roman" w:hAnsi="Times New Roman" w:cs="Times New Roman"/>
          <w:sz w:val="24"/>
          <w:szCs w:val="24"/>
        </w:rPr>
        <w:t>thách thức dưới đây, tương ứng với các quan hệ về thời gian, công chúng, nhà cung cấp và các nhóm liên quan.</w:t>
      </w:r>
    </w:p>
    <w:p w14:paraId="74D0A98B"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4.2. Bốn thách thức truyền thông đặc thù</w:t>
      </w:r>
    </w:p>
    <w:p w14:paraId="0BE7CAE7" w14:textId="0FC2D039" w:rsidR="003D7FC4" w:rsidRPr="00B57C5C" w:rsidRDefault="00442F77" w:rsidP="003D7FC4">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Thứ nhất, mâu thuẫn giữa tốc độ và độ chắc chắn. Ở giai đoạn đầu của sự cố, lượng thông tin được xác minh thường thấp nhất trong khi nhu cầu thông tin lại cao nhất. Công bố sớm các nhận định chưa được kiểm chứng có thể làm suy giảm độ tin cậy nếu phải đính chính; ngược lại, trì hoãn quá lâu tạo khoảng trống để tin đồn và suy đoán định hình nhận thức. Cách tiếp cận phù hợp là phân loại thông tin thành </w:t>
      </w:r>
      <w:r w:rsidR="002972BD" w:rsidRPr="00B57C5C">
        <w:rPr>
          <w:rFonts w:ascii="Times New Roman" w:eastAsia="Times New Roman" w:hAnsi="Times New Roman" w:cs="Times New Roman"/>
          <w:sz w:val="24"/>
          <w:szCs w:val="24"/>
        </w:rPr>
        <w:t>3</w:t>
      </w:r>
      <w:r w:rsidRPr="00B57C5C">
        <w:rPr>
          <w:rFonts w:ascii="Times New Roman" w:eastAsia="Times New Roman" w:hAnsi="Times New Roman" w:cs="Times New Roman"/>
          <w:sz w:val="24"/>
          <w:szCs w:val="24"/>
        </w:rPr>
        <w:t xml:space="preserve"> nhóm: đã xác nhận, đang điều tra và hành động cần thực hiện ngay. </w:t>
      </w:r>
      <w:r w:rsidR="003D7FC4" w:rsidRPr="00B57C5C">
        <w:rPr>
          <w:rFonts w:ascii="Times New Roman" w:eastAsia="Times New Roman" w:hAnsi="Times New Roman" w:cs="Times New Roman"/>
          <w:sz w:val="24"/>
          <w:szCs w:val="24"/>
        </w:rPr>
        <w:t>Thông báo ban đầu không cần toàn diện, nhưng phải nêu rõ sự cố, phạm vi hiện biết, biện pháp phòng ngừa và cơ chế cập nhật. Độ tin cậy vì thế phụ thuộc vào khả năng phân biệt rõ dữ kiện với giả định.</w:t>
      </w:r>
    </w:p>
    <w:p w14:paraId="04053D4D" w14:textId="2003C5EC" w:rsidR="003678AB" w:rsidRPr="00B57C5C" w:rsidRDefault="003678AB" w:rsidP="00147DF1">
      <w:pPr>
        <w:spacing w:before="40" w:after="40" w:line="280" w:lineRule="exact"/>
        <w:ind w:firstLine="284"/>
        <w:jc w:val="both"/>
        <w:rPr>
          <w:rFonts w:ascii="Times New Roman" w:eastAsia="Times New Roman" w:hAnsi="Times New Roman" w:cs="Times New Roman"/>
          <w:sz w:val="24"/>
          <w:szCs w:val="24"/>
        </w:rPr>
      </w:pPr>
    </w:p>
    <w:p w14:paraId="580D5391" w14:textId="3FBAD0A8"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Mâu thuẫn này gắn trực tiếp với nghĩa vụ pháp lý. Luật Bảo vệ dữ liệu cá nhân số 91/2025/QH15, có hiệu lực từ ngày </w:t>
      </w:r>
      <w:r w:rsidR="00722F8D" w:rsidRPr="00B57C5C">
        <w:rPr>
          <w:rFonts w:ascii="Times New Roman" w:eastAsia="Times New Roman" w:hAnsi="Times New Roman" w:cs="Times New Roman"/>
          <w:sz w:val="24"/>
          <w:szCs w:val="24"/>
        </w:rPr>
        <w:t>0</w:t>
      </w:r>
      <w:r w:rsidRPr="00B57C5C">
        <w:rPr>
          <w:rFonts w:ascii="Times New Roman" w:eastAsia="Times New Roman" w:hAnsi="Times New Roman" w:cs="Times New Roman"/>
          <w:sz w:val="24"/>
          <w:szCs w:val="24"/>
        </w:rPr>
        <w:t>1/</w:t>
      </w:r>
      <w:r w:rsidR="00722F8D" w:rsidRPr="00B57C5C">
        <w:rPr>
          <w:rFonts w:ascii="Times New Roman" w:eastAsia="Times New Roman" w:hAnsi="Times New Roman" w:cs="Times New Roman"/>
          <w:sz w:val="24"/>
          <w:szCs w:val="24"/>
        </w:rPr>
        <w:t>0</w:t>
      </w:r>
      <w:r w:rsidRPr="00B57C5C">
        <w:rPr>
          <w:rFonts w:ascii="Times New Roman" w:eastAsia="Times New Roman" w:hAnsi="Times New Roman" w:cs="Times New Roman"/>
          <w:sz w:val="24"/>
          <w:szCs w:val="24"/>
        </w:rPr>
        <w:t xml:space="preserve">1/2026, quy định một số trường hợp vi phạm bảo vệ dữ liệu cá nhân phải được thông báo cho cơ quan chuyên trách trong vòng 72 giờ kể từ khi phát hiện; </w:t>
      </w:r>
      <w:r w:rsidR="003D7FC4" w:rsidRPr="00B57C5C">
        <w:rPr>
          <w:rFonts w:ascii="Times New Roman" w:eastAsia="Times New Roman" w:hAnsi="Times New Roman" w:cs="Times New Roman"/>
          <w:sz w:val="24"/>
          <w:szCs w:val="24"/>
        </w:rPr>
        <w:t xml:space="preserve">Nghị định số 356/2025/NĐ-CP quy định nội dung thông báo, gồm tính chất vi phạm, dữ liệu liên quan, hậu quả có thể xảy ra và biện pháp giảm thiểu. Mốc 72 giờ không đồng nghĩa với nghĩa vụ công khai mọi sự cố mạng, mà đòi hỏi doanh nghiệp sớm xác định loại dữ liệu bị ảnh hưởng và nghĩa vụ pháp lý tương ứng. </w:t>
      </w:r>
      <w:r w:rsidRPr="00B57C5C">
        <w:rPr>
          <w:rFonts w:ascii="Times New Roman" w:eastAsia="Times New Roman" w:hAnsi="Times New Roman" w:cs="Times New Roman"/>
          <w:sz w:val="24"/>
          <w:szCs w:val="24"/>
        </w:rPr>
        <w:t>Do đó, tuân thủ pháp lý phụ thuộc trực tiếp vào chất lượng thông tin và khả năng điều phối trong giai đoạn đầu.</w:t>
      </w:r>
    </w:p>
    <w:p w14:paraId="124BBC0B"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Thứ hai, nghịch lý minh bạch. DNNVV có thể có động cơ hạn chế công bố vì lo ngại tổn thất uy tín và khách hàng. Tuy nhiên, chiến lược này chỉ khả thi khi dòng thông tin có thể được kiểm soát. Trong môi trường số, dấu hiệu bất thường có thể được phát hiện bởi khách hàng, nhân viên, nhà cung cấp hoặc thông qua dữ liệu bị rò rỉ. Khi đó, trọng tâm khủng hoảng có thể chuyển từ bản thân sự cố sang cách doanh nghiệp xử lý và công bố thông tin. Theo SCCT, phản ứng không phù hợp có thể làm gia tăng mức độ trách nhiệm mà công chúng quy cho tổ chức. Vì vậy, minh bạch đồng nghĩa với cung cấp đủ thông tin để các bên liên quan hiểu rủi ro, trạng thái xác minh, biện pháp ứng phó và thời điểm cập nhật tiếp theo.</w:t>
      </w:r>
    </w:p>
    <w:p w14:paraId="7E79A7B7" w14:textId="7CE38E7A"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Thứ ba, phân tán trách nhiệm với nhà cung cấp công nghệ. Thuê ngoài hạ tầng và dịch vụ an ninh có thể giúp DNNVV giảm chi phí và bù đắp hạn chế về năng lực chuyên môn, nhưng đồng thời làm phân tách quyền kiểm soát kỹ thuật và trách nhiệm đối với khách hàng. OECD (2021) chỉ ra</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phụ thuộc vào bên thứ ba làm giảm mức độ kiểm soát trực tiếp của DNNVV; Hoong</w:t>
      </w:r>
      <w:r w:rsidR="000A57D3" w:rsidRPr="00B57C5C">
        <w:rPr>
          <w:rFonts w:ascii="Times New Roman" w:eastAsia="Times New Roman" w:hAnsi="Times New Roman" w:cs="Times New Roman"/>
          <w:sz w:val="24"/>
          <w:szCs w:val="24"/>
        </w:rPr>
        <w:t xml:space="preserve"> et al. </w:t>
      </w:r>
      <w:r w:rsidRPr="00B57C5C">
        <w:rPr>
          <w:rFonts w:ascii="Times New Roman" w:eastAsia="Times New Roman" w:hAnsi="Times New Roman" w:cs="Times New Roman"/>
          <w:sz w:val="24"/>
          <w:szCs w:val="24"/>
        </w:rPr>
        <w:t xml:space="preserve">(2024) ghi nhận sự khác biệt trong nhận thức trách nhiệm giữa doanh nghiệp và nhà cung cấp. Vấn đề cốt lõi vì vậy là mức độ xác lập trước cơ chế ứng phó: thời hạn thông báo, quyền tiếp cận bằng chứng, trách </w:t>
      </w:r>
      <w:r w:rsidRPr="00B57C5C">
        <w:rPr>
          <w:rFonts w:ascii="Times New Roman" w:eastAsia="Times New Roman" w:hAnsi="Times New Roman" w:cs="Times New Roman"/>
          <w:sz w:val="24"/>
          <w:szCs w:val="24"/>
        </w:rPr>
        <w:lastRenderedPageBreak/>
        <w:t>nhiệm điều tra, hỗ trợ pháp lý và thẩm quyền phát ngôn. Nếu các nội dung này chỉ được xác định sau khi sự cố xảy ra, quá trình phân định trách nhiệm sẽ làm chậm phản ứng và thu hẹp thời gian đáp ứng nghĩa vụ pháp lý. Doanh nghiệp có thể thuê ngoài công nghệ, nhưng không thể chuyển giao hoàn toàn trách nhiệm đối với dữ liệu mà mình quản lý.</w:t>
      </w:r>
    </w:p>
    <w:p w14:paraId="1C2420C0"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Thứ tư, khác biệt về nhu cầu thông tin giữa các nhóm liên quan. Khách hàng cần biết mức độ rủi ro và hành động cần thực hiện; nhân viên cần hướng dẫn vận hành; đối tác cần đánh giá khả năng ảnh hưởng đến hệ thống; cơ quan quản lý cần thông tin chính xác về phạm vi và biện pháp xử lý. Đối với DNNVV, cách tiếp cận khả thi là duy trì một nguồn dữ kiện thống nhất và điều chỉnh mức độ chi tiết theo từng nhóm nhận. Điều này đòi hỏi năng lực diễn giải sự cố theo nhu cầu thông tin khác nhau, qua đó phản ánh trực tiếp khoảng trống đã nêu tại mục 4.1.</w:t>
      </w:r>
    </w:p>
    <w:p w14:paraId="31093699"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4.3. Thảo luận</w:t>
      </w:r>
    </w:p>
    <w:p w14:paraId="4980650C" w14:textId="70ED0EFC"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Kết quả phân tích vừa củng cố vừa mở rộng các nghiên cứu trước theo </w:t>
      </w:r>
      <w:r w:rsidR="002972BD" w:rsidRPr="00B57C5C">
        <w:rPr>
          <w:rFonts w:ascii="Times New Roman" w:eastAsia="Times New Roman" w:hAnsi="Times New Roman" w:cs="Times New Roman"/>
          <w:sz w:val="24"/>
          <w:szCs w:val="24"/>
        </w:rPr>
        <w:t>3</w:t>
      </w:r>
      <w:r w:rsidRPr="00B57C5C">
        <w:rPr>
          <w:rFonts w:ascii="Times New Roman" w:eastAsia="Times New Roman" w:hAnsi="Times New Roman" w:cs="Times New Roman"/>
          <w:sz w:val="24"/>
          <w:szCs w:val="24"/>
        </w:rPr>
        <w:t xml:space="preserve"> hướng. Thứ nhất, so với Rombaldo Junior</w:t>
      </w:r>
      <w:r w:rsidR="000A57D3" w:rsidRPr="00B57C5C">
        <w:rPr>
          <w:rFonts w:ascii="Times New Roman" w:eastAsia="Times New Roman" w:hAnsi="Times New Roman" w:cs="Times New Roman"/>
          <w:sz w:val="24"/>
          <w:szCs w:val="24"/>
        </w:rPr>
        <w:t xml:space="preserve"> et al. </w:t>
      </w:r>
      <w:r w:rsidRPr="00B57C5C">
        <w:rPr>
          <w:rFonts w:ascii="Times New Roman" w:eastAsia="Times New Roman" w:hAnsi="Times New Roman" w:cs="Times New Roman"/>
          <w:sz w:val="24"/>
          <w:szCs w:val="24"/>
        </w:rPr>
        <w:t>(2023), các hạn chế về chuyên môn không chỉ ảnh hưởng đến phòng ngừa mà còn kéo dài sang giai đoạn hậu sự cố, làm giảm khả năng diễn giải và truyền đạt thông tin phù hợp. Thứ hai, phát hiện về phân tán trách nhiệm phù hợp với Hoong</w:t>
      </w:r>
      <w:r w:rsidR="000A57D3" w:rsidRPr="00B57C5C">
        <w:rPr>
          <w:rFonts w:ascii="Times New Roman" w:eastAsia="Times New Roman" w:hAnsi="Times New Roman" w:cs="Times New Roman"/>
          <w:sz w:val="24"/>
          <w:szCs w:val="24"/>
        </w:rPr>
        <w:t xml:space="preserve"> et al.</w:t>
      </w:r>
      <w:r w:rsidRPr="00B57C5C">
        <w:rPr>
          <w:rFonts w:ascii="Times New Roman" w:eastAsia="Times New Roman" w:hAnsi="Times New Roman" w:cs="Times New Roman"/>
          <w:sz w:val="24"/>
          <w:szCs w:val="24"/>
        </w:rPr>
        <w:t xml:space="preserve"> (2024), đồng thời bổ sung bối cảnh pháp lý Việt Nam. Khi nghĩa vụ 72 giờ được luật hóa, sự không rõ ràng giữa doanh nghiệp và nhà cung cấp còn làm gia tăng rủi ro tuân thủ. </w:t>
      </w:r>
      <w:r w:rsidR="002972BD" w:rsidRPr="00B57C5C">
        <w:rPr>
          <w:rFonts w:ascii="Times New Roman" w:eastAsia="Times New Roman" w:hAnsi="Times New Roman" w:cs="Times New Roman"/>
          <w:sz w:val="24"/>
          <w:szCs w:val="24"/>
        </w:rPr>
        <w:t>Thứ ba</w:t>
      </w:r>
      <w:r w:rsidRPr="00B57C5C">
        <w:rPr>
          <w:rFonts w:ascii="Times New Roman" w:eastAsia="Times New Roman" w:hAnsi="Times New Roman" w:cs="Times New Roman"/>
          <w:sz w:val="24"/>
          <w:szCs w:val="24"/>
        </w:rPr>
        <w:t>, trong khi SCCT và các nghiên cứu ứng dụng tập trung vào lựa chọn chiến lược phản hồi, kết quả ở đây cho thấy ràng buộc chính của DNNVV nằm ở năng lực triển khai chiến lược kịp thời và nhất quán. Vì vậy, hàm ý quản trị nên tập trung vào các quy trình đơn giản, rõ trách nhiệm và phù hợp với nguồn lực hạn chế.</w:t>
      </w:r>
    </w:p>
    <w:p w14:paraId="76B8D937" w14:textId="4700B346" w:rsidR="003678AB" w:rsidRPr="00B57C5C" w:rsidRDefault="00147DF1" w:rsidP="00147DF1">
      <w:pPr>
        <w:spacing w:before="40" w:after="40" w:line="280" w:lineRule="exact"/>
        <w:ind w:firstLine="284"/>
        <w:jc w:val="both"/>
        <w:rPr>
          <w:rFonts w:ascii="Times New Roman" w:eastAsia="Times New Roman" w:hAnsi="Times New Roman" w:cs="Times New Roman"/>
          <w:b/>
          <w:bCs/>
          <w:sz w:val="24"/>
          <w:szCs w:val="24"/>
        </w:rPr>
      </w:pPr>
      <w:r w:rsidRPr="00B57C5C">
        <w:rPr>
          <w:rFonts w:ascii="Times New Roman" w:hAnsi="Times New Roman" w:cs="Times New Roman"/>
          <w:b/>
          <w:bCs/>
          <w:sz w:val="24"/>
          <w:szCs w:val="24"/>
        </w:rPr>
        <w:t>5</w:t>
      </w:r>
      <w:r w:rsidR="00442F77" w:rsidRPr="00B57C5C">
        <w:rPr>
          <w:rFonts w:ascii="Times New Roman" w:eastAsia="Times New Roman" w:hAnsi="Times New Roman" w:cs="Times New Roman"/>
          <w:b/>
          <w:bCs/>
          <w:sz w:val="24"/>
          <w:szCs w:val="24"/>
        </w:rPr>
        <w:t>. Kết luận và hàm ý quản trị</w:t>
      </w:r>
    </w:p>
    <w:p w14:paraId="2C7205B2" w14:textId="5164CE36"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5.1. Quy trình truyền thông </w:t>
      </w:r>
      <w:r w:rsidR="002972BD" w:rsidRPr="00B57C5C">
        <w:rPr>
          <w:rFonts w:ascii="Times New Roman" w:eastAsia="Times New Roman" w:hAnsi="Times New Roman" w:cs="Times New Roman"/>
          <w:sz w:val="24"/>
          <w:szCs w:val="24"/>
        </w:rPr>
        <w:t xml:space="preserve">5 </w:t>
      </w:r>
      <w:r w:rsidRPr="00B57C5C">
        <w:rPr>
          <w:rFonts w:ascii="Times New Roman" w:eastAsia="Times New Roman" w:hAnsi="Times New Roman" w:cs="Times New Roman"/>
          <w:sz w:val="24"/>
          <w:szCs w:val="24"/>
        </w:rPr>
        <w:t>bước cho DNNVV</w:t>
      </w:r>
    </w:p>
    <w:p w14:paraId="2D515B1A"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Đối với DNNVV, giải pháp phù hợp gồm một năng lực ứng phó tối thiểu có thể kích hoạt ngay khi xảy ra sự cố: thẩm quyền ra quyết định, đầu mối liên hệ, nguyên tắc xác minh, mẫu thông báo và cơ chế ghi nhận quyết định. Mục tiêu của sự chuẩn bị này là giảm số quyết định phải xử lý trong điều kiện áp lực cao.</w:t>
      </w:r>
    </w:p>
    <w:p w14:paraId="2520BB54" w14:textId="2347C06A"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Bước 1 </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Chuẩn bị trước sự cố: Chỉ định người điều phối và người thay thế; duy trì liên hệ với nhà cung cấp CNTT, tư vấn pháp lý và các đầu mối cần thiết; lập bản đồ bên liên quan; chuẩn bị mẫu thông báo với các trường bắt buộc gồm sự việc đã xác nhận, phạm vi chưa xác định, biện pháp đang thực hiện, hành động khuyến nghị và kênh cập nhật. Mẫu chỉ tạo cấu trúc, không thay thế phán đoán theo tình huống.</w:t>
      </w:r>
    </w:p>
    <w:p w14:paraId="73BF58E8" w14:textId="12AD7156"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Bước 2 </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Xác minh và phân loại: Tách thông tin thành đã xác nhận, chưa xác nhận và cần xác minh khẩn cấp; đánh giá hệ thống bị ảnh hưởng, loại dữ liệu liên quan, nhóm có khả năng chịu thiệt hại và mức độ gián đoạn. Bước này nối điều tra kỹ thuật với quyết định truyền thông và pháp lý: một sự cố nội bộ nhỏ có thể chỉ cần xử lý trong phạm vi hẹp, trong khi rò rỉ dữ liệu khách hàng kích hoạt cả nghĩa vụ pháp lý lẫn hướng dẫn khẩn cấp.</w:t>
      </w:r>
    </w:p>
    <w:p w14:paraId="0EC2C2DB" w14:textId="22E1A704"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Bước 3 </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Thông báo và hướng dẫn: Ưu tiên giảm thiệt hại hơn bảo vệ hình ảnh, trả lời theo thứ tự điều gì đã được xác nhận, ai có thể bị ảnh hưởng, người nhận cần làm gì, doanh nghiệp đang làm gì và thông tin tiếp theo ở đâu. Khi sự cố thuộc phạm vi Luật Bảo vệ dữ liệu cá nhân, truyền thông bên ngoài phải được điều phối song song với nghĩa vụ thông báo cho cơ quan chuyên trách. Điều này biến truyền thông sự cố từ lựa chọn quan hệ công chúng thành một phần của quản trị tuân thủ.</w:t>
      </w:r>
    </w:p>
    <w:p w14:paraId="60BA07B9" w14:textId="45D115D3"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Bước 4 </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Cập nhật và điều phối: Duy trì một nguồn sự thật nội bộ duy nhất ghi nhận dữ kiện đã xác nhận và thời điểm cập nhật; mọi thông điệp cho khách hàng, nhân viên, đối tác hoặc báo chí đều dựa trên nguồn này để hạn chế tình trạng các bộ phận đưa ra phiên bản khác nhau. Nếu điều tra kéo dài, doanh nghiệp vẫn duy trì nhịp cập nhật, kể cả khi chưa có kết luận mới, để giảm khoảng trống thông tin.</w:t>
      </w:r>
    </w:p>
    <w:p w14:paraId="5BC73EF0" w14:textId="013F2389"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lastRenderedPageBreak/>
        <w:t xml:space="preserve">Bước 5 </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Phục hồi và học hỏi: Sau khi hệ thống hoạt động trở lại, doanh nghiệp công bố hoặc giải thích phù hợp các thay đổi thực chất như cập nhật hệ thống, bổ sung xác thực đa yếu tố, điều chỉnh quyền truy cập, đào tạo nhân viên hoặc sửa quy trình. Đây là điểm biến thông điệp đã xử lý thành bằng chứng về năng lực tổ chức; Choi </w:t>
      </w:r>
      <w:r w:rsidR="000A57D3" w:rsidRPr="00B57C5C">
        <w:rPr>
          <w:rFonts w:ascii="Times New Roman" w:eastAsia="Times New Roman" w:hAnsi="Times New Roman" w:cs="Times New Roman"/>
          <w:sz w:val="24"/>
          <w:szCs w:val="24"/>
        </w:rPr>
        <w:t>et al.</w:t>
      </w:r>
      <w:r w:rsidRPr="00B57C5C">
        <w:rPr>
          <w:rFonts w:ascii="Times New Roman" w:eastAsia="Times New Roman" w:hAnsi="Times New Roman" w:cs="Times New Roman"/>
          <w:sz w:val="24"/>
          <w:szCs w:val="24"/>
        </w:rPr>
        <w:t xml:space="preserve"> (2025) cho thấy</w:t>
      </w:r>
      <w:r w:rsidR="0069737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thay đổi quy trình là yếu tố hỗ trợ mạnh cho phục hồi niềm tin sau vi phạm dữ liệu.</w:t>
      </w:r>
    </w:p>
    <w:p w14:paraId="05C66B43"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Quan hệ giữa quy trình và các thách thức được tổng hợp tại Bảng 1.</w:t>
      </w:r>
    </w:p>
    <w:p w14:paraId="704BFD7B" w14:textId="6E42F71D" w:rsidR="003678AB" w:rsidRPr="00B57C5C" w:rsidRDefault="00442F77" w:rsidP="00147DF1">
      <w:pPr>
        <w:spacing w:before="40" w:after="40" w:line="280" w:lineRule="exact"/>
        <w:ind w:firstLine="284"/>
        <w:jc w:val="center"/>
        <w:rPr>
          <w:rFonts w:ascii="Times New Roman" w:eastAsia="Times New Roman" w:hAnsi="Times New Roman" w:cs="Times New Roman"/>
          <w:sz w:val="24"/>
          <w:szCs w:val="24"/>
        </w:rPr>
      </w:pPr>
      <w:r w:rsidRPr="00B57C5C">
        <w:rPr>
          <w:rFonts w:ascii="Times New Roman" w:eastAsia="Times New Roman" w:hAnsi="Times New Roman" w:cs="Times New Roman"/>
          <w:b/>
          <w:bCs/>
          <w:sz w:val="24"/>
          <w:szCs w:val="24"/>
        </w:rPr>
        <w:t xml:space="preserve">Bảng 1. Ánh xạ giữa thách thức truyền thông và quy trình </w:t>
      </w:r>
      <w:r w:rsidR="00722F8D" w:rsidRPr="00B57C5C">
        <w:rPr>
          <w:rFonts w:ascii="Times New Roman" w:eastAsia="Times New Roman" w:hAnsi="Times New Roman" w:cs="Times New Roman"/>
          <w:b/>
          <w:bCs/>
          <w:sz w:val="24"/>
          <w:szCs w:val="24"/>
        </w:rPr>
        <w:t xml:space="preserve">5 </w:t>
      </w:r>
      <w:r w:rsidRPr="00B57C5C">
        <w:rPr>
          <w:rFonts w:ascii="Times New Roman" w:eastAsia="Times New Roman" w:hAnsi="Times New Roman" w:cs="Times New Roman"/>
          <w:b/>
          <w:bCs/>
          <w:sz w:val="24"/>
          <w:szCs w:val="24"/>
        </w:rPr>
        <w:t>bước đề xuất</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2325"/>
        <w:gridCol w:w="4155"/>
      </w:tblGrid>
      <w:tr w:rsidR="003678AB" w:rsidRPr="00B57C5C" w14:paraId="435F451C" w14:textId="77777777">
        <w:tc>
          <w:tcPr>
            <w:tcW w:w="2880" w:type="dxa"/>
            <w:tcMar>
              <w:top w:w="100" w:type="dxa"/>
              <w:left w:w="100" w:type="dxa"/>
              <w:bottom w:w="100" w:type="dxa"/>
              <w:right w:w="100" w:type="dxa"/>
            </w:tcMar>
          </w:tcPr>
          <w:p w14:paraId="2E48520B" w14:textId="77777777" w:rsidR="003678AB" w:rsidRPr="00B57C5C" w:rsidRDefault="00442F77" w:rsidP="00147DF1">
            <w:pPr>
              <w:widowControl w:val="0"/>
              <w:pBdr>
                <w:top w:val="nil"/>
                <w:left w:val="nil"/>
                <w:bottom w:val="nil"/>
                <w:right w:val="nil"/>
                <w:between w:val="nil"/>
              </w:pBdr>
              <w:spacing w:before="40" w:after="40" w:line="280" w:lineRule="exact"/>
              <w:ind w:firstLine="284"/>
              <w:rPr>
                <w:rFonts w:ascii="Times New Roman" w:eastAsia="Times New Roman" w:hAnsi="Times New Roman" w:cs="Times New Roman"/>
                <w:b/>
                <w:bCs/>
                <w:sz w:val="24"/>
                <w:szCs w:val="24"/>
              </w:rPr>
            </w:pPr>
            <w:r w:rsidRPr="00B57C5C">
              <w:rPr>
                <w:rFonts w:ascii="Times New Roman" w:eastAsia="Times New Roman" w:hAnsi="Times New Roman" w:cs="Times New Roman"/>
                <w:b/>
                <w:bCs/>
                <w:sz w:val="24"/>
                <w:szCs w:val="24"/>
              </w:rPr>
              <w:t>Thách thức</w:t>
            </w:r>
          </w:p>
        </w:tc>
        <w:tc>
          <w:tcPr>
            <w:tcW w:w="2325" w:type="dxa"/>
            <w:tcMar>
              <w:top w:w="100" w:type="dxa"/>
              <w:left w:w="100" w:type="dxa"/>
              <w:bottom w:w="100" w:type="dxa"/>
              <w:right w:w="100" w:type="dxa"/>
            </w:tcMar>
          </w:tcPr>
          <w:p w14:paraId="27803B4D" w14:textId="77777777" w:rsidR="003678AB" w:rsidRPr="00B57C5C" w:rsidRDefault="00442F77" w:rsidP="00147DF1">
            <w:pPr>
              <w:widowControl w:val="0"/>
              <w:pBdr>
                <w:top w:val="nil"/>
                <w:left w:val="nil"/>
                <w:bottom w:val="nil"/>
                <w:right w:val="nil"/>
                <w:between w:val="nil"/>
              </w:pBdr>
              <w:spacing w:before="40" w:after="40" w:line="280" w:lineRule="exact"/>
              <w:ind w:firstLine="284"/>
              <w:rPr>
                <w:rFonts w:ascii="Times New Roman" w:eastAsia="Times New Roman" w:hAnsi="Times New Roman" w:cs="Times New Roman"/>
                <w:b/>
                <w:bCs/>
                <w:sz w:val="24"/>
                <w:szCs w:val="24"/>
              </w:rPr>
            </w:pPr>
            <w:r w:rsidRPr="00B57C5C">
              <w:rPr>
                <w:rFonts w:ascii="Times New Roman" w:eastAsia="Times New Roman" w:hAnsi="Times New Roman" w:cs="Times New Roman"/>
                <w:b/>
                <w:bCs/>
                <w:sz w:val="24"/>
                <w:szCs w:val="24"/>
              </w:rPr>
              <w:t>Bước xử lý chính</w:t>
            </w:r>
          </w:p>
        </w:tc>
        <w:tc>
          <w:tcPr>
            <w:tcW w:w="4155" w:type="dxa"/>
            <w:tcMar>
              <w:top w:w="100" w:type="dxa"/>
              <w:left w:w="100" w:type="dxa"/>
              <w:bottom w:w="100" w:type="dxa"/>
              <w:right w:w="100" w:type="dxa"/>
            </w:tcMar>
          </w:tcPr>
          <w:p w14:paraId="7D6FC180" w14:textId="77777777" w:rsidR="003678AB" w:rsidRPr="00B57C5C" w:rsidRDefault="00442F77" w:rsidP="00147DF1">
            <w:pPr>
              <w:widowControl w:val="0"/>
              <w:pBdr>
                <w:top w:val="nil"/>
                <w:left w:val="nil"/>
                <w:bottom w:val="nil"/>
                <w:right w:val="nil"/>
                <w:between w:val="nil"/>
              </w:pBdr>
              <w:spacing w:before="40" w:after="40" w:line="280" w:lineRule="exact"/>
              <w:ind w:firstLine="284"/>
              <w:rPr>
                <w:rFonts w:ascii="Times New Roman" w:eastAsia="Times New Roman" w:hAnsi="Times New Roman" w:cs="Times New Roman"/>
                <w:b/>
                <w:bCs/>
                <w:sz w:val="24"/>
                <w:szCs w:val="24"/>
              </w:rPr>
            </w:pPr>
            <w:r w:rsidRPr="00B57C5C">
              <w:rPr>
                <w:rFonts w:ascii="Times New Roman" w:eastAsia="Times New Roman" w:hAnsi="Times New Roman" w:cs="Times New Roman"/>
                <w:b/>
                <w:bCs/>
                <w:sz w:val="24"/>
                <w:szCs w:val="24"/>
              </w:rPr>
              <w:t>Cơ sở lý thuyết / pháp lý</w:t>
            </w:r>
          </w:p>
        </w:tc>
      </w:tr>
      <w:tr w:rsidR="003678AB" w:rsidRPr="00B57C5C" w14:paraId="6518D061" w14:textId="77777777">
        <w:tc>
          <w:tcPr>
            <w:tcW w:w="2880" w:type="dxa"/>
            <w:tcMar>
              <w:top w:w="100" w:type="dxa"/>
              <w:left w:w="100" w:type="dxa"/>
              <w:bottom w:w="100" w:type="dxa"/>
              <w:right w:w="100" w:type="dxa"/>
            </w:tcMar>
          </w:tcPr>
          <w:p w14:paraId="38EB1585" w14:textId="77777777"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Khoảng trống diễn giải thông tin (điều kiện gốc)</w:t>
            </w:r>
          </w:p>
        </w:tc>
        <w:tc>
          <w:tcPr>
            <w:tcW w:w="2325" w:type="dxa"/>
            <w:tcMar>
              <w:top w:w="100" w:type="dxa"/>
              <w:left w:w="100" w:type="dxa"/>
              <w:bottom w:w="100" w:type="dxa"/>
              <w:right w:w="100" w:type="dxa"/>
            </w:tcMar>
          </w:tcPr>
          <w:p w14:paraId="2DA55AB2" w14:textId="77777777"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Bước 1, Bước 2</w:t>
            </w:r>
          </w:p>
        </w:tc>
        <w:tc>
          <w:tcPr>
            <w:tcW w:w="4155" w:type="dxa"/>
            <w:tcMar>
              <w:top w:w="100" w:type="dxa"/>
              <w:left w:w="100" w:type="dxa"/>
              <w:bottom w:w="100" w:type="dxa"/>
              <w:right w:w="100" w:type="dxa"/>
            </w:tcMar>
          </w:tcPr>
          <w:p w14:paraId="3B952E2A" w14:textId="77777777"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NIST CSF 2.0; NIST SP 800-61 Rev.3</w:t>
            </w:r>
          </w:p>
        </w:tc>
      </w:tr>
      <w:tr w:rsidR="003678AB" w:rsidRPr="00B57C5C" w14:paraId="3D8DEF6B" w14:textId="77777777">
        <w:tc>
          <w:tcPr>
            <w:tcW w:w="2880" w:type="dxa"/>
            <w:tcMar>
              <w:top w:w="100" w:type="dxa"/>
              <w:left w:w="100" w:type="dxa"/>
              <w:bottom w:w="100" w:type="dxa"/>
              <w:right w:w="100" w:type="dxa"/>
            </w:tcMar>
          </w:tcPr>
          <w:p w14:paraId="03FF1240" w14:textId="77777777"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Tốc độ và độ chắc chắn của thông tin</w:t>
            </w:r>
          </w:p>
        </w:tc>
        <w:tc>
          <w:tcPr>
            <w:tcW w:w="2325" w:type="dxa"/>
            <w:tcMar>
              <w:top w:w="100" w:type="dxa"/>
              <w:left w:w="100" w:type="dxa"/>
              <w:bottom w:w="100" w:type="dxa"/>
              <w:right w:w="100" w:type="dxa"/>
            </w:tcMar>
          </w:tcPr>
          <w:p w14:paraId="07C1AD1E" w14:textId="77777777" w:rsidR="003678AB" w:rsidRPr="00B57C5C" w:rsidRDefault="00442F77" w:rsidP="008174D4">
            <w:pPr>
              <w:spacing w:before="40" w:after="40" w:line="280" w:lineRule="exact"/>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Bước 2, Bước 3</w:t>
            </w:r>
          </w:p>
          <w:p w14:paraId="6B6BE223" w14:textId="77777777" w:rsidR="008174D4" w:rsidRPr="00B57C5C" w:rsidRDefault="008174D4" w:rsidP="008174D4">
            <w:pPr>
              <w:rPr>
                <w:rFonts w:ascii="Times New Roman" w:eastAsia="Times New Roman" w:hAnsi="Times New Roman" w:cs="Times New Roman"/>
                <w:sz w:val="24"/>
                <w:szCs w:val="24"/>
              </w:rPr>
            </w:pPr>
          </w:p>
        </w:tc>
        <w:tc>
          <w:tcPr>
            <w:tcW w:w="4155" w:type="dxa"/>
            <w:tcMar>
              <w:top w:w="100" w:type="dxa"/>
              <w:left w:w="100" w:type="dxa"/>
              <w:bottom w:w="100" w:type="dxa"/>
              <w:right w:w="100" w:type="dxa"/>
            </w:tcMar>
          </w:tcPr>
          <w:p w14:paraId="24CF3E18" w14:textId="77777777"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SCCT (Coombs, 2007); Luật 91/2025/QH15; Nghị định 356/2025/NĐ-CP</w:t>
            </w:r>
          </w:p>
        </w:tc>
      </w:tr>
      <w:tr w:rsidR="003678AB" w:rsidRPr="00B57C5C" w14:paraId="18F7216E" w14:textId="77777777">
        <w:tc>
          <w:tcPr>
            <w:tcW w:w="2880" w:type="dxa"/>
            <w:tcMar>
              <w:top w:w="100" w:type="dxa"/>
              <w:left w:w="100" w:type="dxa"/>
              <w:bottom w:w="100" w:type="dxa"/>
              <w:right w:w="100" w:type="dxa"/>
            </w:tcMar>
          </w:tcPr>
          <w:p w14:paraId="0926A767" w14:textId="77777777"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Minh bạch và danh tiếng</w:t>
            </w:r>
          </w:p>
        </w:tc>
        <w:tc>
          <w:tcPr>
            <w:tcW w:w="2325" w:type="dxa"/>
            <w:tcMar>
              <w:top w:w="100" w:type="dxa"/>
              <w:left w:w="100" w:type="dxa"/>
              <w:bottom w:w="100" w:type="dxa"/>
              <w:right w:w="100" w:type="dxa"/>
            </w:tcMar>
          </w:tcPr>
          <w:p w14:paraId="2AF0D17E" w14:textId="77777777"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Bước 3, Bước 5</w:t>
            </w:r>
          </w:p>
        </w:tc>
        <w:tc>
          <w:tcPr>
            <w:tcW w:w="4155" w:type="dxa"/>
            <w:tcMar>
              <w:top w:w="100" w:type="dxa"/>
              <w:left w:w="100" w:type="dxa"/>
              <w:bottom w:w="100" w:type="dxa"/>
              <w:right w:w="100" w:type="dxa"/>
            </w:tcMar>
          </w:tcPr>
          <w:p w14:paraId="73A195A7" w14:textId="68F24E33"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SCCT; Choi </w:t>
            </w:r>
            <w:r w:rsidR="008174D4" w:rsidRPr="00B57C5C">
              <w:rPr>
                <w:rFonts w:ascii="Times New Roman" w:eastAsia="Times New Roman" w:hAnsi="Times New Roman" w:cs="Times New Roman"/>
                <w:sz w:val="24"/>
                <w:szCs w:val="24"/>
              </w:rPr>
              <w:t>et al.</w:t>
            </w:r>
            <w:r w:rsidRPr="00B57C5C">
              <w:rPr>
                <w:rFonts w:ascii="Times New Roman" w:eastAsia="Times New Roman" w:hAnsi="Times New Roman" w:cs="Times New Roman"/>
                <w:sz w:val="24"/>
                <w:szCs w:val="24"/>
              </w:rPr>
              <w:t xml:space="preserve"> (2025)</w:t>
            </w:r>
          </w:p>
        </w:tc>
      </w:tr>
      <w:tr w:rsidR="003678AB" w:rsidRPr="00B57C5C" w14:paraId="0FCA8B4E" w14:textId="77777777">
        <w:tc>
          <w:tcPr>
            <w:tcW w:w="2880" w:type="dxa"/>
            <w:tcMar>
              <w:top w:w="100" w:type="dxa"/>
              <w:left w:w="100" w:type="dxa"/>
              <w:bottom w:w="100" w:type="dxa"/>
              <w:right w:w="100" w:type="dxa"/>
            </w:tcMar>
          </w:tcPr>
          <w:p w14:paraId="5BCA32E1" w14:textId="77777777"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Phân tán trách nhiệm với nhà cung cấp</w:t>
            </w:r>
          </w:p>
        </w:tc>
        <w:tc>
          <w:tcPr>
            <w:tcW w:w="2325" w:type="dxa"/>
            <w:tcMar>
              <w:top w:w="100" w:type="dxa"/>
              <w:left w:w="100" w:type="dxa"/>
              <w:bottom w:w="100" w:type="dxa"/>
              <w:right w:w="100" w:type="dxa"/>
            </w:tcMar>
          </w:tcPr>
          <w:p w14:paraId="770ECB3C" w14:textId="77777777"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Bước 1 (kết hợp điều khoản hợp đồng)</w:t>
            </w:r>
          </w:p>
        </w:tc>
        <w:tc>
          <w:tcPr>
            <w:tcW w:w="4155" w:type="dxa"/>
            <w:tcMar>
              <w:top w:w="100" w:type="dxa"/>
              <w:left w:w="100" w:type="dxa"/>
              <w:bottom w:w="100" w:type="dxa"/>
              <w:right w:w="100" w:type="dxa"/>
            </w:tcMar>
          </w:tcPr>
          <w:p w14:paraId="0D97B369" w14:textId="74FAB1D9"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lang w:val="nl-NL"/>
              </w:rPr>
            </w:pPr>
            <w:r w:rsidRPr="00B57C5C">
              <w:rPr>
                <w:rFonts w:ascii="Times New Roman" w:eastAsia="Times New Roman" w:hAnsi="Times New Roman" w:cs="Times New Roman"/>
                <w:sz w:val="24"/>
                <w:szCs w:val="24"/>
                <w:lang w:val="nl-NL"/>
              </w:rPr>
              <w:t xml:space="preserve">OECD (2021); Hoong </w:t>
            </w:r>
            <w:r w:rsidR="008174D4" w:rsidRPr="00B57C5C">
              <w:rPr>
                <w:rFonts w:ascii="Times New Roman" w:eastAsia="Times New Roman" w:hAnsi="Times New Roman" w:cs="Times New Roman"/>
                <w:sz w:val="24"/>
                <w:szCs w:val="24"/>
                <w:lang w:val="nl-NL"/>
              </w:rPr>
              <w:t>et al.</w:t>
            </w:r>
            <w:r w:rsidRPr="00B57C5C">
              <w:rPr>
                <w:rFonts w:ascii="Times New Roman" w:eastAsia="Times New Roman" w:hAnsi="Times New Roman" w:cs="Times New Roman"/>
                <w:sz w:val="24"/>
                <w:szCs w:val="24"/>
                <w:lang w:val="nl-NL"/>
              </w:rPr>
              <w:t xml:space="preserve"> (2024)</w:t>
            </w:r>
          </w:p>
        </w:tc>
      </w:tr>
      <w:tr w:rsidR="003678AB" w:rsidRPr="00B57C5C" w14:paraId="2B21515A" w14:textId="77777777">
        <w:tc>
          <w:tcPr>
            <w:tcW w:w="2880" w:type="dxa"/>
            <w:tcMar>
              <w:top w:w="100" w:type="dxa"/>
              <w:left w:w="100" w:type="dxa"/>
              <w:bottom w:w="100" w:type="dxa"/>
              <w:right w:w="100" w:type="dxa"/>
            </w:tcMar>
          </w:tcPr>
          <w:p w14:paraId="684EDFBD" w14:textId="77777777" w:rsidR="003678AB" w:rsidRPr="00B57C5C" w:rsidRDefault="00442F77"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Khác biệt giữa các nhóm liên quan</w:t>
            </w:r>
          </w:p>
        </w:tc>
        <w:tc>
          <w:tcPr>
            <w:tcW w:w="2325" w:type="dxa"/>
            <w:tcMar>
              <w:top w:w="100" w:type="dxa"/>
              <w:left w:w="100" w:type="dxa"/>
              <w:bottom w:w="100" w:type="dxa"/>
              <w:right w:w="100" w:type="dxa"/>
            </w:tcMar>
          </w:tcPr>
          <w:p w14:paraId="34EA3C8A" w14:textId="77777777" w:rsidR="003678AB" w:rsidRPr="00B57C5C" w:rsidRDefault="00442F77" w:rsidP="008174D4">
            <w:pPr>
              <w:spacing w:before="40" w:after="40" w:line="280" w:lineRule="exact"/>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Bước 4</w:t>
            </w:r>
          </w:p>
        </w:tc>
        <w:tc>
          <w:tcPr>
            <w:tcW w:w="4155" w:type="dxa"/>
            <w:tcMar>
              <w:top w:w="100" w:type="dxa"/>
              <w:left w:w="100" w:type="dxa"/>
              <w:bottom w:w="100" w:type="dxa"/>
              <w:right w:w="100" w:type="dxa"/>
            </w:tcMar>
          </w:tcPr>
          <w:p w14:paraId="19213CAC" w14:textId="5B28547A" w:rsidR="003678AB" w:rsidRPr="00B57C5C" w:rsidRDefault="00F35853" w:rsidP="008174D4">
            <w:pPr>
              <w:widowControl w:val="0"/>
              <w:pBdr>
                <w:top w:val="nil"/>
                <w:left w:val="nil"/>
                <w:bottom w:val="nil"/>
                <w:right w:val="nil"/>
                <w:between w:val="nil"/>
              </w:pBd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Diers-Lawson &amp; Pang, 2021</w:t>
            </w:r>
          </w:p>
        </w:tc>
      </w:tr>
    </w:tbl>
    <w:p w14:paraId="383AAC62" w14:textId="7A13B61C" w:rsidR="003678AB" w:rsidRPr="00B57C5C" w:rsidRDefault="00442F77" w:rsidP="00147DF1">
      <w:pPr>
        <w:spacing w:before="40" w:after="40" w:line="280" w:lineRule="exact"/>
        <w:ind w:firstLine="284"/>
        <w:jc w:val="righ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Nguồn: Tác giả </w:t>
      </w:r>
      <w:r w:rsidR="000A57D3" w:rsidRPr="00B57C5C">
        <w:rPr>
          <w:rFonts w:ascii="Times New Roman" w:eastAsia="Times New Roman" w:hAnsi="Times New Roman" w:cs="Times New Roman"/>
          <w:sz w:val="24"/>
          <w:szCs w:val="24"/>
        </w:rPr>
        <w:t xml:space="preserve">tổng hợp và </w:t>
      </w:r>
      <w:r w:rsidRPr="00B57C5C">
        <w:rPr>
          <w:rFonts w:ascii="Times New Roman" w:eastAsia="Times New Roman" w:hAnsi="Times New Roman" w:cs="Times New Roman"/>
          <w:sz w:val="24"/>
          <w:szCs w:val="24"/>
        </w:rPr>
        <w:t>đề xuất</w:t>
      </w:r>
    </w:p>
    <w:p w14:paraId="3DF3F867"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5.2. Hàm ý đối với quản trị nhà cung cấp và chính sách</w:t>
      </w:r>
    </w:p>
    <w:p w14:paraId="538D6839"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Quy trình trên cần được mở rộng sang quản trị nhà cung cấp. Hợp đồng công nghệ nên quy định thời hạn thông báo sự cố, loại thông tin phải cung cấp, đầu mối liên hệ, cơ chế phối hợp điều tra, trách nhiệm hỗ trợ nghĩa vụ pháp lý và nguyên tắc phát ngôn. Ở cấp độ chính sách, hỗ trợ DNNVV nên ưu tiên giảm chi phí chuẩn bị và tuân thủ thông qua biểu mẫu phân loại, checklist 24 giờ đầu, mẫu thông báo, danh sách nghĩa vụ pháp lý, điều khoản hợp đồng mẫu và chương trình diễn tập ngắn theo ngành. Mặt bằng năng lực phản ánh trong khảo sát OECD (2024) cho thấy vì sao công cụ đơn giản, dùng được ngay thường thực tế hơn một bộ tiêu chuẩn đầy đủ nhưng vượt quá năng lực triển khai.</w:t>
      </w:r>
    </w:p>
    <w:p w14:paraId="72E4469E"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5.3. Kết luận</w:t>
      </w:r>
    </w:p>
    <w:p w14:paraId="3A761B87" w14:textId="4D1F31D8"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Kết quả nghiên cứu cho thấy</w:t>
      </w:r>
      <w:r w:rsidR="0069737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 thách thức truyền thông đặc thù của DNNVV bắt nguồn từ khoảng trống diễn giải, tức hạn chế trong việc chuyển hóa thông tin kỹ thuật thành thông tin quản trị. Khoảng trống này thể hiện qua </w:t>
      </w:r>
      <w:r w:rsidR="0069737D" w:rsidRPr="00B57C5C">
        <w:rPr>
          <w:rFonts w:ascii="Times New Roman" w:eastAsia="Times New Roman" w:hAnsi="Times New Roman" w:cs="Times New Roman"/>
          <w:sz w:val="24"/>
          <w:szCs w:val="24"/>
        </w:rPr>
        <w:t xml:space="preserve">4 </w:t>
      </w:r>
      <w:r w:rsidRPr="00B57C5C">
        <w:rPr>
          <w:rFonts w:ascii="Times New Roman" w:eastAsia="Times New Roman" w:hAnsi="Times New Roman" w:cs="Times New Roman"/>
          <w:sz w:val="24"/>
          <w:szCs w:val="24"/>
        </w:rPr>
        <w:t xml:space="preserve">nhóm thách thức liên quan đến thời gian, công chúng, nhà cung cấp và các bên liên quan. Từ đó, DNNVV không cần sao chép mô hình quản trị khủng hoảng của doanh nghiệp lớn. Phù hợp hơn là xây dựng năng lực ứng phó tối thiểu theo quy trình </w:t>
      </w:r>
      <w:r w:rsidR="0069737D" w:rsidRPr="00B57C5C">
        <w:rPr>
          <w:rFonts w:ascii="Times New Roman" w:eastAsia="Times New Roman" w:hAnsi="Times New Roman" w:cs="Times New Roman"/>
          <w:sz w:val="24"/>
          <w:szCs w:val="24"/>
        </w:rPr>
        <w:t xml:space="preserve">5 </w:t>
      </w:r>
      <w:r w:rsidRPr="00B57C5C">
        <w:rPr>
          <w:rFonts w:ascii="Times New Roman" w:eastAsia="Times New Roman" w:hAnsi="Times New Roman" w:cs="Times New Roman"/>
          <w:sz w:val="24"/>
          <w:szCs w:val="24"/>
        </w:rPr>
        <w:t>bước, gắn với nghĩa vụ của Luật Bảo vệ dữ liệu cá nhân và cơ chế phối hợp với nhà cung cấp.</w:t>
      </w:r>
    </w:p>
    <w:p w14:paraId="600AD4E5" w14:textId="77777777" w:rsidR="003678AB" w:rsidRPr="00B57C5C" w:rsidRDefault="00442F77" w:rsidP="00147DF1">
      <w:pPr>
        <w:spacing w:before="40" w:after="40" w:line="280" w:lineRule="exact"/>
        <w:ind w:firstLine="284"/>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Trong bối cảnh Luật Bảo vệ dữ liệu cá nhân có hiệu lực từ ngày 1/1/2026, truyền thông sự cố không chỉ liên quan đến danh tiếng mà còn gắn với quản trị rủi ro và trách nhiệm giải trình. Năng lực ứng phó vì vậy nên được đánh giá qua khả năng nhận diện, diễn giải và xử lý sự cố kịp thời, đồng thời rút kinh nghiệm sau sự cố. Nghiên cứu tiếp theo có thể kiểm định quy trình đề xuất bằng dữ liệu thực nghiệm từ DNNVV Việt Nam, đặc biệt trong giai đoạn đầu thực thi nghĩa vụ thông báo 72 giờ.</w:t>
      </w:r>
    </w:p>
    <w:p w14:paraId="53951EA4" w14:textId="77777777" w:rsidR="008174D4" w:rsidRPr="00B57C5C" w:rsidRDefault="008174D4" w:rsidP="00147DF1">
      <w:pPr>
        <w:spacing w:before="40" w:after="40" w:line="280" w:lineRule="exact"/>
        <w:jc w:val="both"/>
        <w:rPr>
          <w:rFonts w:ascii="Times New Roman" w:hAnsi="Times New Roman" w:cs="Times New Roman"/>
          <w:b/>
          <w:bCs/>
          <w:sz w:val="24"/>
          <w:szCs w:val="24"/>
        </w:rPr>
      </w:pPr>
      <w:bookmarkStart w:id="2" w:name="_75khe99ogz1t" w:colFirst="0" w:colLast="0"/>
      <w:bookmarkEnd w:id="2"/>
    </w:p>
    <w:p w14:paraId="113A9931" w14:textId="00F50A34" w:rsidR="003678AB" w:rsidRPr="00B57C5C" w:rsidRDefault="00147DF1" w:rsidP="00147DF1">
      <w:pPr>
        <w:spacing w:before="40" w:after="40" w:line="280" w:lineRule="exact"/>
        <w:jc w:val="both"/>
        <w:rPr>
          <w:rFonts w:ascii="Times New Roman" w:eastAsia="Times New Roman" w:hAnsi="Times New Roman" w:cs="Times New Roman"/>
          <w:b/>
          <w:bCs/>
          <w:sz w:val="24"/>
          <w:szCs w:val="24"/>
        </w:rPr>
      </w:pPr>
      <w:r w:rsidRPr="00B57C5C">
        <w:rPr>
          <w:rFonts w:ascii="Times New Roman" w:hAnsi="Times New Roman" w:cs="Times New Roman"/>
          <w:b/>
          <w:bCs/>
          <w:sz w:val="24"/>
          <w:szCs w:val="24"/>
        </w:rPr>
        <w:lastRenderedPageBreak/>
        <w:t>T</w:t>
      </w:r>
      <w:r w:rsidR="00442F77" w:rsidRPr="00B57C5C">
        <w:rPr>
          <w:rFonts w:ascii="Times New Roman" w:eastAsia="Times New Roman" w:hAnsi="Times New Roman" w:cs="Times New Roman"/>
          <w:b/>
          <w:bCs/>
          <w:sz w:val="24"/>
          <w:szCs w:val="24"/>
        </w:rPr>
        <w:t>ài liệu tham khảo</w:t>
      </w:r>
      <w:r w:rsidRPr="00B57C5C">
        <w:rPr>
          <w:rFonts w:ascii="Times New Roman" w:eastAsia="Times New Roman" w:hAnsi="Times New Roman" w:cs="Times New Roman"/>
          <w:b/>
          <w:bCs/>
          <w:sz w:val="24"/>
          <w:szCs w:val="24"/>
        </w:rPr>
        <w:t>:</w:t>
      </w:r>
    </w:p>
    <w:p w14:paraId="45D3481E" w14:textId="40CE5C35" w:rsidR="008174D4" w:rsidRPr="00B57C5C" w:rsidRDefault="008174D4" w:rsidP="00147DF1">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Chính phủ. (2025). Nghị định số 356/2025/NĐ-CP ngày 31/12/2025 quy định chi tiết một số điều và biện pháp thi hành Luật Bảo vệ dữ liệu cá nhân. </w:t>
      </w:r>
    </w:p>
    <w:p w14:paraId="47B4397E" w14:textId="7C8E776D" w:rsidR="00FE40A2" w:rsidRPr="00B57C5C" w:rsidRDefault="00FE40A2" w:rsidP="00147DF1">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Hiệp hội An ninh mạng quốc gia. (2026). Báo cáo Tổng kết An ninh mạng năm 2025 khu vực tổ chức, doanh nghiệp. https://www.nca.org.vn/news/detail/bao-cao-tong-ket-an-ninh-mang-nam-2025-khu-vuc-to-chuc-doanh-nghiep--1769392766125?l=vi</w:t>
      </w:r>
    </w:p>
    <w:p w14:paraId="55827F17" w14:textId="599A3515" w:rsidR="008174D4" w:rsidRPr="00B57C5C" w:rsidRDefault="008174D4" w:rsidP="00147DF1">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Lê Tỉnh. (2024). Hơn 659.000 vụ tấn công mạng xảy ra trong năm 2024. </w:t>
      </w:r>
      <w:r w:rsidR="0069737D" w:rsidRPr="00B57C5C">
        <w:rPr>
          <w:rFonts w:ascii="Times New Roman" w:eastAsia="Times New Roman" w:hAnsi="Times New Roman" w:cs="Times New Roman"/>
          <w:sz w:val="24"/>
          <w:szCs w:val="24"/>
        </w:rPr>
        <w:t xml:space="preserve">Báo Tuổi trẻ </w:t>
      </w:r>
      <w:hyperlink r:id="rId5" w:history="1">
        <w:r w:rsidR="0069737D" w:rsidRPr="00B57C5C">
          <w:rPr>
            <w:rStyle w:val="Hyperlink"/>
            <w:rFonts w:ascii="Times New Roman" w:eastAsia="Times New Roman" w:hAnsi="Times New Roman" w:cs="Times New Roman"/>
            <w:sz w:val="24"/>
            <w:szCs w:val="24"/>
          </w:rPr>
          <w:t>https://tuoitre.vn/nld/hon-659000-vu-tan-cong-mang-xay-ra-trong-nam-2024-196241223134713302.htm</w:t>
        </w:r>
      </w:hyperlink>
      <w:r w:rsidRPr="00B57C5C">
        <w:rPr>
          <w:rFonts w:ascii="Times New Roman" w:eastAsia="Times New Roman" w:hAnsi="Times New Roman" w:cs="Times New Roman"/>
          <w:sz w:val="24"/>
          <w:szCs w:val="24"/>
        </w:rPr>
        <w:t xml:space="preserve">  </w:t>
      </w:r>
    </w:p>
    <w:p w14:paraId="0A52672E" w14:textId="77777777" w:rsidR="008174D4" w:rsidRPr="00B57C5C" w:rsidRDefault="008174D4" w:rsidP="00147DF1">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Quốc hội. (2025). Luật số 91/2025/QH15: Luật Bảo vệ dữ liệu cá nhân, ban hành ngày 26/6/2025.</w:t>
      </w:r>
    </w:p>
    <w:p w14:paraId="164D10AD" w14:textId="34AFCD26" w:rsidR="008174D4" w:rsidRPr="00B57C5C" w:rsidRDefault="008174D4" w:rsidP="00147DF1">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Thái Nhung. (2024). Bị tấn công bằng mã độc: Doanh nghiệp lao đao, khách hàng lo lắng. </w:t>
      </w:r>
      <w:r w:rsidR="0069737D" w:rsidRPr="00B57C5C">
        <w:rPr>
          <w:rFonts w:ascii="Times New Roman" w:eastAsia="Times New Roman" w:hAnsi="Times New Roman" w:cs="Times New Roman"/>
          <w:sz w:val="24"/>
          <w:szCs w:val="24"/>
        </w:rPr>
        <w:t xml:space="preserve">Báo Đại đoàn kết, </w:t>
      </w:r>
      <w:hyperlink r:id="rId6" w:history="1">
        <w:r w:rsidR="0069737D" w:rsidRPr="00B57C5C">
          <w:rPr>
            <w:rStyle w:val="Hyperlink"/>
            <w:rFonts w:ascii="Times New Roman" w:eastAsia="Times New Roman" w:hAnsi="Times New Roman" w:cs="Times New Roman"/>
            <w:sz w:val="24"/>
            <w:szCs w:val="24"/>
          </w:rPr>
          <w:t>https://daidoanket.vn/bi-tan-cong-bang-ma-doc-doanh-nghiep-lao-dao-khach-hang-lo-lang-10277297.html</w:t>
        </w:r>
      </w:hyperlink>
      <w:r w:rsidRPr="00B57C5C">
        <w:rPr>
          <w:rFonts w:ascii="Times New Roman" w:eastAsia="Times New Roman" w:hAnsi="Times New Roman" w:cs="Times New Roman"/>
          <w:sz w:val="24"/>
          <w:szCs w:val="24"/>
        </w:rPr>
        <w:t xml:space="preserve"> </w:t>
      </w:r>
    </w:p>
    <w:p w14:paraId="258582D5" w14:textId="77777777" w:rsidR="008174D4" w:rsidRPr="00B57C5C" w:rsidRDefault="008174D4" w:rsidP="00147DF1">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Thủ tướng Chính phủ. (2020). Quyết định số 749/QĐ-TTg ngày 3/6/2020, Phê duyệt Chương trình Chuyển đổi số quốc gia đến năm 2025, định hướng đến năm 2030. </w:t>
      </w:r>
    </w:p>
    <w:p w14:paraId="0DF8F1E2" w14:textId="28FA7680" w:rsidR="008174D4" w:rsidRPr="00B57C5C" w:rsidRDefault="008174D4" w:rsidP="00147DF1">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Vân Anh. (2024). Hơn 401.000 doanh nghiệp nhỏ và vừa dùng các nền tảng số của chương trình SMEdx. </w:t>
      </w:r>
      <w:r w:rsidR="0069737D" w:rsidRPr="00B57C5C">
        <w:rPr>
          <w:rFonts w:ascii="Times New Roman" w:eastAsia="Times New Roman" w:hAnsi="Times New Roman" w:cs="Times New Roman"/>
          <w:sz w:val="24"/>
          <w:szCs w:val="24"/>
        </w:rPr>
        <w:t xml:space="preserve">Báo Vietnamnet, </w:t>
      </w:r>
      <w:r w:rsidRPr="00B57C5C">
        <w:rPr>
          <w:rFonts w:ascii="Times New Roman" w:eastAsia="Times New Roman" w:hAnsi="Times New Roman" w:cs="Times New Roman"/>
          <w:sz w:val="24"/>
          <w:szCs w:val="24"/>
        </w:rPr>
        <w:t xml:space="preserve">https://vietnamnet.vn/hon-401-000-doanh-nghiep-nho-va-vua-dung-cac-nen-tang-so-cua-chuong-trinh-smedx-2339267.html  </w:t>
      </w:r>
    </w:p>
    <w:p w14:paraId="07970075" w14:textId="77777777" w:rsidR="008174D4" w:rsidRPr="00B57C5C" w:rsidRDefault="008174D4" w:rsidP="008174D4">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Choi, J., Robinson, S., Ruddle, T., &amp; Fister, A. (2025). Restoring public trust after a data breach crisis: Reputational response strategies for government, for-profit, and nonprofit organizations. Risk, Hazards &amp; Crisis in Public Policy, 16(3), e70026. </w:t>
      </w:r>
      <w:hyperlink r:id="rId7" w:history="1">
        <w:r w:rsidRPr="00B57C5C">
          <w:rPr>
            <w:rStyle w:val="Hyperlink"/>
            <w:rFonts w:ascii="Times New Roman" w:eastAsia="Times New Roman" w:hAnsi="Times New Roman" w:cs="Times New Roman"/>
            <w:sz w:val="24"/>
            <w:szCs w:val="24"/>
          </w:rPr>
          <w:t>https://doi.org/10.1002/rhc3.70026</w:t>
        </w:r>
      </w:hyperlink>
    </w:p>
    <w:p w14:paraId="46F92F3E" w14:textId="40C817F7" w:rsidR="008174D4" w:rsidRPr="00B57C5C" w:rsidRDefault="008174D4" w:rsidP="008174D4">
      <w:pPr>
        <w:spacing w:before="40" w:after="40" w:line="280" w:lineRule="exact"/>
        <w:jc w:val="both"/>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Coombs, W. T. (2007). Protecting organization reputations during a crisis: The development and application of Situational Crisis Communication Theory. Corporate Reputation Review, 10(3), 163</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176. </w:t>
      </w:r>
      <w:hyperlink r:id="rId8" w:history="1">
        <w:r w:rsidRPr="00B57C5C">
          <w:rPr>
            <w:rStyle w:val="Hyperlink"/>
            <w:rFonts w:ascii="Times New Roman" w:eastAsia="Times New Roman" w:hAnsi="Times New Roman" w:cs="Times New Roman"/>
            <w:sz w:val="24"/>
            <w:szCs w:val="24"/>
          </w:rPr>
          <w:t>https://doi.org/10.1057/palgrave.crr.1550049</w:t>
        </w:r>
      </w:hyperlink>
    </w:p>
    <w:p w14:paraId="609633D7" w14:textId="574C392B" w:rsidR="008174D4" w:rsidRPr="00B57C5C" w:rsidRDefault="008174D4" w:rsidP="008174D4">
      <w:pPr>
        <w:spacing w:before="40" w:after="40" w:line="280" w:lineRule="exact"/>
        <w:rPr>
          <w:rFonts w:ascii="Times New Roman" w:eastAsia="Times New Roman" w:hAnsi="Times New Roman" w:cs="Times New Roman"/>
          <w:sz w:val="24"/>
          <w:szCs w:val="24"/>
          <w:lang w:val="nl-NL"/>
        </w:rPr>
      </w:pPr>
      <w:r w:rsidRPr="00B57C5C">
        <w:rPr>
          <w:rFonts w:ascii="Times New Roman" w:eastAsia="Times New Roman" w:hAnsi="Times New Roman" w:cs="Times New Roman"/>
          <w:sz w:val="24"/>
          <w:szCs w:val="24"/>
        </w:rPr>
        <w:t>Diers-Lawson, A., &amp; Pang, A. (2021). Strategic crisis management: State of the field, challenges and opportunities. In C. Valentini (Ed.), Public relations (pp. 195</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216). De Gruyter Mouton. </w:t>
      </w:r>
      <w:hyperlink r:id="rId9" w:history="1">
        <w:r w:rsidRPr="00B57C5C">
          <w:rPr>
            <w:rStyle w:val="Hyperlink"/>
            <w:rFonts w:ascii="Times New Roman" w:eastAsia="Times New Roman" w:hAnsi="Times New Roman" w:cs="Times New Roman"/>
            <w:sz w:val="24"/>
            <w:szCs w:val="24"/>
            <w:lang w:val="nl-NL"/>
          </w:rPr>
          <w:t>https://doi.org/10.1515/9783110554250-011</w:t>
        </w:r>
      </w:hyperlink>
    </w:p>
    <w:p w14:paraId="7D4FA288" w14:textId="223A09AE" w:rsidR="008174D4" w:rsidRPr="00B57C5C" w:rsidRDefault="008174D4" w:rsidP="008174D4">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lang w:val="nl-NL"/>
        </w:rPr>
        <w:t xml:space="preserve">Diers-Lawson, A., Symons, A., &amp; Zeng, C. (2021). </w:t>
      </w:r>
      <w:r w:rsidRPr="00B57C5C">
        <w:rPr>
          <w:rFonts w:ascii="Times New Roman" w:eastAsia="Times New Roman" w:hAnsi="Times New Roman" w:cs="Times New Roman"/>
          <w:sz w:val="24"/>
          <w:szCs w:val="24"/>
        </w:rPr>
        <w:t>Building crisis capacity with data breaches: The role of stakeholder relationship management and strategic communication. Corporate Communications: An International Journal, 26(4), 675</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699. </w:t>
      </w:r>
      <w:hyperlink r:id="rId10" w:history="1">
        <w:r w:rsidRPr="00B57C5C">
          <w:rPr>
            <w:rStyle w:val="Hyperlink"/>
            <w:rFonts w:ascii="Times New Roman" w:eastAsia="Times New Roman" w:hAnsi="Times New Roman" w:cs="Times New Roman"/>
            <w:sz w:val="24"/>
            <w:szCs w:val="24"/>
          </w:rPr>
          <w:t>https://doi.org/10.1108/CCIJ-02-2021-0024</w:t>
        </w:r>
      </w:hyperlink>
    </w:p>
    <w:p w14:paraId="731B3D08" w14:textId="77777777" w:rsidR="008174D4" w:rsidRPr="00B57C5C" w:rsidRDefault="008174D4" w:rsidP="008174D4">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Hoong, Y., Rezania, D., &amp; Baker, R. (2024). When traditional SME managers encounter cybersecurity: Discourse analysis of opportunities and dilemmas in meeting the demands. Technology in Society, 78, 102650. </w:t>
      </w:r>
      <w:hyperlink r:id="rId11" w:history="1">
        <w:r w:rsidRPr="00B57C5C">
          <w:rPr>
            <w:rStyle w:val="Hyperlink"/>
            <w:rFonts w:ascii="Times New Roman" w:eastAsia="Times New Roman" w:hAnsi="Times New Roman" w:cs="Times New Roman"/>
            <w:sz w:val="24"/>
            <w:szCs w:val="24"/>
          </w:rPr>
          <w:t>https://doi.org/10.1016/j.techsoc.2024.102650</w:t>
        </w:r>
      </w:hyperlink>
    </w:p>
    <w:p w14:paraId="77013F09" w14:textId="279210A2" w:rsidR="008174D4" w:rsidRPr="00B57C5C" w:rsidRDefault="008174D4" w:rsidP="008174D4">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Kim, N., &amp; Lee, S. (2021). Cybersecurity breach and crisis response: An analysis of organizations’ official statements in the United States and South Korea. International Journal of Business Communication, 58(4), 560</w:t>
      </w:r>
      <w:r w:rsidR="002972BD" w:rsidRPr="00B57C5C">
        <w:rPr>
          <w:rFonts w:ascii="Times New Roman" w:eastAsia="Times New Roman" w:hAnsi="Times New Roman" w:cs="Times New Roman"/>
          <w:sz w:val="24"/>
          <w:szCs w:val="24"/>
        </w:rPr>
        <w:t>-</w:t>
      </w:r>
      <w:r w:rsidRPr="00B57C5C">
        <w:rPr>
          <w:rFonts w:ascii="Times New Roman" w:eastAsia="Times New Roman" w:hAnsi="Times New Roman" w:cs="Times New Roman"/>
          <w:sz w:val="24"/>
          <w:szCs w:val="24"/>
        </w:rPr>
        <w:t xml:space="preserve">581. </w:t>
      </w:r>
      <w:hyperlink r:id="rId12" w:history="1">
        <w:r w:rsidRPr="00B57C5C">
          <w:rPr>
            <w:rStyle w:val="Hyperlink"/>
            <w:rFonts w:ascii="Times New Roman" w:eastAsia="Times New Roman" w:hAnsi="Times New Roman" w:cs="Times New Roman"/>
            <w:sz w:val="24"/>
            <w:szCs w:val="24"/>
          </w:rPr>
          <w:t>https://doi.org/10.1177/2329488418777037</w:t>
        </w:r>
      </w:hyperlink>
      <w:r w:rsidRPr="00B57C5C">
        <w:rPr>
          <w:rFonts w:ascii="Times New Roman" w:eastAsia="Times New Roman" w:hAnsi="Times New Roman" w:cs="Times New Roman"/>
          <w:sz w:val="24"/>
          <w:szCs w:val="24"/>
        </w:rPr>
        <w:t xml:space="preserve"> </w:t>
      </w:r>
    </w:p>
    <w:p w14:paraId="05DC221A" w14:textId="77777777" w:rsidR="008174D4" w:rsidRPr="00B57C5C" w:rsidRDefault="008174D4" w:rsidP="008174D4">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Nelson, A., Rekhi, S., Scarfone, K., &amp; Souppaya, M. (2025). Incident response recommendations and considerations for cybersecurity risk management: A CSF 2.0 community profile (NIST Special Publication 800-61 Rev. 3). National Institute of Standards and Technology. </w:t>
      </w:r>
      <w:hyperlink r:id="rId13" w:history="1">
        <w:r w:rsidRPr="00B57C5C">
          <w:rPr>
            <w:rStyle w:val="Hyperlink"/>
            <w:rFonts w:ascii="Times New Roman" w:eastAsia="Times New Roman" w:hAnsi="Times New Roman" w:cs="Times New Roman"/>
            <w:sz w:val="24"/>
            <w:szCs w:val="24"/>
          </w:rPr>
          <w:t>https://doi.org/10.6028/NIST.SP.800-61r3</w:t>
        </w:r>
      </w:hyperlink>
    </w:p>
    <w:p w14:paraId="6914ED39" w14:textId="09BF394D" w:rsidR="008174D4" w:rsidRPr="00B57C5C" w:rsidRDefault="008174D4" w:rsidP="008174D4">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OECD. (2021). The digital transformation of SMEs. OECD Publishing. </w:t>
      </w:r>
      <w:hyperlink r:id="rId14" w:history="1">
        <w:r w:rsidRPr="00B57C5C">
          <w:rPr>
            <w:rStyle w:val="Hyperlink"/>
            <w:rFonts w:ascii="Times New Roman" w:eastAsia="Times New Roman" w:hAnsi="Times New Roman" w:cs="Times New Roman"/>
            <w:sz w:val="24"/>
            <w:szCs w:val="24"/>
          </w:rPr>
          <w:t>https://doi.org/10.1787/bdb9256a-en</w:t>
        </w:r>
      </w:hyperlink>
      <w:r w:rsidRPr="00B57C5C">
        <w:rPr>
          <w:rFonts w:ascii="Times New Roman" w:eastAsia="Times New Roman" w:hAnsi="Times New Roman" w:cs="Times New Roman"/>
          <w:sz w:val="24"/>
          <w:szCs w:val="24"/>
        </w:rPr>
        <w:t xml:space="preserve"> </w:t>
      </w:r>
    </w:p>
    <w:p w14:paraId="08060748" w14:textId="151D887E" w:rsidR="00FE40A2" w:rsidRPr="00B57C5C" w:rsidRDefault="00FE40A2" w:rsidP="008174D4">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lastRenderedPageBreak/>
        <w:t>OECD (2024), “SME Digitalisation to manage shocks and transitions: 2024 OECD D4SME survey”, OECD SME and Entrepreneurship Papers, No. 62, OECD Publishing, Paris, https://doi.org/10.1787/eb4ec9ac-en.</w:t>
      </w:r>
    </w:p>
    <w:p w14:paraId="62DDA33C" w14:textId="77777777" w:rsidR="008174D4" w:rsidRPr="00B57C5C" w:rsidRDefault="008174D4" w:rsidP="008174D4">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lang w:val="pt-BR"/>
        </w:rPr>
        <w:t xml:space="preserve">Pascoe, C., Quinn, S., &amp; Scarfone, K. (2024). </w:t>
      </w:r>
      <w:r w:rsidRPr="00B57C5C">
        <w:rPr>
          <w:rFonts w:ascii="Times New Roman" w:eastAsia="Times New Roman" w:hAnsi="Times New Roman" w:cs="Times New Roman"/>
          <w:sz w:val="24"/>
          <w:szCs w:val="24"/>
        </w:rPr>
        <w:t xml:space="preserve">The NIST cybersecurity framework (CSF) 2.0 (NIST Cybersecurity White Paper 29). National Institute of Standards and Technology. </w:t>
      </w:r>
      <w:hyperlink r:id="rId15" w:history="1">
        <w:r w:rsidRPr="00B57C5C">
          <w:rPr>
            <w:rStyle w:val="Hyperlink"/>
            <w:rFonts w:ascii="Times New Roman" w:eastAsia="Times New Roman" w:hAnsi="Times New Roman" w:cs="Times New Roman"/>
            <w:sz w:val="24"/>
            <w:szCs w:val="24"/>
          </w:rPr>
          <w:t>https://doi.org/10.6028/NIST.CSWP.29</w:t>
        </w:r>
      </w:hyperlink>
      <w:r w:rsidRPr="00B57C5C">
        <w:rPr>
          <w:rFonts w:ascii="Times New Roman" w:eastAsia="Times New Roman" w:hAnsi="Times New Roman" w:cs="Times New Roman"/>
          <w:sz w:val="24"/>
          <w:szCs w:val="24"/>
        </w:rPr>
        <w:t xml:space="preserve"> </w:t>
      </w:r>
    </w:p>
    <w:p w14:paraId="6BCC147A" w14:textId="77777777" w:rsidR="008174D4" w:rsidRPr="00B57C5C" w:rsidRDefault="008174D4" w:rsidP="008174D4">
      <w:pPr>
        <w:spacing w:before="40" w:after="40" w:line="280" w:lineRule="exact"/>
        <w:rPr>
          <w:rFonts w:ascii="Times New Roman" w:eastAsia="Times New Roman" w:hAnsi="Times New Roman" w:cs="Times New Roman"/>
          <w:sz w:val="24"/>
          <w:szCs w:val="24"/>
        </w:rPr>
      </w:pPr>
      <w:r w:rsidRPr="00B57C5C">
        <w:rPr>
          <w:rFonts w:ascii="Times New Roman" w:eastAsia="Times New Roman" w:hAnsi="Times New Roman" w:cs="Times New Roman"/>
          <w:sz w:val="24"/>
          <w:szCs w:val="24"/>
        </w:rPr>
        <w:t xml:space="preserve">Rombaldo Junior, C., Becker, I., &amp; Johnson, S. (2023). Unaware, unfunded and uneducated: A systematic review of SME cybersecurity. arXiv. </w:t>
      </w:r>
      <w:hyperlink r:id="rId16" w:history="1">
        <w:r w:rsidRPr="00B57C5C">
          <w:rPr>
            <w:rStyle w:val="Hyperlink"/>
            <w:rFonts w:ascii="Times New Roman" w:eastAsia="Times New Roman" w:hAnsi="Times New Roman" w:cs="Times New Roman"/>
            <w:sz w:val="24"/>
            <w:szCs w:val="24"/>
          </w:rPr>
          <w:t>https://doi.org/10.48550/arXiv.2309.17186</w:t>
        </w:r>
      </w:hyperlink>
    </w:p>
    <w:p w14:paraId="248C9B67" w14:textId="77777777" w:rsidR="008174D4" w:rsidRPr="00B57C5C" w:rsidRDefault="008174D4" w:rsidP="00147DF1">
      <w:pPr>
        <w:spacing w:before="40" w:after="40" w:line="280" w:lineRule="exact"/>
        <w:rPr>
          <w:rFonts w:ascii="Times New Roman" w:eastAsia="Times New Roman" w:hAnsi="Times New Roman" w:cs="Times New Roman"/>
          <w:sz w:val="24"/>
          <w:szCs w:val="24"/>
        </w:rPr>
      </w:pPr>
    </w:p>
    <w:sectPr w:rsidR="008174D4" w:rsidRPr="00B57C5C" w:rsidSect="00A87023">
      <w:pgSz w:w="11907" w:h="16840" w:code="9"/>
      <w:pgMar w:top="1701" w:right="1134" w:bottom="1701"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F140C387-6413-4F63-96F9-3F0D4A275B75}"/>
  </w:font>
  <w:font w:name="Calibri">
    <w:panose1 w:val="020F0502020204030204"/>
    <w:charset w:val="00"/>
    <w:family w:val="swiss"/>
    <w:pitch w:val="variable"/>
    <w:sig w:usb0="E4002EFF" w:usb1="C000247B" w:usb2="00000009" w:usb3="00000000" w:csb0="000001FF" w:csb1="00000000"/>
    <w:embedRegular r:id="rId2" w:fontKey="{4B73EB42-5C23-4246-A0ED-4DEB5CB1951C}"/>
  </w:font>
  <w:font w:name="Cambria">
    <w:panose1 w:val="02040503050406030204"/>
    <w:charset w:val="00"/>
    <w:family w:val="roman"/>
    <w:pitch w:val="variable"/>
    <w:sig w:usb0="E00006FF" w:usb1="420024FF" w:usb2="02000000" w:usb3="00000000" w:csb0="0000019F" w:csb1="00000000"/>
    <w:embedRegular r:id="rId3" w:fontKey="{EFB03FA9-2057-4BF5-A5B2-194509C2CA0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8AB"/>
    <w:rsid w:val="000A57D3"/>
    <w:rsid w:val="00147DF1"/>
    <w:rsid w:val="00183700"/>
    <w:rsid w:val="00207844"/>
    <w:rsid w:val="00263F79"/>
    <w:rsid w:val="002972BD"/>
    <w:rsid w:val="00310DEA"/>
    <w:rsid w:val="0034100B"/>
    <w:rsid w:val="003678AB"/>
    <w:rsid w:val="003D7FC4"/>
    <w:rsid w:val="00404052"/>
    <w:rsid w:val="00442F77"/>
    <w:rsid w:val="00561E53"/>
    <w:rsid w:val="00611D78"/>
    <w:rsid w:val="006919C1"/>
    <w:rsid w:val="0069737D"/>
    <w:rsid w:val="00722F8D"/>
    <w:rsid w:val="0073489B"/>
    <w:rsid w:val="00764ABA"/>
    <w:rsid w:val="008174D4"/>
    <w:rsid w:val="009339FE"/>
    <w:rsid w:val="00A87023"/>
    <w:rsid w:val="00B35B06"/>
    <w:rsid w:val="00B57093"/>
    <w:rsid w:val="00B57C5C"/>
    <w:rsid w:val="00C81819"/>
    <w:rsid w:val="00CE775C"/>
    <w:rsid w:val="00F35853"/>
    <w:rsid w:val="00FE1B19"/>
    <w:rsid w:val="00FE40A2"/>
    <w:rsid w:val="00FF6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99189"/>
  <w15:docId w15:val="{26686AF4-1511-4D3B-9D41-3D95974E3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character" w:styleId="Hyperlink">
    <w:name w:val="Hyperlink"/>
    <w:basedOn w:val="DefaultParagraphFont"/>
    <w:uiPriority w:val="99"/>
    <w:unhideWhenUsed/>
    <w:rsid w:val="00147DF1"/>
    <w:rPr>
      <w:color w:val="0000FF" w:themeColor="hyperlink"/>
      <w:u w:val="single"/>
    </w:rPr>
  </w:style>
  <w:style w:type="character" w:customStyle="1" w:styleId="UnresolvedMention1">
    <w:name w:val="Unresolved Mention1"/>
    <w:basedOn w:val="DefaultParagraphFont"/>
    <w:uiPriority w:val="99"/>
    <w:semiHidden/>
    <w:unhideWhenUsed/>
    <w:rsid w:val="00147DF1"/>
    <w:rPr>
      <w:color w:val="605E5C"/>
      <w:shd w:val="clear" w:color="auto" w:fill="E1DFDD"/>
    </w:rPr>
  </w:style>
  <w:style w:type="character" w:styleId="CommentReference">
    <w:name w:val="annotation reference"/>
    <w:basedOn w:val="DefaultParagraphFont"/>
    <w:uiPriority w:val="99"/>
    <w:semiHidden/>
    <w:unhideWhenUsed/>
    <w:rsid w:val="00C81819"/>
    <w:rPr>
      <w:sz w:val="16"/>
      <w:szCs w:val="16"/>
    </w:rPr>
  </w:style>
  <w:style w:type="paragraph" w:styleId="CommentText">
    <w:name w:val="annotation text"/>
    <w:basedOn w:val="Normal"/>
    <w:link w:val="CommentTextChar"/>
    <w:uiPriority w:val="99"/>
    <w:unhideWhenUsed/>
    <w:rsid w:val="00C81819"/>
    <w:pPr>
      <w:spacing w:line="240" w:lineRule="auto"/>
    </w:pPr>
    <w:rPr>
      <w:sz w:val="20"/>
      <w:szCs w:val="20"/>
    </w:rPr>
  </w:style>
  <w:style w:type="character" w:customStyle="1" w:styleId="CommentTextChar">
    <w:name w:val="Comment Text Char"/>
    <w:basedOn w:val="DefaultParagraphFont"/>
    <w:link w:val="CommentText"/>
    <w:uiPriority w:val="99"/>
    <w:rsid w:val="00C81819"/>
    <w:rPr>
      <w:sz w:val="20"/>
      <w:szCs w:val="20"/>
    </w:rPr>
  </w:style>
  <w:style w:type="paragraph" w:styleId="CommentSubject">
    <w:name w:val="annotation subject"/>
    <w:basedOn w:val="CommentText"/>
    <w:next w:val="CommentText"/>
    <w:link w:val="CommentSubjectChar"/>
    <w:uiPriority w:val="99"/>
    <w:semiHidden/>
    <w:unhideWhenUsed/>
    <w:rsid w:val="00C81819"/>
    <w:rPr>
      <w:b/>
      <w:bCs/>
    </w:rPr>
  </w:style>
  <w:style w:type="character" w:customStyle="1" w:styleId="CommentSubjectChar">
    <w:name w:val="Comment Subject Char"/>
    <w:basedOn w:val="CommentTextChar"/>
    <w:link w:val="CommentSubject"/>
    <w:uiPriority w:val="99"/>
    <w:semiHidden/>
    <w:rsid w:val="00C81819"/>
    <w:rPr>
      <w:b/>
      <w:bCs/>
      <w:sz w:val="20"/>
      <w:szCs w:val="20"/>
    </w:rPr>
  </w:style>
  <w:style w:type="paragraph" w:styleId="Revision">
    <w:name w:val="Revision"/>
    <w:hidden/>
    <w:uiPriority w:val="99"/>
    <w:semiHidden/>
    <w:rsid w:val="00C81819"/>
    <w:pPr>
      <w:spacing w:line="240" w:lineRule="auto"/>
    </w:pPr>
  </w:style>
  <w:style w:type="paragraph" w:styleId="BalloonText">
    <w:name w:val="Balloon Text"/>
    <w:basedOn w:val="Normal"/>
    <w:link w:val="BalloonTextChar"/>
    <w:uiPriority w:val="99"/>
    <w:semiHidden/>
    <w:unhideWhenUsed/>
    <w:rsid w:val="00FE40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0A2"/>
    <w:rPr>
      <w:rFonts w:ascii="Segoe UI" w:hAnsi="Segoe UI" w:cs="Segoe UI"/>
      <w:sz w:val="18"/>
      <w:szCs w:val="18"/>
    </w:rPr>
  </w:style>
  <w:style w:type="character" w:styleId="UnresolvedMention">
    <w:name w:val="Unresolved Mention"/>
    <w:basedOn w:val="DefaultParagraphFont"/>
    <w:uiPriority w:val="99"/>
    <w:semiHidden/>
    <w:unhideWhenUsed/>
    <w:rsid w:val="00697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45197">
      <w:bodyDiv w:val="1"/>
      <w:marLeft w:val="0"/>
      <w:marRight w:val="0"/>
      <w:marTop w:val="0"/>
      <w:marBottom w:val="0"/>
      <w:divBdr>
        <w:top w:val="none" w:sz="0" w:space="0" w:color="auto"/>
        <w:left w:val="none" w:sz="0" w:space="0" w:color="auto"/>
        <w:bottom w:val="none" w:sz="0" w:space="0" w:color="auto"/>
        <w:right w:val="none" w:sz="0" w:space="0" w:color="auto"/>
      </w:divBdr>
    </w:div>
    <w:div w:id="465316826">
      <w:bodyDiv w:val="1"/>
      <w:marLeft w:val="0"/>
      <w:marRight w:val="0"/>
      <w:marTop w:val="0"/>
      <w:marBottom w:val="0"/>
      <w:divBdr>
        <w:top w:val="none" w:sz="0" w:space="0" w:color="auto"/>
        <w:left w:val="none" w:sz="0" w:space="0" w:color="auto"/>
        <w:bottom w:val="none" w:sz="0" w:space="0" w:color="auto"/>
        <w:right w:val="none" w:sz="0" w:space="0" w:color="auto"/>
      </w:divBdr>
    </w:div>
    <w:div w:id="524828196">
      <w:bodyDiv w:val="1"/>
      <w:marLeft w:val="0"/>
      <w:marRight w:val="0"/>
      <w:marTop w:val="0"/>
      <w:marBottom w:val="0"/>
      <w:divBdr>
        <w:top w:val="none" w:sz="0" w:space="0" w:color="auto"/>
        <w:left w:val="none" w:sz="0" w:space="0" w:color="auto"/>
        <w:bottom w:val="none" w:sz="0" w:space="0" w:color="auto"/>
        <w:right w:val="none" w:sz="0" w:space="0" w:color="auto"/>
      </w:divBdr>
    </w:div>
    <w:div w:id="1156798419">
      <w:bodyDiv w:val="1"/>
      <w:marLeft w:val="0"/>
      <w:marRight w:val="0"/>
      <w:marTop w:val="0"/>
      <w:marBottom w:val="0"/>
      <w:divBdr>
        <w:top w:val="none" w:sz="0" w:space="0" w:color="auto"/>
        <w:left w:val="none" w:sz="0" w:space="0" w:color="auto"/>
        <w:bottom w:val="none" w:sz="0" w:space="0" w:color="auto"/>
        <w:right w:val="none" w:sz="0" w:space="0" w:color="auto"/>
      </w:divBdr>
      <w:divsChild>
        <w:div w:id="1074165413">
          <w:marLeft w:val="0"/>
          <w:marRight w:val="0"/>
          <w:marTop w:val="0"/>
          <w:marBottom w:val="360"/>
          <w:divBdr>
            <w:top w:val="none" w:sz="0" w:space="0" w:color="auto"/>
            <w:left w:val="none" w:sz="0" w:space="0" w:color="auto"/>
            <w:bottom w:val="none" w:sz="0" w:space="0" w:color="auto"/>
            <w:right w:val="none" w:sz="0" w:space="0" w:color="auto"/>
          </w:divBdr>
        </w:div>
      </w:divsChild>
    </w:div>
    <w:div w:id="1226768568">
      <w:bodyDiv w:val="1"/>
      <w:marLeft w:val="0"/>
      <w:marRight w:val="0"/>
      <w:marTop w:val="0"/>
      <w:marBottom w:val="0"/>
      <w:divBdr>
        <w:top w:val="none" w:sz="0" w:space="0" w:color="auto"/>
        <w:left w:val="none" w:sz="0" w:space="0" w:color="auto"/>
        <w:bottom w:val="none" w:sz="0" w:space="0" w:color="auto"/>
        <w:right w:val="none" w:sz="0" w:space="0" w:color="auto"/>
      </w:divBdr>
    </w:div>
    <w:div w:id="1635065783">
      <w:bodyDiv w:val="1"/>
      <w:marLeft w:val="0"/>
      <w:marRight w:val="0"/>
      <w:marTop w:val="0"/>
      <w:marBottom w:val="0"/>
      <w:divBdr>
        <w:top w:val="none" w:sz="0" w:space="0" w:color="auto"/>
        <w:left w:val="none" w:sz="0" w:space="0" w:color="auto"/>
        <w:bottom w:val="none" w:sz="0" w:space="0" w:color="auto"/>
        <w:right w:val="none" w:sz="0" w:space="0" w:color="auto"/>
      </w:divBdr>
    </w:div>
    <w:div w:id="1934318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7/palgrave.crr.1550049" TargetMode="External"/><Relationship Id="rId13" Type="http://schemas.openxmlformats.org/officeDocument/2006/relationships/hyperlink" Target="https://doi.org/10.6028/NIST.SP.800-61r3"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002/rhc3.70026" TargetMode="External"/><Relationship Id="rId12" Type="http://schemas.openxmlformats.org/officeDocument/2006/relationships/hyperlink" Target="https://doi.org/10.1177/2329488418777037"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i.org/10.48550/arXiv.2309.17186" TargetMode="External"/><Relationship Id="rId1" Type="http://schemas.openxmlformats.org/officeDocument/2006/relationships/styles" Target="styles.xml"/><Relationship Id="rId6" Type="http://schemas.openxmlformats.org/officeDocument/2006/relationships/hyperlink" Target="https://daidoanket.vn/bi-tan-cong-bang-ma-doc-doanh-nghiep-lao-dao-khach-hang-lo-lang-10277297.html" TargetMode="External"/><Relationship Id="rId11" Type="http://schemas.openxmlformats.org/officeDocument/2006/relationships/hyperlink" Target="https://doi.org/10.1016/j.techsoc.2024.102650" TargetMode="External"/><Relationship Id="rId5" Type="http://schemas.openxmlformats.org/officeDocument/2006/relationships/hyperlink" Target="https://tuoitre.vn/nld/hon-659000-vu-tan-cong-mang-xay-ra-trong-nam-2024-196241223134713302.htm" TargetMode="External"/><Relationship Id="rId15" Type="http://schemas.openxmlformats.org/officeDocument/2006/relationships/hyperlink" Target="https://doi.org/10.6028/NIST.CSWP.29" TargetMode="External"/><Relationship Id="rId10" Type="http://schemas.openxmlformats.org/officeDocument/2006/relationships/hyperlink" Target="https://doi.org/10.1108/CCIJ-02-2021-0024" TargetMode="External"/><Relationship Id="rId4" Type="http://schemas.openxmlformats.org/officeDocument/2006/relationships/hyperlink" Target="mailto:phamquynhphuong01@gmail.com" TargetMode="External"/><Relationship Id="rId9" Type="http://schemas.openxmlformats.org/officeDocument/2006/relationships/hyperlink" Target="https://doi.org/10.1515/9783110554250-011" TargetMode="External"/><Relationship Id="rId14" Type="http://schemas.openxmlformats.org/officeDocument/2006/relationships/hyperlink" Target="https://doi.org/10.1787/bdb9256a-e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8</Pages>
  <Words>3641</Words>
  <Characters>20755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 Tam</dc:creator>
  <cp:lastModifiedBy>Administrator</cp:lastModifiedBy>
  <cp:revision>14</cp:revision>
  <dcterms:created xsi:type="dcterms:W3CDTF">2026-10-02T02:53:00Z</dcterms:created>
  <dcterms:modified xsi:type="dcterms:W3CDTF">2026-10-16T12:17:00Z</dcterms:modified>
</cp:coreProperties>
</file>